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615E" w14:textId="77777777" w:rsidR="005174D0" w:rsidRDefault="0080645F" w:rsidP="0080645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0E6645">
        <w:rPr>
          <w:rFonts w:ascii="Times New Roman" w:hAnsi="Times New Roman" w:cs="Times New Roman"/>
          <w:sz w:val="40"/>
          <w:szCs w:val="40"/>
        </w:rPr>
        <w:t>FHIR at Scale Taskforce (</w:t>
      </w:r>
      <w:r w:rsidRPr="000E6645">
        <w:rPr>
          <w:rFonts w:ascii="Times New Roman" w:hAnsi="Times New Roman" w:cs="Times New Roman"/>
          <w:i/>
          <w:sz w:val="40"/>
          <w:szCs w:val="40"/>
        </w:rPr>
        <w:t>FAST</w:t>
      </w:r>
      <w:r w:rsidRPr="000E6645">
        <w:rPr>
          <w:rFonts w:ascii="Times New Roman" w:hAnsi="Times New Roman" w:cs="Times New Roman"/>
          <w:sz w:val="40"/>
          <w:szCs w:val="40"/>
        </w:rPr>
        <w:t>)</w:t>
      </w:r>
    </w:p>
    <w:p w14:paraId="1E361EE7" w14:textId="77777777" w:rsidR="001005A8" w:rsidRPr="001005A8" w:rsidRDefault="001005A8" w:rsidP="001005A8"/>
    <w:p w14:paraId="1D4C4FE6" w14:textId="77777777" w:rsidR="0080645F" w:rsidRPr="001005A8" w:rsidRDefault="0008408D" w:rsidP="0080645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Technical</w:t>
      </w:r>
      <w:r w:rsidR="0080645F" w:rsidRPr="001005A8">
        <w:rPr>
          <w:rFonts w:ascii="Times New Roman" w:hAnsi="Times New Roman" w:cs="Times New Roman"/>
          <w:sz w:val="40"/>
          <w:szCs w:val="40"/>
        </w:rPr>
        <w:t xml:space="preserve"> barriers to FHIR solutions scalability</w:t>
      </w:r>
    </w:p>
    <w:p w14:paraId="13A1E514" w14:textId="72A69192" w:rsidR="001005A8" w:rsidRDefault="001005A8" w:rsidP="001005A8">
      <w:pPr>
        <w:jc w:val="center"/>
        <w:rPr>
          <w:sz w:val="32"/>
          <w:szCs w:val="32"/>
        </w:rPr>
      </w:pPr>
      <w:r w:rsidRPr="001005A8">
        <w:rPr>
          <w:sz w:val="32"/>
          <w:szCs w:val="32"/>
        </w:rPr>
        <w:t xml:space="preserve">Tiger Team Name: </w:t>
      </w:r>
      <w:r w:rsidR="00D54517">
        <w:rPr>
          <w:sz w:val="32"/>
          <w:szCs w:val="32"/>
        </w:rPr>
        <w:t>Directory, Version and Scale</w:t>
      </w:r>
    </w:p>
    <w:p w14:paraId="7B2B8852" w14:textId="1A02BD74" w:rsidR="002A18E0" w:rsidRPr="002A18E0" w:rsidRDefault="002A18E0" w:rsidP="001005A8">
      <w:pPr>
        <w:jc w:val="center"/>
        <w:rPr>
          <w:color w:val="FF0000"/>
          <w:sz w:val="32"/>
          <w:szCs w:val="32"/>
        </w:rPr>
      </w:pPr>
      <w:r w:rsidRPr="002A18E0">
        <w:rPr>
          <w:color w:val="FF0000"/>
          <w:sz w:val="32"/>
          <w:szCs w:val="32"/>
        </w:rPr>
        <w:t>As of April 25, 2019</w:t>
      </w:r>
      <w:bookmarkStart w:id="0" w:name="_GoBack"/>
      <w:bookmarkEnd w:id="0"/>
    </w:p>
    <w:p w14:paraId="0EAAAAE1" w14:textId="77777777" w:rsidR="0080645F" w:rsidRPr="001005A8" w:rsidRDefault="001005A8" w:rsidP="0080645F">
      <w:pPr>
        <w:rPr>
          <w:color w:val="808080" w:themeColor="background1" w:themeShade="80"/>
        </w:rPr>
      </w:pPr>
      <w:r w:rsidRPr="001005A8">
        <w:rPr>
          <w:color w:val="808080" w:themeColor="background1" w:themeShade="80"/>
        </w:rPr>
        <w:t>**</w:t>
      </w:r>
      <w:r>
        <w:rPr>
          <w:color w:val="808080" w:themeColor="background1" w:themeShade="80"/>
        </w:rPr>
        <w:t>Teams to focus f</w:t>
      </w:r>
      <w:r w:rsidRPr="001005A8">
        <w:rPr>
          <w:color w:val="808080" w:themeColor="background1" w:themeShade="80"/>
        </w:rPr>
        <w:t>irst focus on A. and B.</w:t>
      </w:r>
      <w:r w:rsidR="0008408D">
        <w:rPr>
          <w:color w:val="808080" w:themeColor="background1" w:themeShade="80"/>
        </w:rPr>
        <w:t>,</w:t>
      </w:r>
      <w:r w:rsidRPr="001005A8">
        <w:rPr>
          <w:color w:val="808080" w:themeColor="background1" w:themeShade="80"/>
        </w:rPr>
        <w:t xml:space="preserve"> and </w:t>
      </w:r>
      <w:proofErr w:type="gramStart"/>
      <w:r w:rsidRPr="001005A8">
        <w:rPr>
          <w:color w:val="808080" w:themeColor="background1" w:themeShade="80"/>
        </w:rPr>
        <w:t>later on</w:t>
      </w:r>
      <w:proofErr w:type="gramEnd"/>
      <w:r w:rsidRPr="001005A8">
        <w:rPr>
          <w:color w:val="808080" w:themeColor="background1" w:themeShade="80"/>
        </w:rPr>
        <w:t xml:space="preserve"> C. </w:t>
      </w:r>
    </w:p>
    <w:tbl>
      <w:tblPr>
        <w:tblStyle w:val="TableGrid"/>
        <w:tblW w:w="14017" w:type="dxa"/>
        <w:tblLook w:val="04A0" w:firstRow="1" w:lastRow="0" w:firstColumn="1" w:lastColumn="0" w:noHBand="0" w:noVBand="1"/>
      </w:tblPr>
      <w:tblGrid>
        <w:gridCol w:w="536"/>
        <w:gridCol w:w="3622"/>
        <w:gridCol w:w="6480"/>
        <w:gridCol w:w="3379"/>
      </w:tblGrid>
      <w:tr w:rsidR="000E6645" w14:paraId="04AFF2FA" w14:textId="77777777" w:rsidTr="009B771B">
        <w:trPr>
          <w:trHeight w:val="890"/>
          <w:tblHeader/>
        </w:trPr>
        <w:tc>
          <w:tcPr>
            <w:tcW w:w="536" w:type="dxa"/>
            <w:shd w:val="clear" w:color="auto" w:fill="EDEDED" w:themeFill="accent3" w:themeFillTint="33"/>
          </w:tcPr>
          <w:p w14:paraId="446A44D1" w14:textId="77777777" w:rsidR="000E6645" w:rsidRPr="000E6645" w:rsidRDefault="000E6645" w:rsidP="000E6645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EDEDED" w:themeFill="accent3" w:themeFillTint="33"/>
          </w:tcPr>
          <w:p w14:paraId="3BDEDFEA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What is the </w:t>
            </w:r>
            <w:r w:rsidR="0008408D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technical</w:t>
            </w: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barrier identified?</w:t>
            </w:r>
          </w:p>
          <w:p w14:paraId="7040F39D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EDEDED" w:themeFill="accent3" w:themeFillTint="33"/>
          </w:tcPr>
          <w:p w14:paraId="06CEC58D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Why is this a barrier to scalability?</w:t>
            </w:r>
          </w:p>
          <w:p w14:paraId="457D5AE9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EDEDED" w:themeFill="accent3" w:themeFillTint="33"/>
          </w:tcPr>
          <w:p w14:paraId="75156852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What exiting industry efforts </w:t>
            </w:r>
            <w:r w:rsidR="00710277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are </w:t>
            </w: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working to remove this barrier</w:t>
            </w:r>
            <w:r w:rsidR="00710277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(if any)</w:t>
            </w:r>
            <w:r w:rsidR="001F072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?</w:t>
            </w:r>
          </w:p>
          <w:p w14:paraId="514FFD29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</w:tr>
      <w:tr w:rsidR="000E6645" w14:paraId="058CAAF2" w14:textId="77777777" w:rsidTr="0008408D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6D091591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108D5716" w14:textId="2331ED38" w:rsidR="00E4717C" w:rsidRPr="00E4717C" w:rsidRDefault="007205A2" w:rsidP="0080645F">
            <w:pPr>
              <w:rPr>
                <w:b/>
              </w:rPr>
            </w:pPr>
            <w:r>
              <w:rPr>
                <w:b/>
              </w:rPr>
              <w:t>Versioning</w:t>
            </w:r>
            <w:r w:rsidR="008B24F2">
              <w:rPr>
                <w:b/>
              </w:rPr>
              <w:t xml:space="preserve">: Multiple versions and production </w:t>
            </w:r>
          </w:p>
        </w:tc>
        <w:tc>
          <w:tcPr>
            <w:tcW w:w="6480" w:type="dxa"/>
          </w:tcPr>
          <w:p w14:paraId="2E0413D0" w14:textId="70920B51" w:rsidR="0008408D" w:rsidRDefault="003D45A6" w:rsidP="0008408D">
            <w:r>
              <w:t xml:space="preserve">Creates need for trading partners to support </w:t>
            </w:r>
            <w:r w:rsidR="00D93421">
              <w:t>multiple</w:t>
            </w:r>
            <w:r>
              <w:t xml:space="preserve"> versions of FHIR and therefore creates a significant challenge for multiple trading partners that may be supporting individually different versions of FHIR</w:t>
            </w:r>
          </w:p>
          <w:p w14:paraId="53BE7554" w14:textId="77777777" w:rsidR="00CF3ED7" w:rsidRDefault="00CF3ED7" w:rsidP="0008408D"/>
          <w:p w14:paraId="0B9B12B4" w14:textId="6C5EE829" w:rsidR="001F680A" w:rsidRDefault="00C9577C" w:rsidP="0008408D">
            <w:r>
              <w:t xml:space="preserve">No guarantee of </w:t>
            </w:r>
            <w:r w:rsidR="0028596F">
              <w:t xml:space="preserve">backward </w:t>
            </w:r>
            <w:r>
              <w:t>compatibility across versions</w:t>
            </w:r>
            <w:r w:rsidR="00C458A9">
              <w:t xml:space="preserve"> except for those resources which are normative</w:t>
            </w:r>
          </w:p>
          <w:p w14:paraId="12E06105" w14:textId="21E5153C" w:rsidR="0067192C" w:rsidRDefault="0067192C" w:rsidP="0008408D">
            <w:r>
              <w:t xml:space="preserve">Regulatory </w:t>
            </w:r>
            <w:r w:rsidR="00741BBF">
              <w:t xml:space="preserve">recognition of </w:t>
            </w:r>
            <w:r w:rsidR="00015E3E">
              <w:t xml:space="preserve">multiple versions of FHIR creates further confusion </w:t>
            </w:r>
          </w:p>
          <w:p w14:paraId="2D7D5B71" w14:textId="4B9E3C6D" w:rsidR="001F680A" w:rsidRDefault="001F680A" w:rsidP="0008408D"/>
          <w:p w14:paraId="1080FE83" w14:textId="77777777" w:rsidR="00EA338A" w:rsidRDefault="00EA338A" w:rsidP="0008408D"/>
          <w:p w14:paraId="0674D839" w14:textId="77777777" w:rsidR="00AA68D4" w:rsidRDefault="00AA68D4" w:rsidP="0008408D"/>
          <w:p w14:paraId="10989497" w14:textId="77777777" w:rsidR="00AA68D4" w:rsidRDefault="00AA68D4" w:rsidP="0008408D">
            <w:r>
              <w:t xml:space="preserve">Solutioning notes: </w:t>
            </w:r>
          </w:p>
          <w:p w14:paraId="0622147D" w14:textId="77777777" w:rsidR="00AA68D4" w:rsidRDefault="00AA68D4" w:rsidP="00187E98">
            <w:pPr>
              <w:pStyle w:val="ListParagraph"/>
              <w:numPr>
                <w:ilvl w:val="0"/>
                <w:numId w:val="3"/>
              </w:numPr>
            </w:pPr>
            <w:r>
              <w:t xml:space="preserve">Support normative resources across multiple versions </w:t>
            </w:r>
          </w:p>
          <w:p w14:paraId="6A299155" w14:textId="03579133" w:rsidR="00AA68D4" w:rsidRDefault="00AA68D4" w:rsidP="00187E98">
            <w:pPr>
              <w:pStyle w:val="ListParagraph"/>
              <w:numPr>
                <w:ilvl w:val="0"/>
                <w:numId w:val="3"/>
              </w:numPr>
            </w:pPr>
            <w:r>
              <w:t xml:space="preserve">Support transformation across </w:t>
            </w:r>
            <w:r w:rsidR="00AA6F4D">
              <w:t xml:space="preserve">versions </w:t>
            </w:r>
            <w:r w:rsidR="00042D29">
              <w:t>where</w:t>
            </w:r>
            <w:r w:rsidR="00AA6F4D">
              <w:t xml:space="preserve"> forward and backward compatibility</w:t>
            </w:r>
            <w:r w:rsidR="00042D29">
              <w:t xml:space="preserve"> is</w:t>
            </w:r>
            <w:r w:rsidR="00AA6F4D">
              <w:t xml:space="preserve"> not comprised</w:t>
            </w:r>
            <w:r w:rsidR="00C458A9">
              <w:t xml:space="preserve"> </w:t>
            </w:r>
          </w:p>
          <w:p w14:paraId="05D6241F" w14:textId="77777777" w:rsidR="00AA6F4D" w:rsidRDefault="00C90189" w:rsidP="00187E98">
            <w:pPr>
              <w:pStyle w:val="ListParagraph"/>
              <w:numPr>
                <w:ilvl w:val="0"/>
                <w:numId w:val="3"/>
              </w:numPr>
            </w:pPr>
            <w:r>
              <w:t>Regulation name</w:t>
            </w:r>
            <w:r w:rsidR="00D901C4">
              <w:t>s</w:t>
            </w:r>
            <w:r>
              <w:t xml:space="preserve"> one </w:t>
            </w:r>
            <w:r w:rsidR="0086730B">
              <w:t xml:space="preserve">version for certification and allows adoption of future versions </w:t>
            </w:r>
            <w:proofErr w:type="gramStart"/>
            <w:r w:rsidR="0086730B">
              <w:t>as long as</w:t>
            </w:r>
            <w:proofErr w:type="gramEnd"/>
            <w:r w:rsidR="0086730B">
              <w:t xml:space="preserve"> existing applications can be supported </w:t>
            </w:r>
          </w:p>
          <w:p w14:paraId="00B15DAB" w14:textId="03D4C51F" w:rsidR="00503B8A" w:rsidRDefault="00503B8A" w:rsidP="00187E98"/>
        </w:tc>
        <w:tc>
          <w:tcPr>
            <w:tcW w:w="3379" w:type="dxa"/>
          </w:tcPr>
          <w:p w14:paraId="5AE72BD3" w14:textId="77777777" w:rsidR="000E6645" w:rsidRDefault="00E33F9A" w:rsidP="0080645F">
            <w:r>
              <w:t xml:space="preserve">Move to normative resources </w:t>
            </w:r>
          </w:p>
          <w:p w14:paraId="34768184" w14:textId="77777777" w:rsidR="00E33F9A" w:rsidRDefault="00E33F9A" w:rsidP="0080645F"/>
          <w:p w14:paraId="4DBB5D58" w14:textId="60AC378B" w:rsidR="00E33F9A" w:rsidRDefault="00D46AB5" w:rsidP="0080645F">
            <w:r>
              <w:t xml:space="preserve">Regulatory support for certification base and requirements for backward compatibility of future versions </w:t>
            </w:r>
          </w:p>
          <w:p w14:paraId="49DBC8E1" w14:textId="0FB64379" w:rsidR="00AF7C44" w:rsidRDefault="00AF7C44" w:rsidP="0080645F"/>
          <w:p w14:paraId="776DD514" w14:textId="269C080D" w:rsidR="0029511E" w:rsidRDefault="00B246A9" w:rsidP="0029511E">
            <w:r>
              <w:t xml:space="preserve">FHIR community working on </w:t>
            </w:r>
          </w:p>
          <w:p w14:paraId="1503BBD4" w14:textId="46E9364A" w:rsidR="0029511E" w:rsidRDefault="0029511E" w:rsidP="0080645F">
            <w:r>
              <w:t xml:space="preserve">transformations where possible between versions of a resource </w:t>
            </w:r>
          </w:p>
          <w:p w14:paraId="0DA858CD" w14:textId="77777777" w:rsidR="00D46AB5" w:rsidRDefault="00D46AB5" w:rsidP="0080645F"/>
          <w:p w14:paraId="2F630A3E" w14:textId="27F8C4F3" w:rsidR="00D46AB5" w:rsidRDefault="00D46AB5" w:rsidP="0080645F"/>
        </w:tc>
      </w:tr>
      <w:tr w:rsidR="000C0D47" w14:paraId="05E686ED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13F82880" w14:textId="77777777" w:rsidR="000C0D47" w:rsidRDefault="000C0D47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32367943" w14:textId="56E0FEF9" w:rsidR="000C0D47" w:rsidRPr="00710277" w:rsidRDefault="001767FB" w:rsidP="0008408D">
            <w:pPr>
              <w:rPr>
                <w:b/>
              </w:rPr>
            </w:pPr>
            <w:r>
              <w:rPr>
                <w:b/>
              </w:rPr>
              <w:t>Versioning: Continued evolution of standard</w:t>
            </w:r>
          </w:p>
        </w:tc>
        <w:tc>
          <w:tcPr>
            <w:tcW w:w="6480" w:type="dxa"/>
          </w:tcPr>
          <w:p w14:paraId="2E14CF8C" w14:textId="325F51E2" w:rsidR="001A1930" w:rsidRPr="001A1930" w:rsidRDefault="001A1930" w:rsidP="00503B8A">
            <w:r>
              <w:t xml:space="preserve">Continued evolution of the standard to support new functionality creates timing and adoption challenges </w:t>
            </w:r>
            <w:r w:rsidR="00E768D0">
              <w:t xml:space="preserve">(for instance, new operations on a server </w:t>
            </w:r>
            <w:r w:rsidR="00177FD7">
              <w:t>and lag time to get all to support it; vendors support different functions at different times</w:t>
            </w:r>
            <w:r w:rsidR="00CB4B46">
              <w:t xml:space="preserve"> meaning capability statement needs to be reviewed)</w:t>
            </w:r>
          </w:p>
          <w:p w14:paraId="78104FD3" w14:textId="77777777" w:rsidR="001A1930" w:rsidRPr="00EB198E" w:rsidRDefault="001A1930" w:rsidP="00503B8A"/>
          <w:p w14:paraId="69F1AAF8" w14:textId="548C4EAA" w:rsidR="00503B8A" w:rsidRDefault="00503B8A" w:rsidP="00503B8A">
            <w:r w:rsidRPr="00503B8A">
              <w:rPr>
                <w:i/>
              </w:rPr>
              <w:t>FAST</w:t>
            </w:r>
            <w:r>
              <w:t xml:space="preserve"> </w:t>
            </w:r>
            <w:r w:rsidRPr="00503B8A">
              <w:t>Framework capacity</w:t>
            </w:r>
            <w:r w:rsidR="00E768D0">
              <w:t xml:space="preserve"> (resources and processes)</w:t>
            </w:r>
            <w:r w:rsidRPr="00503B8A">
              <w:t xml:space="preserve"> to keep pace with HL7 FHIR evolution </w:t>
            </w:r>
          </w:p>
          <w:p w14:paraId="29393F05" w14:textId="77777777" w:rsidR="00503B8A" w:rsidRPr="00503B8A" w:rsidRDefault="00503B8A" w:rsidP="00503B8A"/>
          <w:p w14:paraId="31EBC20E" w14:textId="77777777" w:rsidR="000C0D47" w:rsidRDefault="00503B8A" w:rsidP="00503B8A">
            <w:r w:rsidRPr="00503B8A">
              <w:t>Industry use of different versions and interplay with capability statements</w:t>
            </w:r>
          </w:p>
          <w:p w14:paraId="1AF2F70C" w14:textId="77777777" w:rsidR="00EB198E" w:rsidRDefault="00EB198E" w:rsidP="00503B8A"/>
          <w:p w14:paraId="75FC483F" w14:textId="77777777" w:rsidR="00EB198E" w:rsidRDefault="00EB198E" w:rsidP="00EB198E">
            <w:r>
              <w:t xml:space="preserve">Solutioning notes: </w:t>
            </w:r>
          </w:p>
          <w:p w14:paraId="6ED6D31B" w14:textId="3278F556" w:rsidR="00EB198E" w:rsidRDefault="00EB198E" w:rsidP="00EB198E">
            <w:pPr>
              <w:pStyle w:val="ListParagraph"/>
              <w:numPr>
                <w:ilvl w:val="0"/>
                <w:numId w:val="3"/>
              </w:numPr>
            </w:pPr>
            <w:r>
              <w:t>None, standard will continue to evolve</w:t>
            </w:r>
            <w:r w:rsidR="00DB003F">
              <w:t xml:space="preserve"> until mature </w:t>
            </w:r>
            <w:r w:rsidR="007C4357">
              <w:t xml:space="preserve">and stability achieved </w:t>
            </w:r>
          </w:p>
        </w:tc>
        <w:tc>
          <w:tcPr>
            <w:tcW w:w="3379" w:type="dxa"/>
          </w:tcPr>
          <w:p w14:paraId="426DB5DC" w14:textId="0A46595B" w:rsidR="000C0D47" w:rsidRDefault="00350750" w:rsidP="0080645F">
            <w:r>
              <w:t xml:space="preserve">Continued interest in maturing standard so core resources are normative </w:t>
            </w:r>
          </w:p>
        </w:tc>
      </w:tr>
      <w:tr w:rsidR="000C0D47" w14:paraId="2EA83819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4BD0A3C7" w14:textId="77777777" w:rsidR="000C0D47" w:rsidRDefault="000C0D47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1E27E1EF" w14:textId="5A50D8A2" w:rsidR="000C0D47" w:rsidRPr="00710277" w:rsidRDefault="00CB4B46" w:rsidP="0008408D">
            <w:pPr>
              <w:rPr>
                <w:b/>
              </w:rPr>
            </w:pPr>
            <w:r>
              <w:rPr>
                <w:b/>
              </w:rPr>
              <w:t xml:space="preserve">Versioning: Variable adoption of the standard </w:t>
            </w:r>
          </w:p>
        </w:tc>
        <w:tc>
          <w:tcPr>
            <w:tcW w:w="6480" w:type="dxa"/>
          </w:tcPr>
          <w:p w14:paraId="1A9F65EB" w14:textId="2EBF63EB" w:rsidR="00AF7C44" w:rsidRDefault="00CB4B46" w:rsidP="0008408D">
            <w:r>
              <w:t xml:space="preserve">Different vendors adopt support for various </w:t>
            </w:r>
            <w:r w:rsidR="00240964">
              <w:t>resources</w:t>
            </w:r>
            <w:r>
              <w:t xml:space="preserve"> and </w:t>
            </w:r>
            <w:r w:rsidR="00240964">
              <w:t xml:space="preserve">to just read or read/write </w:t>
            </w:r>
          </w:p>
          <w:p w14:paraId="0B0DE2B8" w14:textId="7A762E30" w:rsidR="00240964" w:rsidRDefault="00240964" w:rsidP="0008408D"/>
          <w:p w14:paraId="22D6D1C3" w14:textId="4F6813D5" w:rsidR="000E6BBD" w:rsidRDefault="000E6BBD" w:rsidP="0008408D">
            <w:r>
              <w:t>Challenges with current-ness of capability statements (</w:t>
            </w:r>
            <w:r w:rsidR="004739C6">
              <w:t xml:space="preserve">barrier twofold: </w:t>
            </w:r>
            <w:r>
              <w:t xml:space="preserve">maintenance of statement and </w:t>
            </w:r>
            <w:r w:rsidR="008B7EFD">
              <w:t xml:space="preserve">periodicity of </w:t>
            </w:r>
            <w:r>
              <w:t>pulling/processing statement</w:t>
            </w:r>
            <w:r w:rsidR="008B7EFD">
              <w:t>)</w:t>
            </w:r>
          </w:p>
          <w:p w14:paraId="5A2BC874" w14:textId="77777777" w:rsidR="00240964" w:rsidRDefault="00240964" w:rsidP="0008408D"/>
          <w:p w14:paraId="4887CAE6" w14:textId="77777777" w:rsidR="00EB7B3D" w:rsidRDefault="00EB7B3D" w:rsidP="0008408D"/>
          <w:p w14:paraId="1C7FBA37" w14:textId="77777777" w:rsidR="00EB7B3D" w:rsidRDefault="00EB7B3D" w:rsidP="00EB7B3D">
            <w:r>
              <w:t xml:space="preserve">Solutioning notes: </w:t>
            </w:r>
          </w:p>
          <w:p w14:paraId="35864BBE" w14:textId="3346EF98" w:rsidR="00EB7B3D" w:rsidRDefault="00FC2875" w:rsidP="00EB7B3D">
            <w:pPr>
              <w:pStyle w:val="ListParagraph"/>
              <w:numPr>
                <w:ilvl w:val="0"/>
                <w:numId w:val="3"/>
              </w:numPr>
            </w:pPr>
            <w:r>
              <w:t>Directory aspects related to C</w:t>
            </w:r>
            <w:r w:rsidR="00EB7B3D">
              <w:t xml:space="preserve">apability </w:t>
            </w:r>
            <w:r>
              <w:t xml:space="preserve">Statement </w:t>
            </w:r>
            <w:r w:rsidR="00EB198E">
              <w:t xml:space="preserve">(rules, </w:t>
            </w:r>
            <w:r w:rsidR="00EB7B3D">
              <w:t>registry</w:t>
            </w:r>
            <w:r w:rsidR="00EB198E">
              <w:t>)</w:t>
            </w:r>
          </w:p>
          <w:p w14:paraId="7B136317" w14:textId="13B3CD38" w:rsidR="00FC2875" w:rsidRDefault="00FC2875" w:rsidP="00EB7B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379" w:type="dxa"/>
          </w:tcPr>
          <w:p w14:paraId="31CD5E52" w14:textId="653D48E1" w:rsidR="000C0D47" w:rsidRDefault="00403070" w:rsidP="0080645F">
            <w:r>
              <w:t>None</w:t>
            </w:r>
          </w:p>
        </w:tc>
      </w:tr>
      <w:tr w:rsidR="000E6645" w14:paraId="5B71A39E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0086AA4C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2FAA976C" w14:textId="250C6D75" w:rsidR="000E6645" w:rsidRPr="00B40C24" w:rsidRDefault="00B40C24" w:rsidP="0080645F">
            <w:pPr>
              <w:rPr>
                <w:b/>
              </w:rPr>
            </w:pPr>
            <w:r w:rsidRPr="00B40C24">
              <w:rPr>
                <w:b/>
              </w:rPr>
              <w:t xml:space="preserve">Versioning: </w:t>
            </w:r>
            <w:r>
              <w:rPr>
                <w:b/>
              </w:rPr>
              <w:t xml:space="preserve">Multiple versions comprising </w:t>
            </w:r>
            <w:r w:rsidR="009422DD">
              <w:rPr>
                <w:b/>
              </w:rPr>
              <w:t xml:space="preserve">the record for a single patient </w:t>
            </w:r>
          </w:p>
        </w:tc>
        <w:tc>
          <w:tcPr>
            <w:tcW w:w="6480" w:type="dxa"/>
          </w:tcPr>
          <w:p w14:paraId="46042792" w14:textId="613E3FEC" w:rsidR="00DA6F46" w:rsidRDefault="00DA6F46" w:rsidP="0008408D">
            <w:r>
              <w:t>Depending on architectural models deployed</w:t>
            </w:r>
            <w:r w:rsidR="008F6313">
              <w:t xml:space="preserve"> for </w:t>
            </w:r>
            <w:r w:rsidR="00DA2CAF">
              <w:t>receiving and storing data</w:t>
            </w:r>
            <w:r>
              <w:t xml:space="preserve">: </w:t>
            </w:r>
          </w:p>
          <w:p w14:paraId="436FA3A6" w14:textId="77777777" w:rsidR="00DA6F46" w:rsidRDefault="00DA6F46" w:rsidP="0008408D"/>
          <w:p w14:paraId="6E218E26" w14:textId="286EF311" w:rsidR="000E6645" w:rsidRDefault="009422DD" w:rsidP="0008408D">
            <w:r>
              <w:t>Applying any kind of decision support across patient record</w:t>
            </w:r>
          </w:p>
          <w:p w14:paraId="62FD19E4" w14:textId="77777777" w:rsidR="009422DD" w:rsidRDefault="009422DD" w:rsidP="0008408D"/>
          <w:p w14:paraId="42C7CD6B" w14:textId="77777777" w:rsidR="009422DD" w:rsidRDefault="00F93912" w:rsidP="0008408D">
            <w:r>
              <w:t xml:space="preserve">Communicate record to another entity </w:t>
            </w:r>
          </w:p>
          <w:p w14:paraId="2023A10B" w14:textId="77777777" w:rsidR="00F93912" w:rsidRDefault="00F93912" w:rsidP="0008408D"/>
          <w:p w14:paraId="2E9DB8E8" w14:textId="06204C81" w:rsidR="00F93912" w:rsidRDefault="00F93912" w:rsidP="0008408D"/>
        </w:tc>
        <w:tc>
          <w:tcPr>
            <w:tcW w:w="3379" w:type="dxa"/>
          </w:tcPr>
          <w:p w14:paraId="73CB5B11" w14:textId="4A60638A" w:rsidR="000E6645" w:rsidRDefault="00A61F90" w:rsidP="0080645F">
            <w:r>
              <w:lastRenderedPageBreak/>
              <w:t>None</w:t>
            </w:r>
          </w:p>
        </w:tc>
      </w:tr>
      <w:tr w:rsidR="000E6645" w14:paraId="524ABF1D" w14:textId="77777777" w:rsidTr="0008408D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319EDBC3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366188E1" w14:textId="7718281F" w:rsidR="000E6645" w:rsidRPr="00A9348D" w:rsidRDefault="00A9348D" w:rsidP="0080645F">
            <w:pPr>
              <w:rPr>
                <w:b/>
              </w:rPr>
            </w:pPr>
            <w:r w:rsidRPr="00A9348D">
              <w:rPr>
                <w:b/>
              </w:rPr>
              <w:t xml:space="preserve">Versioning: Complexities created by Profiles that are version specific </w:t>
            </w:r>
          </w:p>
        </w:tc>
        <w:tc>
          <w:tcPr>
            <w:tcW w:w="6480" w:type="dxa"/>
          </w:tcPr>
          <w:p w14:paraId="37F58791" w14:textId="77777777" w:rsidR="000E6645" w:rsidRDefault="007572D4" w:rsidP="00710277">
            <w:r>
              <w:t xml:space="preserve">Extensions, profiles, and implementation guides are version specific.  This creates complexities when supporting multiple versions of FHIR and migration from one version to the next. </w:t>
            </w:r>
            <w:r w:rsidR="00C20317">
              <w:t xml:space="preserve">This is a substantial implementation issue. </w:t>
            </w:r>
          </w:p>
          <w:p w14:paraId="18DFD89E" w14:textId="01410F53" w:rsidR="00C20317" w:rsidRDefault="00C20317" w:rsidP="00710277"/>
        </w:tc>
        <w:tc>
          <w:tcPr>
            <w:tcW w:w="3379" w:type="dxa"/>
          </w:tcPr>
          <w:p w14:paraId="0075AB37" w14:textId="60C8A119" w:rsidR="000E6645" w:rsidRDefault="00250FDB" w:rsidP="0080645F">
            <w:r>
              <w:t xml:space="preserve">As </w:t>
            </w:r>
            <w:r w:rsidR="00635553">
              <w:t xml:space="preserve">the most </w:t>
            </w:r>
            <w:r w:rsidR="00555792">
              <w:t>common</w:t>
            </w:r>
            <w:r w:rsidR="00635553">
              <w:t>ly used</w:t>
            </w:r>
            <w:r w:rsidR="00555792">
              <w:t xml:space="preserve"> </w:t>
            </w:r>
            <w:r>
              <w:t xml:space="preserve">resources become </w:t>
            </w:r>
            <w:r w:rsidR="00635553">
              <w:t>“</w:t>
            </w:r>
            <w:r>
              <w:t>normative</w:t>
            </w:r>
            <w:r w:rsidR="00635553">
              <w:t>”</w:t>
            </w:r>
            <w:r>
              <w:t xml:space="preserve"> we expect this issue to be minimized</w:t>
            </w:r>
            <w:r w:rsidR="00635553">
              <w:t>.</w:t>
            </w:r>
          </w:p>
          <w:p w14:paraId="5C871CAB" w14:textId="77777777" w:rsidR="00250FDB" w:rsidRDefault="00250FDB" w:rsidP="0080645F"/>
          <w:p w14:paraId="5E85E90F" w14:textId="16AB7938" w:rsidR="00250FDB" w:rsidRDefault="00250FDB" w:rsidP="0080645F">
            <w:r>
              <w:t xml:space="preserve">Structured definition supporting multiple versions may be leveraged for certain use cases. </w:t>
            </w:r>
          </w:p>
        </w:tc>
      </w:tr>
      <w:tr w:rsidR="004E0C6E" w14:paraId="0D7C708A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18928D23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493D23C6" w14:textId="7E6FC13F" w:rsidR="004E0C6E" w:rsidRPr="00710277" w:rsidRDefault="004E0C6E" w:rsidP="004E0C6E">
            <w:pPr>
              <w:rPr>
                <w:b/>
              </w:rPr>
            </w:pPr>
            <w:r w:rsidRPr="00A9348D">
              <w:rPr>
                <w:b/>
              </w:rPr>
              <w:t xml:space="preserve">Versioning: Complexities created by Extensions </w:t>
            </w:r>
          </w:p>
        </w:tc>
        <w:tc>
          <w:tcPr>
            <w:tcW w:w="6480" w:type="dxa"/>
          </w:tcPr>
          <w:p w14:paraId="26B8F80A" w14:textId="78EE85E7" w:rsidR="004E0C6E" w:rsidRDefault="00213E7D" w:rsidP="004E0C6E">
            <w:r>
              <w:t>New version of FHIR introduces new content that impacts the definitions of the extensions or how the extensions are used (in Imp Guides</w:t>
            </w:r>
            <w:r w:rsidR="000B5D04">
              <w:t xml:space="preserve"> / resources</w:t>
            </w:r>
            <w:r>
              <w:t xml:space="preserve">) </w:t>
            </w:r>
          </w:p>
        </w:tc>
        <w:tc>
          <w:tcPr>
            <w:tcW w:w="3379" w:type="dxa"/>
          </w:tcPr>
          <w:p w14:paraId="21106842" w14:textId="27EE1E01" w:rsidR="004E0C6E" w:rsidRDefault="00BF4C74" w:rsidP="004E0C6E">
            <w:r>
              <w:t>As the most commonly used resources become “normative” we expect this issue to be</w:t>
            </w:r>
            <w:r>
              <w:t>come moot.</w:t>
            </w:r>
          </w:p>
        </w:tc>
      </w:tr>
      <w:tr w:rsidR="004E0C6E" w14:paraId="6DCE63D3" w14:textId="77777777" w:rsidTr="0008408D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79F61953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71367205" w14:textId="4A1D9535" w:rsidR="004E0C6E" w:rsidRPr="00AD141F" w:rsidRDefault="00AD141F" w:rsidP="004E0C6E">
            <w:pPr>
              <w:rPr>
                <w:b/>
              </w:rPr>
            </w:pPr>
            <w:r>
              <w:rPr>
                <w:b/>
              </w:rPr>
              <w:t xml:space="preserve">Versioning: </w:t>
            </w:r>
            <w:r w:rsidRPr="00AD141F">
              <w:rPr>
                <w:b/>
              </w:rPr>
              <w:t>FHIR versioning of RESTful APIs may differ from general industry definitions</w:t>
            </w:r>
          </w:p>
        </w:tc>
        <w:tc>
          <w:tcPr>
            <w:tcW w:w="6480" w:type="dxa"/>
          </w:tcPr>
          <w:p w14:paraId="50C1272C" w14:textId="57130E6E" w:rsidR="004E0C6E" w:rsidRDefault="000042A5" w:rsidP="004E0C6E">
            <w:r>
              <w:t xml:space="preserve">Because FHIR uses slightly different definitions </w:t>
            </w:r>
            <w:proofErr w:type="gramStart"/>
            <w:r>
              <w:t>in particular on</w:t>
            </w:r>
            <w:proofErr w:type="gramEnd"/>
            <w:r>
              <w:t xml:space="preserve"> versioning than the standard for RESTful APIs it creates additional complexities for organizations that are implementing and supporting both FHIR API and other RESTful APIs not based on FHIR. </w:t>
            </w:r>
          </w:p>
        </w:tc>
        <w:tc>
          <w:tcPr>
            <w:tcW w:w="3379" w:type="dxa"/>
          </w:tcPr>
          <w:p w14:paraId="1D08987B" w14:textId="1D08E388" w:rsidR="004E0C6E" w:rsidRDefault="001D31B8" w:rsidP="004E0C6E">
            <w:r>
              <w:t>Unknown</w:t>
            </w:r>
          </w:p>
        </w:tc>
      </w:tr>
      <w:tr w:rsidR="004E0C6E" w14:paraId="3F4D9018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21D877E3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087BF80A" w14:textId="6D03F926" w:rsidR="004E0C6E" w:rsidRPr="00841D37" w:rsidRDefault="00841D37" w:rsidP="004E0C6E">
            <w:pPr>
              <w:rPr>
                <w:b/>
              </w:rPr>
            </w:pPr>
            <w:r w:rsidRPr="00841D37">
              <w:rPr>
                <w:b/>
              </w:rPr>
              <w:t xml:space="preserve">Directory Services: </w:t>
            </w:r>
            <w:r w:rsidR="007F6109">
              <w:rPr>
                <w:b/>
              </w:rPr>
              <w:t xml:space="preserve">Endpoint Identification </w:t>
            </w:r>
          </w:p>
        </w:tc>
        <w:tc>
          <w:tcPr>
            <w:tcW w:w="6480" w:type="dxa"/>
          </w:tcPr>
          <w:p w14:paraId="16E7506E" w14:textId="01391766" w:rsidR="004E0C6E" w:rsidRDefault="00CA14DD" w:rsidP="004E0C6E">
            <w:r>
              <w:t xml:space="preserve">No current standard or implementation provides a reproducible method for </w:t>
            </w:r>
            <w:r w:rsidR="00810041">
              <w:t>finding a FHIR endpoint and its associated characteristics</w:t>
            </w:r>
            <w:r w:rsidR="00B27F9E">
              <w:t xml:space="preserve"> (that go above and beyond capability statement content)</w:t>
            </w:r>
          </w:p>
        </w:tc>
        <w:tc>
          <w:tcPr>
            <w:tcW w:w="3379" w:type="dxa"/>
          </w:tcPr>
          <w:p w14:paraId="372C59B0" w14:textId="77777777" w:rsidR="004E0C6E" w:rsidRDefault="00D5518D" w:rsidP="004E0C6E">
            <w:r>
              <w:t xml:space="preserve">Numerous efforts to incorporate FHIR endpoint information into existing </w:t>
            </w:r>
            <w:r w:rsidR="00B53B7C">
              <w:t xml:space="preserve">directory services – for example - Sequoia, </w:t>
            </w:r>
            <w:proofErr w:type="spellStart"/>
            <w:r w:rsidR="00B53B7C">
              <w:t>DirectTrust</w:t>
            </w:r>
            <w:proofErr w:type="spellEnd"/>
          </w:p>
          <w:p w14:paraId="41C2D9D1" w14:textId="77777777" w:rsidR="005D339D" w:rsidRDefault="005D339D" w:rsidP="004E0C6E"/>
          <w:p w14:paraId="430559A9" w14:textId="26780220" w:rsidR="005D339D" w:rsidRDefault="005D339D" w:rsidP="004E0C6E">
            <w:r>
              <w:t xml:space="preserve">May be an aspect of ONC Certification final rule </w:t>
            </w:r>
            <w:r w:rsidR="00872F51">
              <w:t xml:space="preserve">- </w:t>
            </w:r>
            <w:r w:rsidR="00872F51">
              <w:rPr>
                <w:i/>
                <w:iCs/>
                <w:sz w:val="23"/>
                <w:szCs w:val="23"/>
              </w:rPr>
              <w:t>Service Base URL</w:t>
            </w:r>
            <w:r w:rsidR="0053453B">
              <w:rPr>
                <w:i/>
                <w:iCs/>
                <w:sz w:val="23"/>
                <w:szCs w:val="23"/>
              </w:rPr>
              <w:t xml:space="preserve"> (</w:t>
            </w:r>
            <w:proofErr w:type="spellStart"/>
            <w:r w:rsidR="0053453B">
              <w:rPr>
                <w:i/>
                <w:iCs/>
                <w:sz w:val="23"/>
                <w:szCs w:val="23"/>
              </w:rPr>
              <w:t>a</w:t>
            </w:r>
            <w:r w:rsidR="00A975A2">
              <w:rPr>
                <w:i/>
                <w:iCs/>
                <w:sz w:val="23"/>
                <w:szCs w:val="23"/>
              </w:rPr>
              <w:t>.</w:t>
            </w:r>
            <w:r w:rsidR="0053453B">
              <w:rPr>
                <w:i/>
                <w:iCs/>
                <w:sz w:val="23"/>
                <w:szCs w:val="23"/>
              </w:rPr>
              <w:t>k</w:t>
            </w:r>
            <w:r w:rsidR="00A975A2">
              <w:rPr>
                <w:i/>
                <w:iCs/>
                <w:sz w:val="23"/>
                <w:szCs w:val="23"/>
              </w:rPr>
              <w:t>.</w:t>
            </w:r>
            <w:proofErr w:type="gramStart"/>
            <w:r w:rsidR="0053453B">
              <w:rPr>
                <w:i/>
                <w:iCs/>
                <w:sz w:val="23"/>
                <w:szCs w:val="23"/>
              </w:rPr>
              <w:t>a</w:t>
            </w:r>
            <w:proofErr w:type="spellEnd"/>
            <w:proofErr w:type="gramEnd"/>
            <w:r w:rsidR="0053453B">
              <w:rPr>
                <w:i/>
                <w:iCs/>
                <w:sz w:val="23"/>
                <w:szCs w:val="23"/>
              </w:rPr>
              <w:t xml:space="preserve"> endpoint)</w:t>
            </w:r>
          </w:p>
        </w:tc>
      </w:tr>
      <w:tr w:rsidR="004E0C6E" w14:paraId="766FF03D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1D9DD18C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4A7C9FC1" w14:textId="6C61D0DE" w:rsidR="004E0C6E" w:rsidRDefault="00CC0B1F" w:rsidP="004E0C6E">
            <w:r w:rsidRPr="00841D37">
              <w:rPr>
                <w:b/>
              </w:rPr>
              <w:t xml:space="preserve">Directory Services: </w:t>
            </w:r>
            <w:r w:rsidR="0089343E">
              <w:rPr>
                <w:b/>
              </w:rPr>
              <w:t xml:space="preserve">Endpoint Characteristics </w:t>
            </w:r>
          </w:p>
        </w:tc>
        <w:tc>
          <w:tcPr>
            <w:tcW w:w="6480" w:type="dxa"/>
          </w:tcPr>
          <w:p w14:paraId="2A099C49" w14:textId="45D832D7" w:rsidR="004E0C6E" w:rsidRDefault="0089343E" w:rsidP="004E0C6E">
            <w:r>
              <w:t xml:space="preserve">Currently no standard or implementation </w:t>
            </w:r>
            <w:r w:rsidR="001041C8">
              <w:t xml:space="preserve">that specifies additional endpoint attributes. These include, but are not limited </w:t>
            </w:r>
            <w:proofErr w:type="gramStart"/>
            <w:r w:rsidR="001041C8">
              <w:t>to</w:t>
            </w:r>
            <w:r w:rsidR="004A736C">
              <w:t>:</w:t>
            </w:r>
            <w:proofErr w:type="gramEnd"/>
            <w:r w:rsidR="004A736C">
              <w:t xml:space="preserve"> </w:t>
            </w:r>
            <w:r w:rsidR="001041C8">
              <w:t xml:space="preserve">trust framework, authentication requirements, FHIR version(s), </w:t>
            </w:r>
            <w:r w:rsidR="00DA0E21">
              <w:t>supported services, certification and testing</w:t>
            </w:r>
            <w:r w:rsidR="004A736C">
              <w:t>.</w:t>
            </w:r>
          </w:p>
        </w:tc>
        <w:tc>
          <w:tcPr>
            <w:tcW w:w="3379" w:type="dxa"/>
          </w:tcPr>
          <w:p w14:paraId="2A8EC99E" w14:textId="4263EE78" w:rsidR="007A2862" w:rsidRDefault="000800A1" w:rsidP="004E0C6E">
            <w:r>
              <w:t xml:space="preserve">FHIR endpoint resource supports some attribute information. </w:t>
            </w:r>
            <w:r w:rsidR="001E7B97">
              <w:t>FHIR endpoint resources is not normative</w:t>
            </w:r>
            <w:r w:rsidR="001E7B97">
              <w:t>.</w:t>
            </w:r>
          </w:p>
          <w:p w14:paraId="2A7C24A9" w14:textId="77777777" w:rsidR="007A2862" w:rsidRDefault="007A2862" w:rsidP="004E0C6E"/>
          <w:p w14:paraId="4DBD68F2" w14:textId="2D9F7A30" w:rsidR="004E0C6E" w:rsidRDefault="00E84046" w:rsidP="004E0C6E">
            <w:r>
              <w:t xml:space="preserve">Specific directory implementation </w:t>
            </w:r>
            <w:r w:rsidR="007A2862">
              <w:t xml:space="preserve">– see point 8 – may define some additional attributes. </w:t>
            </w:r>
          </w:p>
        </w:tc>
      </w:tr>
      <w:tr w:rsidR="004E0C6E" w14:paraId="78665BBA" w14:textId="77777777" w:rsidTr="0008408D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3F605CAE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6ED05740" w14:textId="50C401EF" w:rsidR="004E0C6E" w:rsidRDefault="0024453E" w:rsidP="004E0C6E">
            <w:r w:rsidRPr="00841D37">
              <w:rPr>
                <w:b/>
              </w:rPr>
              <w:t>Directory Services:</w:t>
            </w:r>
            <w:r>
              <w:rPr>
                <w:b/>
              </w:rPr>
              <w:t xml:space="preserve"> Currency </w:t>
            </w:r>
            <w:r w:rsidR="00181C0F">
              <w:rPr>
                <w:b/>
              </w:rPr>
              <w:t xml:space="preserve">and Accuracy </w:t>
            </w:r>
            <w:r>
              <w:rPr>
                <w:b/>
              </w:rPr>
              <w:t xml:space="preserve">of Directory Endpoint Information </w:t>
            </w:r>
          </w:p>
        </w:tc>
        <w:tc>
          <w:tcPr>
            <w:tcW w:w="6480" w:type="dxa"/>
          </w:tcPr>
          <w:p w14:paraId="49B01C80" w14:textId="0B901FAA" w:rsidR="009A17B2" w:rsidRDefault="0024453E" w:rsidP="004E0C6E">
            <w:r>
              <w:t xml:space="preserve">Currently no standard process for keeping </w:t>
            </w:r>
            <w:r w:rsidR="00C01DB7">
              <w:t>endpoint published information current</w:t>
            </w:r>
            <w:r w:rsidR="009A17B2">
              <w:t xml:space="preserve"> and validating its accuracy</w:t>
            </w:r>
            <w:r w:rsidR="00C01DB7">
              <w:t xml:space="preserve">. This creates uncertainty in using any </w:t>
            </w:r>
            <w:r w:rsidR="00A77866">
              <w:t xml:space="preserve">directory of endpoints. </w:t>
            </w:r>
          </w:p>
        </w:tc>
        <w:tc>
          <w:tcPr>
            <w:tcW w:w="3379" w:type="dxa"/>
          </w:tcPr>
          <w:p w14:paraId="044223DC" w14:textId="50C69F82" w:rsidR="004E0C6E" w:rsidRDefault="00A77866" w:rsidP="004E0C6E">
            <w:r>
              <w:t xml:space="preserve">May be an aspect </w:t>
            </w:r>
            <w:r w:rsidR="00181C0F">
              <w:t xml:space="preserve">addressed by </w:t>
            </w:r>
            <w:r>
              <w:t xml:space="preserve">ONC </w:t>
            </w:r>
            <w:r w:rsidR="00181C0F">
              <w:t xml:space="preserve">final </w:t>
            </w:r>
            <w:r>
              <w:t>rule</w:t>
            </w:r>
            <w:r w:rsidR="00181C0F">
              <w:t xml:space="preserve"> </w:t>
            </w:r>
          </w:p>
        </w:tc>
      </w:tr>
      <w:tr w:rsidR="004E0C6E" w14:paraId="237B02F7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09D9E03D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067C4CC5" w14:textId="768C811D" w:rsidR="004E0C6E" w:rsidRDefault="00664F8A" w:rsidP="004E0C6E">
            <w:r w:rsidRPr="00841D37">
              <w:rPr>
                <w:b/>
              </w:rPr>
              <w:t>Directory Services:</w:t>
            </w:r>
            <w:r>
              <w:rPr>
                <w:b/>
              </w:rPr>
              <w:t xml:space="preserve"> Restricting Access to Endpoint Information </w:t>
            </w:r>
          </w:p>
        </w:tc>
        <w:tc>
          <w:tcPr>
            <w:tcW w:w="6480" w:type="dxa"/>
          </w:tcPr>
          <w:p w14:paraId="6999D56A" w14:textId="38378AB8" w:rsidR="004E0C6E" w:rsidRDefault="00973361" w:rsidP="004E0C6E">
            <w:r>
              <w:t xml:space="preserve">The DVS Tiger Team anticipates that </w:t>
            </w:r>
            <w:r w:rsidR="00CA357D">
              <w:t xml:space="preserve">certain endpoints will not be generally available (regardless of authentication) and any directory service may need to </w:t>
            </w:r>
            <w:r w:rsidR="00ED656B">
              <w:t xml:space="preserve">restrict discoverability for those specific endpoints. This may be necessary to minimize attacks </w:t>
            </w:r>
            <w:r w:rsidR="003F173A">
              <w:t xml:space="preserve">on these endpoints by the malicious third parties. </w:t>
            </w:r>
          </w:p>
        </w:tc>
        <w:tc>
          <w:tcPr>
            <w:tcW w:w="3379" w:type="dxa"/>
          </w:tcPr>
          <w:p w14:paraId="4D9D3805" w14:textId="199AF0F8" w:rsidR="004E0C6E" w:rsidRDefault="003F173A" w:rsidP="004E0C6E">
            <w:r>
              <w:t>Unknown</w:t>
            </w:r>
          </w:p>
        </w:tc>
      </w:tr>
      <w:tr w:rsidR="004E0C6E" w14:paraId="3C1B6CED" w14:textId="77777777" w:rsidTr="0008408D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412D8DD4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0BA6DE87" w14:textId="6E58D423" w:rsidR="004E0C6E" w:rsidRPr="00B35453" w:rsidRDefault="00B35453" w:rsidP="004E0C6E">
            <w:pPr>
              <w:rPr>
                <w:b/>
              </w:rPr>
            </w:pPr>
            <w:r w:rsidRPr="00B35453">
              <w:rPr>
                <w:b/>
              </w:rPr>
              <w:t>Scaling:</w:t>
            </w:r>
            <w:r w:rsidRPr="00B35453">
              <w:rPr>
                <w:b/>
                <w:i/>
              </w:rPr>
              <w:t xml:space="preserve"> Items TBD</w:t>
            </w:r>
          </w:p>
        </w:tc>
        <w:tc>
          <w:tcPr>
            <w:tcW w:w="6480" w:type="dxa"/>
          </w:tcPr>
          <w:p w14:paraId="1BB392B9" w14:textId="77777777" w:rsidR="004E0C6E" w:rsidRDefault="004E0C6E" w:rsidP="004E0C6E"/>
        </w:tc>
        <w:tc>
          <w:tcPr>
            <w:tcW w:w="3379" w:type="dxa"/>
          </w:tcPr>
          <w:p w14:paraId="53108717" w14:textId="77777777" w:rsidR="004E0C6E" w:rsidRDefault="004E0C6E" w:rsidP="004E0C6E"/>
        </w:tc>
      </w:tr>
      <w:tr w:rsidR="004E0C6E" w14:paraId="13FAA976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032E8556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2ABDE16D" w14:textId="77777777" w:rsidR="004E0C6E" w:rsidRDefault="004E0C6E" w:rsidP="004E0C6E"/>
        </w:tc>
        <w:tc>
          <w:tcPr>
            <w:tcW w:w="6480" w:type="dxa"/>
          </w:tcPr>
          <w:p w14:paraId="517DDA61" w14:textId="77777777" w:rsidR="004E0C6E" w:rsidRDefault="004E0C6E" w:rsidP="004E0C6E"/>
        </w:tc>
        <w:tc>
          <w:tcPr>
            <w:tcW w:w="3379" w:type="dxa"/>
          </w:tcPr>
          <w:p w14:paraId="642FAC87" w14:textId="77777777" w:rsidR="004E0C6E" w:rsidRDefault="004E0C6E" w:rsidP="004E0C6E"/>
        </w:tc>
      </w:tr>
      <w:tr w:rsidR="004E0C6E" w14:paraId="7D5BC78A" w14:textId="77777777" w:rsidTr="0008408D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1243D55C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4F5CD475" w14:textId="77777777" w:rsidR="004E0C6E" w:rsidRDefault="004E0C6E" w:rsidP="004E0C6E"/>
        </w:tc>
        <w:tc>
          <w:tcPr>
            <w:tcW w:w="6480" w:type="dxa"/>
          </w:tcPr>
          <w:p w14:paraId="374F6286" w14:textId="77777777" w:rsidR="004E0C6E" w:rsidRDefault="004E0C6E" w:rsidP="004E0C6E"/>
        </w:tc>
        <w:tc>
          <w:tcPr>
            <w:tcW w:w="3379" w:type="dxa"/>
          </w:tcPr>
          <w:p w14:paraId="7B83763C" w14:textId="77777777" w:rsidR="004E0C6E" w:rsidRDefault="004E0C6E" w:rsidP="004E0C6E"/>
        </w:tc>
      </w:tr>
      <w:tr w:rsidR="004E0C6E" w14:paraId="4477467D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45030121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1F4F1C8B" w14:textId="77777777" w:rsidR="004E0C6E" w:rsidRDefault="004E0C6E" w:rsidP="004E0C6E"/>
        </w:tc>
        <w:tc>
          <w:tcPr>
            <w:tcW w:w="6480" w:type="dxa"/>
          </w:tcPr>
          <w:p w14:paraId="3906B3E6" w14:textId="77777777" w:rsidR="004E0C6E" w:rsidRDefault="004E0C6E" w:rsidP="004E0C6E"/>
        </w:tc>
        <w:tc>
          <w:tcPr>
            <w:tcW w:w="3379" w:type="dxa"/>
          </w:tcPr>
          <w:p w14:paraId="51304942" w14:textId="77777777" w:rsidR="004E0C6E" w:rsidRDefault="004E0C6E" w:rsidP="004E0C6E"/>
        </w:tc>
      </w:tr>
      <w:tr w:rsidR="004E0C6E" w14:paraId="2B771AE9" w14:textId="77777777" w:rsidTr="0008408D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2ED7F743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2E35949E" w14:textId="77777777" w:rsidR="004E0C6E" w:rsidRDefault="004E0C6E" w:rsidP="004E0C6E"/>
        </w:tc>
        <w:tc>
          <w:tcPr>
            <w:tcW w:w="6480" w:type="dxa"/>
          </w:tcPr>
          <w:p w14:paraId="58932B9E" w14:textId="77777777" w:rsidR="004E0C6E" w:rsidRDefault="004E0C6E" w:rsidP="004E0C6E"/>
        </w:tc>
        <w:tc>
          <w:tcPr>
            <w:tcW w:w="3379" w:type="dxa"/>
          </w:tcPr>
          <w:p w14:paraId="20FD2B69" w14:textId="77777777" w:rsidR="004E0C6E" w:rsidRDefault="004E0C6E" w:rsidP="004E0C6E"/>
        </w:tc>
      </w:tr>
      <w:tr w:rsidR="004E0C6E" w14:paraId="39E61EDC" w14:textId="77777777" w:rsidTr="0008408D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1350263A" w14:textId="77777777" w:rsidR="004E0C6E" w:rsidRDefault="004E0C6E" w:rsidP="004E0C6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22" w:type="dxa"/>
          </w:tcPr>
          <w:p w14:paraId="04D740C9" w14:textId="77777777" w:rsidR="004E0C6E" w:rsidRDefault="004E0C6E" w:rsidP="004E0C6E"/>
        </w:tc>
        <w:tc>
          <w:tcPr>
            <w:tcW w:w="6480" w:type="dxa"/>
          </w:tcPr>
          <w:p w14:paraId="50DD1DF5" w14:textId="77777777" w:rsidR="004E0C6E" w:rsidRDefault="004E0C6E" w:rsidP="004E0C6E"/>
        </w:tc>
        <w:tc>
          <w:tcPr>
            <w:tcW w:w="3379" w:type="dxa"/>
          </w:tcPr>
          <w:p w14:paraId="4DD33005" w14:textId="77777777" w:rsidR="004E0C6E" w:rsidRDefault="004E0C6E" w:rsidP="004E0C6E"/>
        </w:tc>
      </w:tr>
    </w:tbl>
    <w:p w14:paraId="4C3ABF1A" w14:textId="77777777" w:rsidR="000E6645" w:rsidRDefault="000E6645" w:rsidP="0080645F">
      <w:pPr>
        <w:sectPr w:rsidR="000E6645" w:rsidSect="000E664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4C238D7" w14:textId="77777777" w:rsidR="0080645F" w:rsidRPr="0080645F" w:rsidRDefault="0080645F" w:rsidP="0080645F"/>
    <w:sectPr w:rsidR="0080645F" w:rsidRPr="0080645F" w:rsidSect="0080645F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6A0"/>
    <w:multiLevelType w:val="hybridMultilevel"/>
    <w:tmpl w:val="ADD2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15964"/>
    <w:multiLevelType w:val="hybridMultilevel"/>
    <w:tmpl w:val="4C5E4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1660"/>
    <w:multiLevelType w:val="hybridMultilevel"/>
    <w:tmpl w:val="355A260C"/>
    <w:lvl w:ilvl="0" w:tplc="33F80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5F"/>
    <w:rsid w:val="000042A5"/>
    <w:rsid w:val="00015E3E"/>
    <w:rsid w:val="00042D29"/>
    <w:rsid w:val="000771CC"/>
    <w:rsid w:val="000800A1"/>
    <w:rsid w:val="00082F4A"/>
    <w:rsid w:val="0008408D"/>
    <w:rsid w:val="000B0FD2"/>
    <w:rsid w:val="000B5D04"/>
    <w:rsid w:val="000C0D47"/>
    <w:rsid w:val="000E6645"/>
    <w:rsid w:val="000E6BBD"/>
    <w:rsid w:val="001005A8"/>
    <w:rsid w:val="001041C8"/>
    <w:rsid w:val="001767FB"/>
    <w:rsid w:val="00177FD7"/>
    <w:rsid w:val="00181C0F"/>
    <w:rsid w:val="00187E98"/>
    <w:rsid w:val="001951FD"/>
    <w:rsid w:val="001A1930"/>
    <w:rsid w:val="001D31B8"/>
    <w:rsid w:val="001E7B97"/>
    <w:rsid w:val="001F072F"/>
    <w:rsid w:val="001F680A"/>
    <w:rsid w:val="00213E7D"/>
    <w:rsid w:val="00240964"/>
    <w:rsid w:val="0024453E"/>
    <w:rsid w:val="00250FDB"/>
    <w:rsid w:val="00256716"/>
    <w:rsid w:val="002700A4"/>
    <w:rsid w:val="0028596F"/>
    <w:rsid w:val="00287296"/>
    <w:rsid w:val="0029511E"/>
    <w:rsid w:val="002A18E0"/>
    <w:rsid w:val="003443D9"/>
    <w:rsid w:val="00350750"/>
    <w:rsid w:val="003A6CEC"/>
    <w:rsid w:val="003D0BFF"/>
    <w:rsid w:val="003D45A6"/>
    <w:rsid w:val="003F173A"/>
    <w:rsid w:val="003F22EE"/>
    <w:rsid w:val="00403070"/>
    <w:rsid w:val="0043174F"/>
    <w:rsid w:val="004739C6"/>
    <w:rsid w:val="004A736C"/>
    <w:rsid w:val="004B7FCA"/>
    <w:rsid w:val="004E0C6E"/>
    <w:rsid w:val="00503B8A"/>
    <w:rsid w:val="005174D0"/>
    <w:rsid w:val="0053453B"/>
    <w:rsid w:val="00546946"/>
    <w:rsid w:val="00546A2A"/>
    <w:rsid w:val="00555792"/>
    <w:rsid w:val="0057278A"/>
    <w:rsid w:val="005C3BD9"/>
    <w:rsid w:val="005D339D"/>
    <w:rsid w:val="00635553"/>
    <w:rsid w:val="00662BA7"/>
    <w:rsid w:val="00664F8A"/>
    <w:rsid w:val="0067192C"/>
    <w:rsid w:val="00692345"/>
    <w:rsid w:val="006C5029"/>
    <w:rsid w:val="00710277"/>
    <w:rsid w:val="007205A2"/>
    <w:rsid w:val="00741BBF"/>
    <w:rsid w:val="007572D4"/>
    <w:rsid w:val="007A2862"/>
    <w:rsid w:val="007C4357"/>
    <w:rsid w:val="007F6109"/>
    <w:rsid w:val="0080645F"/>
    <w:rsid w:val="00810041"/>
    <w:rsid w:val="00841D37"/>
    <w:rsid w:val="0086730B"/>
    <w:rsid w:val="00872F51"/>
    <w:rsid w:val="0089343E"/>
    <w:rsid w:val="00893C5A"/>
    <w:rsid w:val="008B24F2"/>
    <w:rsid w:val="008B7EFD"/>
    <w:rsid w:val="008D239A"/>
    <w:rsid w:val="008F6313"/>
    <w:rsid w:val="009422DD"/>
    <w:rsid w:val="0097134E"/>
    <w:rsid w:val="00973361"/>
    <w:rsid w:val="009A17B2"/>
    <w:rsid w:val="009B771B"/>
    <w:rsid w:val="00A56C01"/>
    <w:rsid w:val="00A60AC9"/>
    <w:rsid w:val="00A61F90"/>
    <w:rsid w:val="00A70988"/>
    <w:rsid w:val="00A77866"/>
    <w:rsid w:val="00A9348D"/>
    <w:rsid w:val="00A975A2"/>
    <w:rsid w:val="00AA68D4"/>
    <w:rsid w:val="00AA6F4D"/>
    <w:rsid w:val="00AD141F"/>
    <w:rsid w:val="00AF7C44"/>
    <w:rsid w:val="00B246A9"/>
    <w:rsid w:val="00B27F9E"/>
    <w:rsid w:val="00B35453"/>
    <w:rsid w:val="00B40C24"/>
    <w:rsid w:val="00B53B7C"/>
    <w:rsid w:val="00B71079"/>
    <w:rsid w:val="00BF4C74"/>
    <w:rsid w:val="00C01DB7"/>
    <w:rsid w:val="00C20317"/>
    <w:rsid w:val="00C458A9"/>
    <w:rsid w:val="00C90189"/>
    <w:rsid w:val="00C9577C"/>
    <w:rsid w:val="00CA14DD"/>
    <w:rsid w:val="00CA357D"/>
    <w:rsid w:val="00CB4B46"/>
    <w:rsid w:val="00CC0B1F"/>
    <w:rsid w:val="00CF3ED7"/>
    <w:rsid w:val="00D46AB5"/>
    <w:rsid w:val="00D54517"/>
    <w:rsid w:val="00D5518D"/>
    <w:rsid w:val="00D901C4"/>
    <w:rsid w:val="00D93421"/>
    <w:rsid w:val="00DA0E21"/>
    <w:rsid w:val="00DA2CAF"/>
    <w:rsid w:val="00DA6F46"/>
    <w:rsid w:val="00DB003F"/>
    <w:rsid w:val="00DB3CB0"/>
    <w:rsid w:val="00DE4D11"/>
    <w:rsid w:val="00E33F9A"/>
    <w:rsid w:val="00E4717C"/>
    <w:rsid w:val="00E768D0"/>
    <w:rsid w:val="00E84046"/>
    <w:rsid w:val="00EA23D8"/>
    <w:rsid w:val="00EA338A"/>
    <w:rsid w:val="00EB198E"/>
    <w:rsid w:val="00EB7B3D"/>
    <w:rsid w:val="00ED656B"/>
    <w:rsid w:val="00F01671"/>
    <w:rsid w:val="00F93912"/>
    <w:rsid w:val="00FC2875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5D2C"/>
  <w15:docId w15:val="{576D47BA-4044-47A2-9EAD-EA7BE00B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4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Ciricean, Diana (OS/ONC)</dc:creator>
  <cp:lastModifiedBy>Alix Goss</cp:lastModifiedBy>
  <cp:revision>124</cp:revision>
  <dcterms:created xsi:type="dcterms:W3CDTF">2019-04-09T14:48:00Z</dcterms:created>
  <dcterms:modified xsi:type="dcterms:W3CDTF">2019-04-25T17:59:00Z</dcterms:modified>
</cp:coreProperties>
</file>