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B343" w14:textId="77777777" w:rsidR="005174D0" w:rsidRDefault="0080645F" w:rsidP="0080645F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0E6645">
        <w:rPr>
          <w:rFonts w:ascii="Times New Roman" w:hAnsi="Times New Roman" w:cs="Times New Roman"/>
          <w:sz w:val="40"/>
          <w:szCs w:val="40"/>
        </w:rPr>
        <w:t>FHIR at Scale Taskforce (</w:t>
      </w:r>
      <w:r w:rsidRPr="000E6645">
        <w:rPr>
          <w:rFonts w:ascii="Times New Roman" w:hAnsi="Times New Roman" w:cs="Times New Roman"/>
          <w:i/>
          <w:sz w:val="40"/>
          <w:szCs w:val="40"/>
        </w:rPr>
        <w:t>FAST</w:t>
      </w:r>
      <w:r w:rsidRPr="000E6645">
        <w:rPr>
          <w:rFonts w:ascii="Times New Roman" w:hAnsi="Times New Roman" w:cs="Times New Roman"/>
          <w:sz w:val="40"/>
          <w:szCs w:val="40"/>
        </w:rPr>
        <w:t>)</w:t>
      </w:r>
    </w:p>
    <w:p w14:paraId="0B10E078" w14:textId="77777777" w:rsidR="001005A8" w:rsidRPr="001005A8" w:rsidRDefault="001005A8" w:rsidP="001005A8"/>
    <w:p w14:paraId="218007E1" w14:textId="77777777" w:rsidR="0080645F" w:rsidRPr="001005A8" w:rsidRDefault="001F072F" w:rsidP="0080645F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Regulatory</w:t>
      </w:r>
      <w:r w:rsidR="00256716">
        <w:rPr>
          <w:rFonts w:ascii="Times New Roman" w:hAnsi="Times New Roman" w:cs="Times New Roman"/>
          <w:sz w:val="40"/>
          <w:szCs w:val="40"/>
        </w:rPr>
        <w:t>/Policy</w:t>
      </w:r>
      <w:r w:rsidR="0080645F" w:rsidRPr="001005A8">
        <w:rPr>
          <w:rFonts w:ascii="Times New Roman" w:hAnsi="Times New Roman" w:cs="Times New Roman"/>
          <w:sz w:val="40"/>
          <w:szCs w:val="40"/>
        </w:rPr>
        <w:t xml:space="preserve"> barriers to FHIR solutions scalability</w:t>
      </w:r>
    </w:p>
    <w:p w14:paraId="47BB03A0" w14:textId="1099A5D2" w:rsidR="001005A8" w:rsidRDefault="001005A8" w:rsidP="001005A8">
      <w:pPr>
        <w:jc w:val="center"/>
        <w:rPr>
          <w:sz w:val="32"/>
          <w:szCs w:val="32"/>
        </w:rPr>
      </w:pPr>
      <w:r w:rsidRPr="001005A8">
        <w:rPr>
          <w:sz w:val="32"/>
          <w:szCs w:val="32"/>
        </w:rPr>
        <w:t xml:space="preserve">Tiger Team Name: </w:t>
      </w:r>
      <w:r w:rsidR="003443D9">
        <w:rPr>
          <w:sz w:val="32"/>
          <w:szCs w:val="32"/>
        </w:rPr>
        <w:t>All</w:t>
      </w:r>
    </w:p>
    <w:p w14:paraId="6C86F680" w14:textId="77777777" w:rsidR="001005A8" w:rsidRPr="001005A8" w:rsidRDefault="001005A8" w:rsidP="001005A8">
      <w:pPr>
        <w:jc w:val="center"/>
        <w:rPr>
          <w:sz w:val="32"/>
          <w:szCs w:val="32"/>
        </w:rPr>
      </w:pPr>
    </w:p>
    <w:p w14:paraId="10AB837D" w14:textId="77777777" w:rsidR="0080645F" w:rsidRPr="001005A8" w:rsidRDefault="001005A8" w:rsidP="0080645F">
      <w:pPr>
        <w:rPr>
          <w:color w:val="808080" w:themeColor="background1" w:themeShade="80"/>
        </w:rPr>
      </w:pPr>
      <w:r w:rsidRPr="001005A8">
        <w:rPr>
          <w:color w:val="808080" w:themeColor="background1" w:themeShade="80"/>
        </w:rPr>
        <w:t>**</w:t>
      </w:r>
      <w:r>
        <w:rPr>
          <w:color w:val="808080" w:themeColor="background1" w:themeShade="80"/>
        </w:rPr>
        <w:t>Teams to focus f</w:t>
      </w:r>
      <w:r w:rsidRPr="001005A8">
        <w:rPr>
          <w:color w:val="808080" w:themeColor="background1" w:themeShade="80"/>
        </w:rPr>
        <w:t xml:space="preserve">irst focus on A. and B. and later on C. </w:t>
      </w:r>
    </w:p>
    <w:tbl>
      <w:tblPr>
        <w:tblStyle w:val="TableGrid"/>
        <w:tblW w:w="14017" w:type="dxa"/>
        <w:tblLook w:val="04A0" w:firstRow="1" w:lastRow="0" w:firstColumn="1" w:lastColumn="0" w:noHBand="0" w:noVBand="1"/>
      </w:tblPr>
      <w:tblGrid>
        <w:gridCol w:w="435"/>
        <w:gridCol w:w="4774"/>
        <w:gridCol w:w="2845"/>
        <w:gridCol w:w="5963"/>
      </w:tblGrid>
      <w:tr w:rsidR="000E6645" w14:paraId="6908B4ED" w14:textId="77777777" w:rsidTr="0027070E">
        <w:trPr>
          <w:trHeight w:val="1322"/>
        </w:trPr>
        <w:tc>
          <w:tcPr>
            <w:tcW w:w="536" w:type="dxa"/>
            <w:shd w:val="clear" w:color="auto" w:fill="EDEDED" w:themeFill="accent3" w:themeFillTint="33"/>
          </w:tcPr>
          <w:p w14:paraId="1EE016F9" w14:textId="77777777" w:rsidR="000E6645" w:rsidRPr="000E6645" w:rsidRDefault="000E6645" w:rsidP="000E6645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EDEDED" w:themeFill="accent3" w:themeFillTint="33"/>
          </w:tcPr>
          <w:p w14:paraId="15DE09A7" w14:textId="77777777" w:rsidR="000E6645" w:rsidRPr="000E6645" w:rsidRDefault="000E6645" w:rsidP="001005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0E664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What is the </w:t>
            </w:r>
            <w:r w:rsidR="001F072F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regulatory</w:t>
            </w:r>
            <w:r w:rsidR="00256716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/policy</w:t>
            </w:r>
            <w:r w:rsidRPr="000E664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 barrier identified?</w:t>
            </w:r>
          </w:p>
          <w:p w14:paraId="0225122E" w14:textId="77777777" w:rsidR="000E6645" w:rsidRPr="000E6645" w:rsidRDefault="000E6645" w:rsidP="001005A8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EDEDED" w:themeFill="accent3" w:themeFillTint="33"/>
          </w:tcPr>
          <w:p w14:paraId="63371F43" w14:textId="77777777" w:rsidR="000E6645" w:rsidRPr="000E6645" w:rsidRDefault="000E6645" w:rsidP="001005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0E664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Why is this a barrier to scalability?</w:t>
            </w:r>
          </w:p>
          <w:p w14:paraId="54B74228" w14:textId="77777777" w:rsidR="000E6645" w:rsidRPr="000E6645" w:rsidRDefault="000E6645" w:rsidP="001005A8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335" w:type="dxa"/>
            <w:shd w:val="clear" w:color="auto" w:fill="EDEDED" w:themeFill="accent3" w:themeFillTint="33"/>
          </w:tcPr>
          <w:p w14:paraId="1571C9D5" w14:textId="77777777" w:rsidR="000E6645" w:rsidRPr="000E6645" w:rsidRDefault="000E6645" w:rsidP="001005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0E6645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What are the exiting industry efforts working to remove this barrier</w:t>
            </w:r>
            <w:r w:rsidR="001F072F"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>?</w:t>
            </w:r>
          </w:p>
          <w:p w14:paraId="4958A6ED" w14:textId="77777777" w:rsidR="000E6645" w:rsidRPr="000E6645" w:rsidRDefault="000E6645" w:rsidP="001005A8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</w:tr>
      <w:tr w:rsidR="000E6645" w14:paraId="35B6BEF7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0E11D858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5DA55F30" w14:textId="4AD09CC3" w:rsidR="000E6645" w:rsidRDefault="003443D9" w:rsidP="0080645F">
            <w:r>
              <w:t>HIPAA Minimum Necessary</w:t>
            </w:r>
            <w:r w:rsidR="00127151">
              <w:t xml:space="preserve"> (and with consideration for additionally protected data</w:t>
            </w:r>
            <w:r w:rsidR="003213E6">
              <w:t xml:space="preserve"> under federal law and more state privacy laws)</w:t>
            </w:r>
          </w:p>
        </w:tc>
        <w:tc>
          <w:tcPr>
            <w:tcW w:w="3299" w:type="dxa"/>
          </w:tcPr>
          <w:p w14:paraId="2C41AF9F" w14:textId="0E23B575" w:rsidR="000E6645" w:rsidRDefault="003443D9" w:rsidP="0080645F">
            <w:r>
              <w:t>When payers have access to patient’ medical records using FHIR, the question of “minimum necessary” will become a significant issue since the current human mediated response will no longer take place.</w:t>
            </w:r>
          </w:p>
        </w:tc>
        <w:tc>
          <w:tcPr>
            <w:tcW w:w="4335" w:type="dxa"/>
          </w:tcPr>
          <w:p w14:paraId="65A3EC37" w14:textId="4584FD80" w:rsidR="000E6645" w:rsidRDefault="00411155" w:rsidP="0080645F">
            <w:r>
              <w:t xml:space="preserve">Congressional discussions </w:t>
            </w:r>
            <w:r w:rsidR="00D147E7">
              <w:t xml:space="preserve">broadly on protecting patient information and need for access to information. Relates to need to use data for </w:t>
            </w:r>
            <w:r w:rsidR="0033360A">
              <w:t xml:space="preserve">only </w:t>
            </w:r>
            <w:r w:rsidR="00D147E7">
              <w:t xml:space="preserve">purpose for which it was requested. </w:t>
            </w:r>
          </w:p>
          <w:p w14:paraId="775C5153" w14:textId="77777777" w:rsidR="00AF50BA" w:rsidRDefault="00AF50BA" w:rsidP="0080645F"/>
          <w:p w14:paraId="2EF92496" w14:textId="4493DB99" w:rsidR="0033360A" w:rsidRDefault="00D147E7" w:rsidP="0080645F">
            <w:r>
              <w:t>NCVHS</w:t>
            </w:r>
            <w:r w:rsidR="0033360A">
              <w:t xml:space="preserve"> work on Minimum Necessary</w:t>
            </w:r>
            <w:r w:rsidR="00AF50BA">
              <w:t xml:space="preserve"> (ADD LINK)</w:t>
            </w:r>
          </w:p>
          <w:p w14:paraId="05020342" w14:textId="77777777" w:rsidR="00AF50BA" w:rsidRDefault="00AF50BA" w:rsidP="0080645F"/>
          <w:p w14:paraId="6EFB31EA" w14:textId="63F64144" w:rsidR="00D147E7" w:rsidRDefault="0033360A" w:rsidP="0080645F">
            <w:r>
              <w:t>OCR’s RFI on Privacy</w:t>
            </w:r>
            <w:r w:rsidR="00AF50BA">
              <w:t xml:space="preserve">: </w:t>
            </w:r>
            <w:hyperlink r:id="rId5" w:history="1">
              <w:r w:rsidR="008A7BD5" w:rsidRPr="00151867">
                <w:rPr>
                  <w:rStyle w:val="Hyperlink"/>
                </w:rPr>
                <w:t>https://www.federalregister.gov/documents/2018/12/14/2018-27162/request-for-information-on-modifying-hipaa-rules-to-improve-coordinated-care</w:t>
              </w:r>
            </w:hyperlink>
            <w:r w:rsidR="008A7BD5">
              <w:t xml:space="preserve"> </w:t>
            </w:r>
          </w:p>
        </w:tc>
      </w:tr>
      <w:tr w:rsidR="000E6645" w14:paraId="403A07C0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3EC8E55E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3C14269C" w14:textId="4AC86E4A" w:rsidR="000E6645" w:rsidRDefault="003443D9" w:rsidP="0080645F">
            <w:r>
              <w:t>Regulatory mandate</w:t>
            </w:r>
            <w:r w:rsidR="00AF50BA">
              <w:t xml:space="preserve"> for a </w:t>
            </w:r>
            <w:proofErr w:type="gramStart"/>
            <w:r>
              <w:t>single named standards</w:t>
            </w:r>
            <w:proofErr w:type="gramEnd"/>
            <w:r w:rsidR="00AB3930">
              <w:t xml:space="preserve"> (floor/ceiling)</w:t>
            </w:r>
          </w:p>
        </w:tc>
        <w:tc>
          <w:tcPr>
            <w:tcW w:w="3299" w:type="dxa"/>
          </w:tcPr>
          <w:p w14:paraId="6C19F1E1" w14:textId="01108048" w:rsidR="000E6645" w:rsidRDefault="003443D9" w:rsidP="0080645F">
            <w:r>
              <w:t xml:space="preserve">The current practice of naming, in regulation, a technology standard, including the version, as the required and only allow solution for problem restricts the ability to innovate.  </w:t>
            </w:r>
          </w:p>
        </w:tc>
        <w:tc>
          <w:tcPr>
            <w:tcW w:w="4335" w:type="dxa"/>
          </w:tcPr>
          <w:p w14:paraId="2FED67BC" w14:textId="1F8E4DE6" w:rsidR="000E6645" w:rsidRDefault="00C77D3A" w:rsidP="0080645F">
            <w:r>
              <w:t xml:space="preserve">ONC/CMS </w:t>
            </w:r>
            <w:r w:rsidR="00D9125E">
              <w:t xml:space="preserve">proposed process </w:t>
            </w:r>
            <w:r w:rsidR="00AB3930">
              <w:t xml:space="preserve">changes </w:t>
            </w:r>
            <w:r w:rsidR="00D9125E">
              <w:t xml:space="preserve">in </w:t>
            </w:r>
            <w:r>
              <w:t>NPRM</w:t>
            </w:r>
            <w:r w:rsidR="00B66CD4">
              <w:t>s</w:t>
            </w:r>
          </w:p>
          <w:p w14:paraId="46B33C45" w14:textId="77777777" w:rsidR="00C77D3A" w:rsidRDefault="00C77D3A" w:rsidP="0080645F"/>
          <w:p w14:paraId="3A614252" w14:textId="736AC64F" w:rsidR="00C77D3A" w:rsidRDefault="00C77D3A" w:rsidP="0080645F">
            <w:r>
              <w:t xml:space="preserve">NCVHS’s Predictability Roadmap </w:t>
            </w:r>
            <w:r w:rsidR="00D9125E">
              <w:t xml:space="preserve">in development </w:t>
            </w:r>
          </w:p>
        </w:tc>
      </w:tr>
      <w:tr w:rsidR="000E6645" w14:paraId="70B54E5F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0D4820ED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2323E536" w14:textId="6F38FAA9" w:rsidR="000E6645" w:rsidRDefault="003443D9" w:rsidP="0080645F">
            <w:r>
              <w:t xml:space="preserve">Patient Identifier </w:t>
            </w:r>
            <w:r w:rsidR="00E87E5C">
              <w:t>(person matching issue</w:t>
            </w:r>
            <w:r w:rsidR="00962BB0">
              <w:t xml:space="preserve"> and cross-industry </w:t>
            </w:r>
            <w:r w:rsidR="00A87CA4">
              <w:t>solutions</w:t>
            </w:r>
            <w:r w:rsidR="00E87E5C">
              <w:t>)</w:t>
            </w:r>
          </w:p>
        </w:tc>
        <w:tc>
          <w:tcPr>
            <w:tcW w:w="3299" w:type="dxa"/>
          </w:tcPr>
          <w:p w14:paraId="331D1C8A" w14:textId="600A7D84" w:rsidR="000E6645" w:rsidRDefault="003443D9" w:rsidP="0080645F">
            <w:r>
              <w:t>The current legislation restricting the use of a single patient identifier (</w:t>
            </w:r>
            <w:proofErr w:type="gramStart"/>
            <w:r>
              <w:t>actually using</w:t>
            </w:r>
            <w:proofErr w:type="gramEnd"/>
            <w:r>
              <w:t xml:space="preserve"> federal money to establish one) forces the industry to use probabilistic matching and not deterministic matching when dealing with clinical information from multiple sources.</w:t>
            </w:r>
          </w:p>
        </w:tc>
        <w:tc>
          <w:tcPr>
            <w:tcW w:w="4335" w:type="dxa"/>
          </w:tcPr>
          <w:p w14:paraId="4BDF4364" w14:textId="77777777" w:rsidR="000E6645" w:rsidRDefault="00424C0D" w:rsidP="0080645F">
            <w:r>
              <w:t xml:space="preserve">CMS NPRM request for information </w:t>
            </w:r>
          </w:p>
          <w:p w14:paraId="7A23D760" w14:textId="77777777" w:rsidR="000933C7" w:rsidRDefault="000933C7" w:rsidP="0080645F"/>
          <w:p w14:paraId="159D85A2" w14:textId="77777777" w:rsidR="000933C7" w:rsidRDefault="000933C7" w:rsidP="0080645F">
            <w:r>
              <w:t>CHIME</w:t>
            </w:r>
          </w:p>
          <w:p w14:paraId="1BC26E3A" w14:textId="77777777" w:rsidR="000933C7" w:rsidRDefault="000933C7" w:rsidP="0080645F">
            <w:r>
              <w:t>HIMSS</w:t>
            </w:r>
          </w:p>
          <w:p w14:paraId="3D7E3034" w14:textId="77777777" w:rsidR="000933C7" w:rsidRDefault="000933C7" w:rsidP="0080645F">
            <w:r>
              <w:t xml:space="preserve">ONC </w:t>
            </w:r>
          </w:p>
          <w:p w14:paraId="7EDC9E64" w14:textId="4DC32CDA" w:rsidR="00D20E1C" w:rsidRDefault="00D20E1C" w:rsidP="0080645F">
            <w:r>
              <w:t>AIRA</w:t>
            </w:r>
            <w:r w:rsidR="007B26AF">
              <w:t xml:space="preserve"> – Immunization Papers </w:t>
            </w:r>
            <w:r w:rsidR="0027070E">
              <w:t>/</w:t>
            </w:r>
            <w:r w:rsidR="007B26AF">
              <w:t xml:space="preserve"> CDC product</w:t>
            </w:r>
            <w:r w:rsidR="00286FED">
              <w:t xml:space="preserve">: </w:t>
            </w:r>
            <w:hyperlink r:id="rId6" w:history="1">
              <w:r w:rsidR="0027070E" w:rsidRPr="00151867">
                <w:rPr>
                  <w:rStyle w:val="Hyperlink"/>
                </w:rPr>
                <w:t>https://www.cdc.gov/vaccines/programs/iis/technical-guidance/deduplication.html</w:t>
              </w:r>
            </w:hyperlink>
            <w:r w:rsidR="0027070E">
              <w:t xml:space="preserve"> </w:t>
            </w:r>
          </w:p>
        </w:tc>
      </w:tr>
      <w:tr w:rsidR="000E6645" w14:paraId="557427E9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768C9003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097DCCE3" w14:textId="6F7A5FB8" w:rsidR="000E6645" w:rsidRDefault="003443D9" w:rsidP="0080645F">
            <w:r>
              <w:t>Cost of accessing data via FHIR APIs</w:t>
            </w:r>
          </w:p>
        </w:tc>
        <w:tc>
          <w:tcPr>
            <w:tcW w:w="3299" w:type="dxa"/>
          </w:tcPr>
          <w:p w14:paraId="3A29D571" w14:textId="51FE484C" w:rsidR="000E6645" w:rsidRDefault="003443D9" w:rsidP="0080645F">
            <w:r>
              <w:t>The industry is moving to a utilization model for access to patient data using FHIR APIs.  This can be a f</w:t>
            </w:r>
            <w:r w:rsidR="007C1C8B">
              <w:t>or</w:t>
            </w:r>
            <w:r>
              <w:t>m of data blocking if the cost per access/transaction is too high.</w:t>
            </w:r>
          </w:p>
        </w:tc>
        <w:tc>
          <w:tcPr>
            <w:tcW w:w="4335" w:type="dxa"/>
          </w:tcPr>
          <w:p w14:paraId="3CD37982" w14:textId="77777777" w:rsidR="000E6645" w:rsidRDefault="00CD5807" w:rsidP="0080645F">
            <w:r>
              <w:t xml:space="preserve">ONC NPRM </w:t>
            </w:r>
          </w:p>
          <w:p w14:paraId="46943073" w14:textId="77777777" w:rsidR="00CD5807" w:rsidRDefault="00CD5807" w:rsidP="0080645F"/>
          <w:p w14:paraId="033B4DA2" w14:textId="5C2894B9" w:rsidR="000A2786" w:rsidRDefault="007D6E2D" w:rsidP="0080645F">
            <w:r>
              <w:t xml:space="preserve">[Other industry examples of </w:t>
            </w:r>
            <w:r w:rsidR="00EA72CD">
              <w:t>regulating costs/setting caps</w:t>
            </w:r>
            <w:r w:rsidR="000A2612">
              <w:t xml:space="preserve"> and learning potential</w:t>
            </w:r>
            <w:r w:rsidR="00EA72CD">
              <w:t>: telecom</w:t>
            </w:r>
            <w:r w:rsidR="000A2612">
              <w:t xml:space="preserve"> (break up </w:t>
            </w:r>
            <w:r w:rsidR="003F1008">
              <w:t>of Ma Bell</w:t>
            </w:r>
            <w:r w:rsidR="00EA72CD">
              <w:t>; energy]</w:t>
            </w:r>
          </w:p>
          <w:p w14:paraId="64334B31" w14:textId="1ED88B65" w:rsidR="00EA72CD" w:rsidRDefault="00EA72CD" w:rsidP="0080645F"/>
          <w:p w14:paraId="74685E15" w14:textId="4A272BA3" w:rsidR="00EA72CD" w:rsidRDefault="008B76F5" w:rsidP="0080645F">
            <w:r>
              <w:t>Aspect of whether p</w:t>
            </w:r>
            <w:r w:rsidR="00AC69AF">
              <w:t xml:space="preserve">ass through charges </w:t>
            </w:r>
            <w:r>
              <w:t xml:space="preserve">are </w:t>
            </w:r>
            <w:proofErr w:type="gramStart"/>
            <w:r>
              <w:t>regulated?</w:t>
            </w:r>
            <w:proofErr w:type="gramEnd"/>
          </w:p>
          <w:p w14:paraId="71EE13A2" w14:textId="2B58A83F" w:rsidR="00EA72CD" w:rsidRDefault="00EA72CD" w:rsidP="0080645F"/>
        </w:tc>
      </w:tr>
      <w:tr w:rsidR="000E6645" w14:paraId="7D204901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642BEB6F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03F400B5" w14:textId="2C09B742" w:rsidR="000E6645" w:rsidRDefault="003443D9" w:rsidP="0080645F">
            <w:r>
              <w:t>Use of NPPES as the repository of endpoints</w:t>
            </w:r>
          </w:p>
        </w:tc>
        <w:tc>
          <w:tcPr>
            <w:tcW w:w="3299" w:type="dxa"/>
          </w:tcPr>
          <w:p w14:paraId="42CBCB23" w14:textId="67F0909C" w:rsidR="000E6645" w:rsidRDefault="003443D9" w:rsidP="0080645F">
            <w:r>
              <w:t>The NPPES directory is not designed to hold, validate, maintain the information required to appropriately describe the endpoints for FHIR.  The current lack of success with Direct is a strong indicator of the issues</w:t>
            </w:r>
          </w:p>
        </w:tc>
        <w:tc>
          <w:tcPr>
            <w:tcW w:w="4335" w:type="dxa"/>
          </w:tcPr>
          <w:p w14:paraId="2A9D41DB" w14:textId="77777777" w:rsidR="000E6645" w:rsidRDefault="00480FBF" w:rsidP="0080645F">
            <w:r>
              <w:t xml:space="preserve">CMS NPRM </w:t>
            </w:r>
          </w:p>
          <w:p w14:paraId="4ACD394D" w14:textId="66EA1B61" w:rsidR="0000285E" w:rsidRDefault="0000285E" w:rsidP="0080645F">
            <w:r>
              <w:t>21</w:t>
            </w:r>
            <w:r w:rsidRPr="0000285E">
              <w:rPr>
                <w:vertAlign w:val="superscript"/>
              </w:rPr>
              <w:t>st</w:t>
            </w:r>
            <w:r>
              <w:t xml:space="preserve"> Century </w:t>
            </w:r>
            <w:r w:rsidR="00C05605">
              <w:t>Cures</w:t>
            </w:r>
          </w:p>
          <w:p w14:paraId="3E2952E5" w14:textId="525E024B" w:rsidR="00C05605" w:rsidRDefault="00C05605" w:rsidP="0080645F"/>
          <w:p w14:paraId="7B8ACEAF" w14:textId="595B8D9F" w:rsidR="00C05605" w:rsidRDefault="00C05605" w:rsidP="0080645F">
            <w:proofErr w:type="spellStart"/>
            <w:r>
              <w:t>DirectTrust</w:t>
            </w:r>
            <w:proofErr w:type="spellEnd"/>
            <w:r>
              <w:t xml:space="preserve">; </w:t>
            </w:r>
            <w:proofErr w:type="spellStart"/>
            <w:r>
              <w:t>CareQuality</w:t>
            </w:r>
            <w:proofErr w:type="spellEnd"/>
            <w:r>
              <w:t xml:space="preserve">; Apple, and more examples of industry efforts </w:t>
            </w:r>
          </w:p>
          <w:p w14:paraId="1F3CDE13" w14:textId="6DF428C7" w:rsidR="0000285E" w:rsidRDefault="0000285E" w:rsidP="0080645F"/>
        </w:tc>
      </w:tr>
      <w:tr w:rsidR="000E6645" w14:paraId="20C0824B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5A9D9DDA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6BBDA303" w14:textId="1DB5944B" w:rsidR="000E6645" w:rsidRDefault="003443D9" w:rsidP="0080645F">
            <w:r>
              <w:t xml:space="preserve">HIPAA Transactions requiring X12 </w:t>
            </w:r>
          </w:p>
        </w:tc>
        <w:tc>
          <w:tcPr>
            <w:tcW w:w="3299" w:type="dxa"/>
          </w:tcPr>
          <w:p w14:paraId="65239CBA" w14:textId="1D475F1E" w:rsidR="000E6645" w:rsidRDefault="003443D9" w:rsidP="0080645F">
            <w:r>
              <w:t xml:space="preserve">The mandated use of X12 and only X12 for the administrative transaction is a significant barrier to </w:t>
            </w:r>
            <w:r w:rsidR="00DB3CB0">
              <w:t>innovation and the ability to merge both clinical an administrative information in a single exchange to solve VBC problems.</w:t>
            </w:r>
          </w:p>
        </w:tc>
        <w:tc>
          <w:tcPr>
            <w:tcW w:w="4335" w:type="dxa"/>
          </w:tcPr>
          <w:p w14:paraId="59E23D4A" w14:textId="77777777" w:rsidR="000E6645" w:rsidRDefault="008E530A" w:rsidP="0080645F">
            <w:r>
              <w:t>NCVHS Pr</w:t>
            </w:r>
            <w:r w:rsidR="00CD1CF6">
              <w:t>edictability Roadmap to promote industry use of the exceptions provision within the HIPAA regulations (162.940 – verify citation)</w:t>
            </w:r>
          </w:p>
          <w:p w14:paraId="1E56522C" w14:textId="77777777" w:rsidR="0066375C" w:rsidRDefault="0066375C" w:rsidP="0080645F"/>
          <w:p w14:paraId="2240887A" w14:textId="3066C81D" w:rsidR="0066375C" w:rsidRDefault="0066375C" w:rsidP="0080645F">
            <w:r>
              <w:t xml:space="preserve">Da Vinci Prior Authorization implementation guide efforts to generate FHIR exchanges into </w:t>
            </w:r>
            <w:bookmarkStart w:id="0" w:name="_GoBack"/>
            <w:bookmarkEnd w:id="0"/>
            <w:r>
              <w:t xml:space="preserve">X12 278 </w:t>
            </w:r>
          </w:p>
        </w:tc>
      </w:tr>
      <w:tr w:rsidR="000E6645" w14:paraId="33FE87C9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14534626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59B6DD8B" w14:textId="77777777" w:rsidR="000E6645" w:rsidRDefault="000E6645" w:rsidP="000E6645"/>
        </w:tc>
        <w:tc>
          <w:tcPr>
            <w:tcW w:w="3299" w:type="dxa"/>
          </w:tcPr>
          <w:p w14:paraId="575E111C" w14:textId="77777777" w:rsidR="000E6645" w:rsidRDefault="000E6645" w:rsidP="0080645F"/>
        </w:tc>
        <w:tc>
          <w:tcPr>
            <w:tcW w:w="4335" w:type="dxa"/>
          </w:tcPr>
          <w:p w14:paraId="4EC3436D" w14:textId="77777777" w:rsidR="000E6645" w:rsidRDefault="000E6645" w:rsidP="0080645F"/>
        </w:tc>
      </w:tr>
      <w:tr w:rsidR="000E6645" w14:paraId="52095F15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46AC0608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50703CD8" w14:textId="77777777" w:rsidR="000E6645" w:rsidRDefault="000E6645" w:rsidP="00442F3A"/>
        </w:tc>
        <w:tc>
          <w:tcPr>
            <w:tcW w:w="3299" w:type="dxa"/>
          </w:tcPr>
          <w:p w14:paraId="7CDAFF6F" w14:textId="77777777" w:rsidR="000E6645" w:rsidRDefault="000E6645" w:rsidP="00442F3A"/>
        </w:tc>
        <w:tc>
          <w:tcPr>
            <w:tcW w:w="4335" w:type="dxa"/>
          </w:tcPr>
          <w:p w14:paraId="788644C6" w14:textId="77777777" w:rsidR="000E6645" w:rsidRDefault="000E6645" w:rsidP="00442F3A"/>
        </w:tc>
      </w:tr>
      <w:tr w:rsidR="000E6645" w14:paraId="3CC81B29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4C918BE9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06B136F9" w14:textId="77777777" w:rsidR="000E6645" w:rsidRDefault="000E6645" w:rsidP="00442F3A"/>
        </w:tc>
        <w:tc>
          <w:tcPr>
            <w:tcW w:w="3299" w:type="dxa"/>
          </w:tcPr>
          <w:p w14:paraId="5796B351" w14:textId="77777777" w:rsidR="000E6645" w:rsidRDefault="000E6645" w:rsidP="00442F3A"/>
        </w:tc>
        <w:tc>
          <w:tcPr>
            <w:tcW w:w="4335" w:type="dxa"/>
          </w:tcPr>
          <w:p w14:paraId="4B6A017E" w14:textId="77777777" w:rsidR="000E6645" w:rsidRDefault="000E6645" w:rsidP="00442F3A"/>
        </w:tc>
      </w:tr>
      <w:tr w:rsidR="000E6645" w14:paraId="49F8ED3F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63C6CC4F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5C98D96D" w14:textId="77777777" w:rsidR="000E6645" w:rsidRDefault="000E6645" w:rsidP="00442F3A"/>
        </w:tc>
        <w:tc>
          <w:tcPr>
            <w:tcW w:w="3299" w:type="dxa"/>
          </w:tcPr>
          <w:p w14:paraId="6EDA058F" w14:textId="77777777" w:rsidR="000E6645" w:rsidRDefault="000E6645" w:rsidP="00442F3A"/>
        </w:tc>
        <w:tc>
          <w:tcPr>
            <w:tcW w:w="4335" w:type="dxa"/>
          </w:tcPr>
          <w:p w14:paraId="3D142C6C" w14:textId="77777777" w:rsidR="000E6645" w:rsidRDefault="000E6645" w:rsidP="00442F3A"/>
        </w:tc>
      </w:tr>
      <w:tr w:rsidR="000E6645" w14:paraId="7DCBC91B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6DB264B3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6FCE068F" w14:textId="77777777" w:rsidR="000E6645" w:rsidRDefault="000E6645" w:rsidP="00442F3A"/>
        </w:tc>
        <w:tc>
          <w:tcPr>
            <w:tcW w:w="3299" w:type="dxa"/>
          </w:tcPr>
          <w:p w14:paraId="4DDE8C91" w14:textId="77777777" w:rsidR="000E6645" w:rsidRDefault="000E6645" w:rsidP="00442F3A"/>
        </w:tc>
        <w:tc>
          <w:tcPr>
            <w:tcW w:w="4335" w:type="dxa"/>
          </w:tcPr>
          <w:p w14:paraId="6DC370D0" w14:textId="77777777" w:rsidR="000E6645" w:rsidRDefault="000E6645" w:rsidP="00442F3A"/>
        </w:tc>
      </w:tr>
      <w:tr w:rsidR="000E6645" w14:paraId="50C944B2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0DEF003B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24E88ECF" w14:textId="77777777" w:rsidR="000E6645" w:rsidRDefault="000E6645" w:rsidP="00442F3A"/>
        </w:tc>
        <w:tc>
          <w:tcPr>
            <w:tcW w:w="3299" w:type="dxa"/>
          </w:tcPr>
          <w:p w14:paraId="08BB5798" w14:textId="77777777" w:rsidR="000E6645" w:rsidRDefault="000E6645" w:rsidP="00442F3A"/>
        </w:tc>
        <w:tc>
          <w:tcPr>
            <w:tcW w:w="4335" w:type="dxa"/>
          </w:tcPr>
          <w:p w14:paraId="161C2522" w14:textId="77777777" w:rsidR="000E6645" w:rsidRDefault="000E6645" w:rsidP="00442F3A"/>
        </w:tc>
      </w:tr>
      <w:tr w:rsidR="000E6645" w14:paraId="4E5E6672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545D351B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16CB41D9" w14:textId="77777777" w:rsidR="000E6645" w:rsidRDefault="000E6645" w:rsidP="00442F3A"/>
        </w:tc>
        <w:tc>
          <w:tcPr>
            <w:tcW w:w="3299" w:type="dxa"/>
          </w:tcPr>
          <w:p w14:paraId="0EA9F109" w14:textId="77777777" w:rsidR="000E6645" w:rsidRDefault="000E6645" w:rsidP="00442F3A"/>
        </w:tc>
        <w:tc>
          <w:tcPr>
            <w:tcW w:w="4335" w:type="dxa"/>
          </w:tcPr>
          <w:p w14:paraId="28909986" w14:textId="77777777" w:rsidR="000E6645" w:rsidRDefault="000E6645" w:rsidP="00442F3A"/>
        </w:tc>
      </w:tr>
      <w:tr w:rsidR="000E6645" w14:paraId="41D9FB6F" w14:textId="77777777" w:rsidTr="0027070E">
        <w:trPr>
          <w:trHeight w:val="353"/>
        </w:trPr>
        <w:tc>
          <w:tcPr>
            <w:tcW w:w="536" w:type="dxa"/>
            <w:shd w:val="clear" w:color="auto" w:fill="EDEDED" w:themeFill="accent3" w:themeFillTint="33"/>
          </w:tcPr>
          <w:p w14:paraId="168D092B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3BA583B9" w14:textId="77777777" w:rsidR="000E6645" w:rsidRDefault="000E6645" w:rsidP="00442F3A"/>
        </w:tc>
        <w:tc>
          <w:tcPr>
            <w:tcW w:w="3299" w:type="dxa"/>
          </w:tcPr>
          <w:p w14:paraId="57BB2686" w14:textId="77777777" w:rsidR="000E6645" w:rsidRDefault="000E6645" w:rsidP="00442F3A"/>
        </w:tc>
        <w:tc>
          <w:tcPr>
            <w:tcW w:w="4335" w:type="dxa"/>
          </w:tcPr>
          <w:p w14:paraId="41C1C61C" w14:textId="77777777" w:rsidR="000E6645" w:rsidRDefault="000E6645" w:rsidP="00442F3A"/>
        </w:tc>
      </w:tr>
      <w:tr w:rsidR="000E6645" w14:paraId="78639500" w14:textId="77777777" w:rsidTr="0027070E">
        <w:trPr>
          <w:trHeight w:val="334"/>
        </w:trPr>
        <w:tc>
          <w:tcPr>
            <w:tcW w:w="536" w:type="dxa"/>
            <w:shd w:val="clear" w:color="auto" w:fill="EDEDED" w:themeFill="accent3" w:themeFillTint="33"/>
          </w:tcPr>
          <w:p w14:paraId="628FB44D" w14:textId="77777777" w:rsidR="000E6645" w:rsidRDefault="000E6645" w:rsidP="000E664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847" w:type="dxa"/>
          </w:tcPr>
          <w:p w14:paraId="3E04EC27" w14:textId="77777777" w:rsidR="000E6645" w:rsidRDefault="000E6645" w:rsidP="00442F3A"/>
        </w:tc>
        <w:tc>
          <w:tcPr>
            <w:tcW w:w="3299" w:type="dxa"/>
          </w:tcPr>
          <w:p w14:paraId="5DE46983" w14:textId="77777777" w:rsidR="000E6645" w:rsidRDefault="000E6645" w:rsidP="00442F3A"/>
        </w:tc>
        <w:tc>
          <w:tcPr>
            <w:tcW w:w="4335" w:type="dxa"/>
          </w:tcPr>
          <w:p w14:paraId="1EB09C29" w14:textId="77777777" w:rsidR="000E6645" w:rsidRDefault="000E6645" w:rsidP="00442F3A"/>
        </w:tc>
      </w:tr>
    </w:tbl>
    <w:p w14:paraId="1F58257A" w14:textId="77777777" w:rsidR="000E6645" w:rsidRDefault="000E6645" w:rsidP="0080645F">
      <w:pPr>
        <w:sectPr w:rsidR="000E6645" w:rsidSect="000E664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3A27232" w14:textId="77777777" w:rsidR="0080645F" w:rsidRPr="0080645F" w:rsidRDefault="0080645F" w:rsidP="0080645F"/>
    <w:sectPr w:rsidR="0080645F" w:rsidRPr="0080645F" w:rsidSect="0080645F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6A0"/>
    <w:multiLevelType w:val="hybridMultilevel"/>
    <w:tmpl w:val="ADD2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15964"/>
    <w:multiLevelType w:val="hybridMultilevel"/>
    <w:tmpl w:val="4C5E4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45F"/>
    <w:rsid w:val="0000285E"/>
    <w:rsid w:val="000933C7"/>
    <w:rsid w:val="000A2612"/>
    <w:rsid w:val="000A2786"/>
    <w:rsid w:val="000E6645"/>
    <w:rsid w:val="001005A8"/>
    <w:rsid w:val="00127151"/>
    <w:rsid w:val="001F072F"/>
    <w:rsid w:val="00256716"/>
    <w:rsid w:val="0027070E"/>
    <w:rsid w:val="00286FED"/>
    <w:rsid w:val="003213E6"/>
    <w:rsid w:val="0033360A"/>
    <w:rsid w:val="003443D9"/>
    <w:rsid w:val="003B6D5B"/>
    <w:rsid w:val="003F1008"/>
    <w:rsid w:val="003F22EE"/>
    <w:rsid w:val="00411155"/>
    <w:rsid w:val="00424C0D"/>
    <w:rsid w:val="00480FBF"/>
    <w:rsid w:val="005174D0"/>
    <w:rsid w:val="0066375C"/>
    <w:rsid w:val="007B26AF"/>
    <w:rsid w:val="007C1C8B"/>
    <w:rsid w:val="007D6E2D"/>
    <w:rsid w:val="0080645F"/>
    <w:rsid w:val="00893C5A"/>
    <w:rsid w:val="008A7BD5"/>
    <w:rsid w:val="008B76F5"/>
    <w:rsid w:val="008E530A"/>
    <w:rsid w:val="00962BB0"/>
    <w:rsid w:val="00A60AC9"/>
    <w:rsid w:val="00A87CA4"/>
    <w:rsid w:val="00AB3930"/>
    <w:rsid w:val="00AC69AF"/>
    <w:rsid w:val="00AF50BA"/>
    <w:rsid w:val="00B66CD4"/>
    <w:rsid w:val="00C05605"/>
    <w:rsid w:val="00C77D3A"/>
    <w:rsid w:val="00CD1CF6"/>
    <w:rsid w:val="00CD5807"/>
    <w:rsid w:val="00D02806"/>
    <w:rsid w:val="00D147E7"/>
    <w:rsid w:val="00D20E1C"/>
    <w:rsid w:val="00D9125E"/>
    <w:rsid w:val="00DB3CB0"/>
    <w:rsid w:val="00E87E5C"/>
    <w:rsid w:val="00E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5D2C"/>
  <w15:docId w15:val="{9870C1BD-323C-436D-97B8-E062A699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64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E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vaccines/programs/iis/technical-guidance/deduplication.html" TargetMode="External"/><Relationship Id="rId5" Type="http://schemas.openxmlformats.org/officeDocument/2006/relationships/hyperlink" Target="https://www.federalregister.gov/documents/2018/12/14/2018-27162/request-for-information-on-modifying-hipaa-rules-to-improve-coordinated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Ciricean, Diana (OS/ONC)</dc:creator>
  <cp:lastModifiedBy>Alix Goss</cp:lastModifiedBy>
  <cp:revision>38</cp:revision>
  <dcterms:created xsi:type="dcterms:W3CDTF">2019-04-09T14:48:00Z</dcterms:created>
  <dcterms:modified xsi:type="dcterms:W3CDTF">2019-04-11T17:49:00Z</dcterms:modified>
</cp:coreProperties>
</file>