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26" w:rsidRDefault="00FB3666">
      <w:r>
        <w:t>8/30/18 – P2 FHIR Directory Tiger Team</w:t>
      </w:r>
    </w:p>
    <w:p w:rsidR="00FB3666" w:rsidRDefault="00FB3666" w:rsidP="00FB3666">
      <w:pPr>
        <w:pStyle w:val="NoSpacing"/>
      </w:pPr>
    </w:p>
    <w:p w:rsidR="00FB3666" w:rsidRDefault="00FB3666" w:rsidP="00FB3666">
      <w:pPr>
        <w:pStyle w:val="NoSpacing"/>
      </w:pPr>
      <w:r>
        <w:t>Alix Goss</w:t>
      </w:r>
    </w:p>
    <w:p w:rsidR="00FB3666" w:rsidRDefault="00FB3666" w:rsidP="00FB3666">
      <w:pPr>
        <w:pStyle w:val="NoSpacing"/>
      </w:pPr>
      <w:r>
        <w:t>Bob Dieterle</w:t>
      </w:r>
    </w:p>
    <w:p w:rsidR="00FB3666" w:rsidRDefault="00FB3666" w:rsidP="00FB3666">
      <w:pPr>
        <w:pStyle w:val="NoSpacing"/>
      </w:pPr>
      <w:r>
        <w:t>Karl Davis</w:t>
      </w:r>
    </w:p>
    <w:p w:rsidR="00FB3666" w:rsidRDefault="00FB3666" w:rsidP="00FB3666">
      <w:pPr>
        <w:pStyle w:val="NoSpacing"/>
      </w:pPr>
      <w:r>
        <w:t>Ed Martin</w:t>
      </w:r>
    </w:p>
    <w:p w:rsidR="00FB3666" w:rsidRDefault="00FB3666" w:rsidP="00FB3666">
      <w:pPr>
        <w:pStyle w:val="NoSpacing"/>
      </w:pPr>
      <w:r>
        <w:t>Danielle Friend</w:t>
      </w:r>
    </w:p>
    <w:p w:rsidR="00FB3666" w:rsidRDefault="00FB3666" w:rsidP="00FB3666">
      <w:pPr>
        <w:pStyle w:val="NoSpacing"/>
      </w:pPr>
      <w:r>
        <w:t>Alex Kontur</w:t>
      </w:r>
    </w:p>
    <w:p w:rsidR="00FB3666" w:rsidRDefault="00FB3666" w:rsidP="00FB3666">
      <w:pPr>
        <w:pStyle w:val="NoSpacing"/>
      </w:pPr>
    </w:p>
    <w:p w:rsidR="00FB3666" w:rsidRDefault="00FB3666" w:rsidP="00FB3666">
      <w:pPr>
        <w:pStyle w:val="NoSpacing"/>
      </w:pPr>
      <w:r>
        <w:t>Slack Overview</w:t>
      </w:r>
      <w:r w:rsidR="00ED2093">
        <w:t xml:space="preserve"> (Ed Martin)</w:t>
      </w:r>
    </w:p>
    <w:p w:rsidR="00FB3666" w:rsidRDefault="00FB3666" w:rsidP="00FB3666">
      <w:pPr>
        <w:pStyle w:val="NoSpacing"/>
        <w:numPr>
          <w:ilvl w:val="0"/>
          <w:numId w:val="1"/>
        </w:numPr>
      </w:pPr>
      <w:r>
        <w:t xml:space="preserve">Message channels show history of all conversations, </w:t>
      </w:r>
      <w:r w:rsidR="0069021F">
        <w:t xml:space="preserve">which </w:t>
      </w:r>
      <w:r>
        <w:t>are searchable</w:t>
      </w:r>
    </w:p>
    <w:p w:rsidR="00FB3666" w:rsidRDefault="00FB3666" w:rsidP="00FB3666">
      <w:pPr>
        <w:pStyle w:val="NoSpacing"/>
        <w:numPr>
          <w:ilvl w:val="0"/>
          <w:numId w:val="1"/>
        </w:numPr>
      </w:pPr>
      <w:r>
        <w:t>Users should set their profiles: click name and select profile/account</w:t>
      </w:r>
    </w:p>
    <w:p w:rsidR="00FB3666" w:rsidRDefault="00FB3666" w:rsidP="00FB3666">
      <w:pPr>
        <w:pStyle w:val="NoSpacing"/>
        <w:numPr>
          <w:ilvl w:val="0"/>
          <w:numId w:val="1"/>
        </w:numPr>
      </w:pPr>
      <w:r>
        <w:t>List of names on the left hand screen indicate people who are online with a green dot</w:t>
      </w:r>
    </w:p>
    <w:p w:rsidR="00FB3666" w:rsidRDefault="00FB3666" w:rsidP="00FB3666">
      <w:pPr>
        <w:pStyle w:val="NoSpacing"/>
        <w:numPr>
          <w:ilvl w:val="0"/>
          <w:numId w:val="1"/>
        </w:numPr>
      </w:pPr>
      <w:r>
        <w:t>Types of messages:</w:t>
      </w:r>
    </w:p>
    <w:p w:rsidR="00ED2093" w:rsidRDefault="00FB3666" w:rsidP="00ED2093">
      <w:pPr>
        <w:pStyle w:val="NoSpacing"/>
        <w:numPr>
          <w:ilvl w:val="1"/>
          <w:numId w:val="1"/>
        </w:numPr>
      </w:pPr>
      <w:r>
        <w:t>Channels - # indicates a public channel, priva</w:t>
      </w:r>
      <w:r w:rsidR="00ED2093">
        <w:t>te channels have a lock symbol</w:t>
      </w:r>
    </w:p>
    <w:p w:rsidR="00ED2093" w:rsidRDefault="00ED2093" w:rsidP="00ED2093">
      <w:pPr>
        <w:pStyle w:val="NoSpacing"/>
        <w:numPr>
          <w:ilvl w:val="2"/>
          <w:numId w:val="1"/>
        </w:numPr>
      </w:pPr>
      <w:r>
        <w:t>Threaded replies help cut down on the number of messages in a channel</w:t>
      </w:r>
    </w:p>
    <w:p w:rsidR="00ED2093" w:rsidRDefault="00ED2093" w:rsidP="00ED2093">
      <w:pPr>
        <w:pStyle w:val="NoSpacing"/>
        <w:numPr>
          <w:ilvl w:val="1"/>
          <w:numId w:val="1"/>
        </w:numPr>
      </w:pPr>
      <w:r>
        <w:t>Direct message – enable private conversations, can be with one or more people</w:t>
      </w:r>
    </w:p>
    <w:p w:rsidR="00ED2093" w:rsidRDefault="00ED2093" w:rsidP="00ED2093">
      <w:pPr>
        <w:pStyle w:val="NoSpacing"/>
        <w:numPr>
          <w:ilvl w:val="1"/>
          <w:numId w:val="1"/>
        </w:numPr>
      </w:pPr>
      <w:r>
        <w:t>Can use @ to notify specific people or an entire channel to pay attention to a message</w:t>
      </w:r>
    </w:p>
    <w:p w:rsidR="00ED2093" w:rsidRDefault="00ED2093" w:rsidP="00ED2093">
      <w:pPr>
        <w:pStyle w:val="NoSpacing"/>
        <w:numPr>
          <w:ilvl w:val="0"/>
          <w:numId w:val="1"/>
        </w:numPr>
      </w:pPr>
      <w:r>
        <w:t>Auto-preview for specific links (e.g. for google docs)</w:t>
      </w:r>
    </w:p>
    <w:p w:rsidR="00ED2093" w:rsidRDefault="00ED2093" w:rsidP="00ED2093">
      <w:pPr>
        <w:pStyle w:val="NoSpacing"/>
        <w:numPr>
          <w:ilvl w:val="0"/>
          <w:numId w:val="1"/>
        </w:numPr>
      </w:pPr>
      <w:r>
        <w:t>Post</w:t>
      </w:r>
      <w:r w:rsidR="0069021F">
        <w:t xml:space="preserve"> function</w:t>
      </w:r>
      <w:r>
        <w:t xml:space="preserve"> enables fancier document creation within Slack (i.e. not just a </w:t>
      </w:r>
      <w:r w:rsidR="0069021F">
        <w:t xml:space="preserve">plain </w:t>
      </w:r>
      <w:r>
        <w:t>message)</w:t>
      </w:r>
    </w:p>
    <w:p w:rsidR="00ED2093" w:rsidRDefault="00ED2093" w:rsidP="00ED2093">
      <w:pPr>
        <w:pStyle w:val="NoSpacing"/>
        <w:numPr>
          <w:ilvl w:val="0"/>
          <w:numId w:val="1"/>
        </w:numPr>
      </w:pPr>
      <w:r>
        <w:t>Can upload files</w:t>
      </w:r>
    </w:p>
    <w:p w:rsidR="00ED2093" w:rsidRDefault="00ED2093" w:rsidP="00ED2093">
      <w:pPr>
        <w:pStyle w:val="NoSpacing"/>
        <w:numPr>
          <w:ilvl w:val="0"/>
          <w:numId w:val="1"/>
        </w:numPr>
      </w:pPr>
      <w:r>
        <w:t>Can change notification settings under preferences</w:t>
      </w:r>
    </w:p>
    <w:p w:rsidR="00ED2093" w:rsidRDefault="00ED2093" w:rsidP="00ED2093">
      <w:pPr>
        <w:pStyle w:val="NoSpacing"/>
        <w:numPr>
          <w:ilvl w:val="0"/>
          <w:numId w:val="1"/>
        </w:numPr>
      </w:pPr>
      <w:r>
        <w:t>3 ways to access slack: browser, desktop app, mobile app</w:t>
      </w:r>
    </w:p>
    <w:p w:rsidR="00ED2093" w:rsidRDefault="00ED2093" w:rsidP="00ED2093">
      <w:pPr>
        <w:pStyle w:val="NoSpacing"/>
        <w:numPr>
          <w:ilvl w:val="0"/>
          <w:numId w:val="1"/>
        </w:numPr>
      </w:pPr>
      <w:r>
        <w:t>Suggest that we use Slack to post questions/comments for feedback between meetings</w:t>
      </w:r>
    </w:p>
    <w:p w:rsidR="00ED2093" w:rsidRDefault="00ED2093" w:rsidP="00ED2093">
      <w:pPr>
        <w:pStyle w:val="NoSpacing"/>
        <w:numPr>
          <w:ilvl w:val="0"/>
          <w:numId w:val="1"/>
        </w:numPr>
      </w:pPr>
      <w:r>
        <w:t>Value: cuts down on email, keeps information organized in one place</w:t>
      </w:r>
    </w:p>
    <w:p w:rsidR="00ED2093" w:rsidRDefault="00ED2093" w:rsidP="00ED2093">
      <w:pPr>
        <w:pStyle w:val="NoSpacing"/>
        <w:numPr>
          <w:ilvl w:val="0"/>
          <w:numId w:val="1"/>
        </w:numPr>
      </w:pPr>
      <w:r>
        <w:t>Can add capabilities like polling</w:t>
      </w:r>
    </w:p>
    <w:p w:rsidR="00ED2093" w:rsidRDefault="00ED2093" w:rsidP="00ED2093">
      <w:pPr>
        <w:pStyle w:val="NoSpacing"/>
        <w:numPr>
          <w:ilvl w:val="0"/>
          <w:numId w:val="1"/>
        </w:numPr>
      </w:pPr>
      <w:r>
        <w:t>The random channel is useful for off-topic conversations</w:t>
      </w:r>
      <w:r w:rsidR="00550856">
        <w:t>, can help cut down on clutter in other channels</w:t>
      </w:r>
    </w:p>
    <w:p w:rsidR="00550856" w:rsidRDefault="00550856" w:rsidP="00550856">
      <w:pPr>
        <w:pStyle w:val="NoSpacing"/>
      </w:pPr>
    </w:p>
    <w:p w:rsidR="00550856" w:rsidRDefault="00550856" w:rsidP="00550856">
      <w:pPr>
        <w:pStyle w:val="NoSpacing"/>
      </w:pPr>
      <w:r>
        <w:t>Use Cases</w:t>
      </w:r>
    </w:p>
    <w:p w:rsidR="006002E4" w:rsidRDefault="006002E4" w:rsidP="00550856">
      <w:pPr>
        <w:pStyle w:val="NoSpacing"/>
        <w:numPr>
          <w:ilvl w:val="0"/>
          <w:numId w:val="2"/>
        </w:numPr>
      </w:pPr>
      <w:r>
        <w:t>[Bob walked through the same use case we reviewed on the last call</w:t>
      </w:r>
      <w:r w:rsidR="00A064BF">
        <w:t xml:space="preserve"> – patient information request, provider to plan</w:t>
      </w:r>
      <w:r>
        <w:t>]</w:t>
      </w:r>
    </w:p>
    <w:p w:rsidR="00550856" w:rsidRDefault="00550856" w:rsidP="00550856">
      <w:pPr>
        <w:pStyle w:val="NoSpacing"/>
        <w:numPr>
          <w:ilvl w:val="0"/>
          <w:numId w:val="2"/>
        </w:numPr>
      </w:pPr>
      <w:r>
        <w:t>Use Cases Tiger Team has started process of combining use cases based on commonalities</w:t>
      </w:r>
    </w:p>
    <w:p w:rsidR="00550856" w:rsidRDefault="00550856" w:rsidP="00550856">
      <w:pPr>
        <w:pStyle w:val="NoSpacing"/>
        <w:numPr>
          <w:ilvl w:val="1"/>
          <w:numId w:val="2"/>
        </w:numPr>
      </w:pPr>
      <w:r>
        <w:t>Also developing use cases for core functionalities, e.g. endpoint discovery, authentication/authorization</w:t>
      </w:r>
    </w:p>
    <w:p w:rsidR="00550856" w:rsidRDefault="00550856" w:rsidP="00550856">
      <w:pPr>
        <w:pStyle w:val="NoSpacing"/>
        <w:numPr>
          <w:ilvl w:val="0"/>
          <w:numId w:val="2"/>
        </w:numPr>
      </w:pPr>
      <w:r>
        <w:t>Use cases aren’t focused on functionality (e.g. the content of a message/transaction), rather they are focused on ecosystem requirements</w:t>
      </w:r>
    </w:p>
    <w:p w:rsidR="00550856" w:rsidRDefault="00550856" w:rsidP="00550856">
      <w:pPr>
        <w:pStyle w:val="NoSpacing"/>
        <w:numPr>
          <w:ilvl w:val="0"/>
          <w:numId w:val="2"/>
        </w:numPr>
      </w:pPr>
      <w:r>
        <w:t>Use cases include:</w:t>
      </w:r>
    </w:p>
    <w:p w:rsidR="00550856" w:rsidRDefault="00550856" w:rsidP="00550856">
      <w:pPr>
        <w:pStyle w:val="NoSpacing"/>
        <w:numPr>
          <w:ilvl w:val="1"/>
          <w:numId w:val="2"/>
        </w:numPr>
      </w:pPr>
      <w:r>
        <w:t>Brief introduction/background about the use cases/P2 FHIR task force</w:t>
      </w:r>
    </w:p>
    <w:p w:rsidR="00550856" w:rsidRDefault="00550856" w:rsidP="00550856">
      <w:pPr>
        <w:pStyle w:val="NoSpacing"/>
        <w:numPr>
          <w:ilvl w:val="1"/>
          <w:numId w:val="2"/>
        </w:numPr>
      </w:pPr>
      <w:r>
        <w:t>Use case approach: barrier use cases (core functions), generic use cases, and use cases from/related to Da Vinci</w:t>
      </w:r>
    </w:p>
    <w:p w:rsidR="00550856" w:rsidRDefault="00550856" w:rsidP="00550856">
      <w:pPr>
        <w:pStyle w:val="NoSpacing"/>
        <w:numPr>
          <w:ilvl w:val="1"/>
          <w:numId w:val="2"/>
        </w:numPr>
      </w:pPr>
      <w:r>
        <w:t>Variations/Extensions describe the set of scenarios covered by the use case document</w:t>
      </w:r>
    </w:p>
    <w:p w:rsidR="006002E4" w:rsidRDefault="006002E4" w:rsidP="00550856">
      <w:pPr>
        <w:pStyle w:val="NoSpacing"/>
        <w:numPr>
          <w:ilvl w:val="1"/>
          <w:numId w:val="2"/>
        </w:numPr>
      </w:pPr>
      <w:r>
        <w:t>In scope/out of scope – set the boundaries of the use case. Mostly taken from Da Vinci use case in this example</w:t>
      </w:r>
    </w:p>
    <w:p w:rsidR="006002E4" w:rsidRDefault="006002E4" w:rsidP="00550856">
      <w:pPr>
        <w:pStyle w:val="NoSpacing"/>
        <w:numPr>
          <w:ilvl w:val="1"/>
          <w:numId w:val="2"/>
        </w:numPr>
      </w:pPr>
      <w:r>
        <w:t>Assumptions about the use case</w:t>
      </w:r>
    </w:p>
    <w:p w:rsidR="006002E4" w:rsidRDefault="006002E4" w:rsidP="00550856">
      <w:pPr>
        <w:pStyle w:val="NoSpacing"/>
        <w:numPr>
          <w:ilvl w:val="1"/>
          <w:numId w:val="2"/>
        </w:numPr>
      </w:pPr>
      <w:r>
        <w:t>Primary/supporting actors</w:t>
      </w:r>
    </w:p>
    <w:p w:rsidR="006002E4" w:rsidRDefault="006002E4" w:rsidP="00550856">
      <w:pPr>
        <w:pStyle w:val="NoSpacing"/>
        <w:numPr>
          <w:ilvl w:val="1"/>
          <w:numId w:val="2"/>
        </w:numPr>
      </w:pPr>
      <w:r>
        <w:lastRenderedPageBreak/>
        <w:t>Stakeholders/interests – frames background, e.g. providers, payer/plan, patient, caregiver, federal/state agencies, etc.</w:t>
      </w:r>
    </w:p>
    <w:p w:rsidR="006002E4" w:rsidRDefault="006002E4" w:rsidP="00550856">
      <w:pPr>
        <w:pStyle w:val="NoSpacing"/>
        <w:numPr>
          <w:ilvl w:val="1"/>
          <w:numId w:val="2"/>
        </w:numPr>
      </w:pPr>
      <w:r>
        <w:t>Preconditions – Assumptions/preconditions set requirements</w:t>
      </w:r>
    </w:p>
    <w:p w:rsidR="006002E4" w:rsidRDefault="006002E4" w:rsidP="00550856">
      <w:pPr>
        <w:pStyle w:val="NoSpacing"/>
        <w:numPr>
          <w:ilvl w:val="1"/>
          <w:numId w:val="2"/>
        </w:numPr>
      </w:pPr>
      <w:r>
        <w:t>Post conditions – also express certain requirements (i.e. the end state that the use case expresses)</w:t>
      </w:r>
    </w:p>
    <w:p w:rsidR="00A064BF" w:rsidRDefault="00A064BF" w:rsidP="00A064BF">
      <w:pPr>
        <w:pStyle w:val="NoSpacing"/>
        <w:numPr>
          <w:ilvl w:val="2"/>
          <w:numId w:val="2"/>
        </w:numPr>
      </w:pPr>
      <w:r>
        <w:t>We may have to expand on these and consider the details in our work on this Tiger Team</w:t>
      </w:r>
    </w:p>
    <w:p w:rsidR="00A064BF" w:rsidRDefault="00A064BF" w:rsidP="00A064BF">
      <w:pPr>
        <w:pStyle w:val="NoSpacing"/>
        <w:numPr>
          <w:ilvl w:val="1"/>
          <w:numId w:val="2"/>
        </w:numPr>
      </w:pPr>
      <w:r>
        <w:t>Trigger – what starts the use case</w:t>
      </w:r>
    </w:p>
    <w:p w:rsidR="00A064BF" w:rsidRDefault="00A064BF" w:rsidP="00A064BF">
      <w:pPr>
        <w:pStyle w:val="NoSpacing"/>
        <w:numPr>
          <w:ilvl w:val="1"/>
          <w:numId w:val="2"/>
        </w:numPr>
      </w:pPr>
      <w:r>
        <w:t>Requirements and main scenario – articulates a set of common requirements across the use case’s scenarios, often references core capabilities</w:t>
      </w:r>
    </w:p>
    <w:p w:rsidR="00550856" w:rsidRDefault="00550856" w:rsidP="00DE44B0">
      <w:pPr>
        <w:pStyle w:val="NoSpacing"/>
        <w:numPr>
          <w:ilvl w:val="0"/>
          <w:numId w:val="2"/>
        </w:numPr>
      </w:pPr>
      <w:r>
        <w:t>Karl Davis - CMS recently released an RFP for a project to build a payer-</w:t>
      </w:r>
      <w:r w:rsidR="006002E4">
        <w:t>to-</w:t>
      </w:r>
      <w:r>
        <w:t>ACO API to share claims data on attributed beneficiaries</w:t>
      </w:r>
      <w:r w:rsidR="006002E4">
        <w:t>. Contract has been awarded. [this comment should not be construed as a CMS commitment]</w:t>
      </w:r>
    </w:p>
    <w:p w:rsidR="006002E4" w:rsidRDefault="006002E4" w:rsidP="00DE44B0">
      <w:pPr>
        <w:pStyle w:val="NoSpacing"/>
        <w:numPr>
          <w:ilvl w:val="0"/>
          <w:numId w:val="2"/>
        </w:numPr>
      </w:pPr>
      <w:r>
        <w:t>Alix – how set is this</w:t>
      </w:r>
      <w:r w:rsidR="0069021F">
        <w:t xml:space="preserve"> use case</w:t>
      </w:r>
      <w:r>
        <w:t>, how much could it change?</w:t>
      </w:r>
    </w:p>
    <w:p w:rsidR="006002E4" w:rsidRDefault="006002E4" w:rsidP="006002E4">
      <w:pPr>
        <w:pStyle w:val="NoSpacing"/>
        <w:numPr>
          <w:ilvl w:val="1"/>
          <w:numId w:val="2"/>
        </w:numPr>
      </w:pPr>
      <w:r>
        <w:t xml:space="preserve">Bob – still in development, not necessarily set yet, but probably close. This is </w:t>
      </w:r>
      <w:r w:rsidR="0069021F">
        <w:t xml:space="preserve">an example of </w:t>
      </w:r>
      <w:r>
        <w:t>how they are thinking about use cases at the moment</w:t>
      </w:r>
    </w:p>
    <w:p w:rsidR="00A064BF" w:rsidRDefault="00A064BF" w:rsidP="00A064BF">
      <w:pPr>
        <w:pStyle w:val="NoSpacing"/>
        <w:numPr>
          <w:ilvl w:val="0"/>
          <w:numId w:val="2"/>
        </w:numPr>
      </w:pPr>
      <w:r>
        <w:t>Karl Davis – this use case is about a provider asking a payer for data they hold directly?</w:t>
      </w:r>
    </w:p>
    <w:p w:rsidR="00A064BF" w:rsidRDefault="00A064BF" w:rsidP="00A064BF">
      <w:pPr>
        <w:pStyle w:val="NoSpacing"/>
        <w:numPr>
          <w:ilvl w:val="1"/>
          <w:numId w:val="2"/>
        </w:numPr>
      </w:pPr>
      <w:r>
        <w:t>Bob – correct. Commercial plans may hold clinical records (e.g. lab reports, information to support value-based care contracts, etc.)</w:t>
      </w:r>
    </w:p>
    <w:p w:rsidR="00A064BF" w:rsidRDefault="00A064BF" w:rsidP="00A064BF">
      <w:pPr>
        <w:pStyle w:val="NoSpacing"/>
        <w:numPr>
          <w:ilvl w:val="0"/>
          <w:numId w:val="2"/>
        </w:numPr>
      </w:pPr>
      <w:r>
        <w:t xml:space="preserve">Bob – we will need to look at all of the requirements in each use case (i.e. the pre/post conditions, assumptions, requirements/scenarios, etc.) to see </w:t>
      </w:r>
      <w:r w:rsidR="00E728B9">
        <w:t>which ones apply to our Tiger Team</w:t>
      </w:r>
    </w:p>
    <w:p w:rsidR="007D4E7F" w:rsidRDefault="00E728B9" w:rsidP="007D4E7F">
      <w:pPr>
        <w:pStyle w:val="NoSpacing"/>
        <w:numPr>
          <w:ilvl w:val="1"/>
          <w:numId w:val="2"/>
        </w:numPr>
      </w:pPr>
      <w:r>
        <w:t>E.g. the requirement to send a request for data to a payer’s endpoint may involve the use of a trust framework to ensure trusted/secure authentication/authorization</w:t>
      </w:r>
    </w:p>
    <w:p w:rsidR="007D4E7F" w:rsidRDefault="007D4E7F" w:rsidP="007D4E7F">
      <w:pPr>
        <w:pStyle w:val="NoSpacing"/>
        <w:numPr>
          <w:ilvl w:val="0"/>
          <w:numId w:val="2"/>
        </w:numPr>
      </w:pPr>
      <w:r>
        <w:t>Ed – will we have a chance to review use cases?</w:t>
      </w:r>
    </w:p>
    <w:p w:rsidR="007D4E7F" w:rsidRDefault="007D4E7F" w:rsidP="007D4E7F">
      <w:pPr>
        <w:pStyle w:val="NoSpacing"/>
        <w:numPr>
          <w:ilvl w:val="1"/>
          <w:numId w:val="2"/>
        </w:numPr>
      </w:pPr>
      <w:r>
        <w:t>Bob – yes, as soon as t</w:t>
      </w:r>
      <w:r w:rsidR="0069021F">
        <w:t>he Use Case Tiger Team</w:t>
      </w:r>
      <w:r>
        <w:t xml:space="preserve"> release it</w:t>
      </w:r>
    </w:p>
    <w:p w:rsidR="001351F7" w:rsidRDefault="001351F7" w:rsidP="001351F7">
      <w:pPr>
        <w:pStyle w:val="NoSpacing"/>
        <w:numPr>
          <w:ilvl w:val="0"/>
          <w:numId w:val="2"/>
        </w:numPr>
      </w:pPr>
      <w:r>
        <w:t>Karl – are these use cases envisioned with some sort of timeframe in mind? (i.e. when they should be adopted by the industry)</w:t>
      </w:r>
    </w:p>
    <w:p w:rsidR="001351F7" w:rsidRDefault="001351F7" w:rsidP="001351F7">
      <w:pPr>
        <w:pStyle w:val="NoSpacing"/>
        <w:numPr>
          <w:ilvl w:val="1"/>
          <w:numId w:val="2"/>
        </w:numPr>
      </w:pPr>
      <w:r>
        <w:t>Bob – part of our work will be defining when/how any standards we develop will be presented (e.g. balloting, recommending for regulation, best practice</w:t>
      </w:r>
      <w:r w:rsidR="00FB2D00">
        <w:t xml:space="preserve">, </w:t>
      </w:r>
      <w:proofErr w:type="spellStart"/>
      <w:r w:rsidR="00FB2D00">
        <w:t>etc</w:t>
      </w:r>
      <w:proofErr w:type="spellEnd"/>
      <w:r w:rsidR="00FB2D00">
        <w:t>). Testing through piloting to help define approach.</w:t>
      </w:r>
    </w:p>
    <w:p w:rsidR="00FB2D00" w:rsidRDefault="00FB2D00" w:rsidP="001351F7">
      <w:pPr>
        <w:pStyle w:val="NoSpacing"/>
        <w:numPr>
          <w:ilvl w:val="1"/>
          <w:numId w:val="2"/>
        </w:numPr>
      </w:pPr>
      <w:r>
        <w:t>Karl – concerned about how we manage alignment with other initiatives (e.g. the CMS effort described earlier)</w:t>
      </w:r>
    </w:p>
    <w:p w:rsidR="00FB2D00" w:rsidRDefault="00FB2D00" w:rsidP="001351F7">
      <w:pPr>
        <w:pStyle w:val="NoSpacing"/>
        <w:numPr>
          <w:ilvl w:val="1"/>
          <w:numId w:val="2"/>
        </w:numPr>
      </w:pPr>
      <w:r>
        <w:t>Bob – part of the reason we convened a broad group like the P2 FHIR Task Force is to help w/alignment of efforts</w:t>
      </w:r>
    </w:p>
    <w:p w:rsidR="00E728B9" w:rsidRPr="00FB3666" w:rsidRDefault="00E728B9" w:rsidP="00E728B9">
      <w:pPr>
        <w:pStyle w:val="NoSpacing"/>
      </w:pPr>
      <w:bookmarkStart w:id="0" w:name="_GoBack"/>
      <w:bookmarkEnd w:id="0"/>
    </w:p>
    <w:sectPr w:rsidR="00E728B9" w:rsidRPr="00FB3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54005"/>
    <w:multiLevelType w:val="hybridMultilevel"/>
    <w:tmpl w:val="8466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D6B76"/>
    <w:multiLevelType w:val="hybridMultilevel"/>
    <w:tmpl w:val="DC1A9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66"/>
    <w:rsid w:val="001351F7"/>
    <w:rsid w:val="00380357"/>
    <w:rsid w:val="00550856"/>
    <w:rsid w:val="006002E4"/>
    <w:rsid w:val="0069021F"/>
    <w:rsid w:val="007D4E7F"/>
    <w:rsid w:val="009C1226"/>
    <w:rsid w:val="00A064BF"/>
    <w:rsid w:val="00E728B9"/>
    <w:rsid w:val="00ED2093"/>
    <w:rsid w:val="00F35954"/>
    <w:rsid w:val="00FB2D00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E5D5"/>
  <w15:chartTrackingRefBased/>
  <w15:docId w15:val="{48862574-0D1D-4870-9B58-36BD7463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35954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95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Kontur, Alex (OS/ONC)</dc:creator>
  <cp:keywords/>
  <dc:description/>
  <cp:lastModifiedBy>Kontur, Alex (OS/ONC)</cp:lastModifiedBy>
  <cp:revision>4</cp:revision>
  <dcterms:created xsi:type="dcterms:W3CDTF">2018-08-30T17:00:00Z</dcterms:created>
  <dcterms:modified xsi:type="dcterms:W3CDTF">2018-09-06T15:37:00Z</dcterms:modified>
</cp:coreProperties>
</file>