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footer6.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7.xml" ContentType="application/vnd.openxmlformats-officedocument.wordprocessingml.footer+xml"/>
  <Override PartName="/word/header12.xml" ContentType="application/vnd.openxmlformats-officedocument.wordprocessingml.header+xml"/>
  <Override PartName="/word/footer8.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3.xml" ContentType="application/vnd.openxmlformats-officedocument.wordprocessingml.header+xml"/>
  <Override PartName="/word/header14.xml" ContentType="application/vnd.openxmlformats-officedocument.wordprocessingml.header+xml"/>
  <Override PartName="/word/footer9.xml" ContentType="application/vnd.openxmlformats-officedocument.wordprocessingml.footer+xml"/>
  <Override PartName="/word/header15.xml" ContentType="application/vnd.openxmlformats-officedocument.wordprocessingml.header+xml"/>
  <Override PartName="/word/footer10.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11.xml" ContentType="application/vnd.openxmlformats-officedocument.wordprocessingml.footer+xml"/>
  <Override PartName="/word/header18.xml" ContentType="application/vnd.openxmlformats-officedocument.wordprocessingml.header+xml"/>
  <Override PartName="/word/footer12.xml" ContentType="application/vnd.openxmlformats-officedocument.wordprocessingml.footer+xml"/>
  <Override PartName="/word/header19.xml" ContentType="application/vnd.openxmlformats-officedocument.wordprocessingml.header+xml"/>
  <Override PartName="/word/header20.xml" ContentType="application/vnd.openxmlformats-officedocument.wordprocessingml.header+xml"/>
  <Override PartName="/word/footer13.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footer14.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2" w14:textId="02207F8D" w:rsidR="00D67C8C" w:rsidRPr="005E64B8" w:rsidRDefault="0005055A" w:rsidP="00525F2A">
      <w:pPr>
        <w:pStyle w:val="Title-CMStopline"/>
      </w:pPr>
      <w:r>
        <w:drawing>
          <wp:anchor distT="0" distB="0" distL="114300" distR="114300" simplePos="0" relativeHeight="251658240" behindDoc="0" locked="0" layoutInCell="1" allowOverlap="1" wp14:anchorId="33C9F620" wp14:editId="65F4026A">
            <wp:simplePos x="0" y="0"/>
            <wp:positionH relativeFrom="column">
              <wp:posOffset>0</wp:posOffset>
            </wp:positionH>
            <wp:positionV relativeFrom="paragraph">
              <wp:posOffset>-635</wp:posOffset>
            </wp:positionV>
            <wp:extent cx="2240280" cy="767715"/>
            <wp:effectExtent l="0" t="0" r="0" b="0"/>
            <wp:wrapNone/>
            <wp:docPr id="251191999" name="image3.png" descr="Identity Mark of the Centers for Medicare &amp; Medicaid Servi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png" descr="Identity Mark of the Centers for Medicare &amp; Medicaid Services"/>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240280" cy="767715"/>
                    </a:xfrm>
                    <a:prstGeom prst="rect">
                      <a:avLst/>
                    </a:prstGeom>
                    <a:noFill/>
                    <a:ln>
                      <a:noFill/>
                    </a:ln>
                  </pic:spPr>
                </pic:pic>
              </a:graphicData>
            </a:graphic>
            <wp14:sizeRelH relativeFrom="page">
              <wp14:pctWidth>0</wp14:pctWidth>
            </wp14:sizeRelH>
            <wp14:sizeRelV relativeFrom="page">
              <wp14:pctHeight>0</wp14:pctHeight>
            </wp14:sizeRelV>
          </wp:anchor>
        </w:drawing>
      </w:r>
      <w:r w:rsidR="00C80A11" w:rsidRPr="005E64B8">
        <w:t>Centers for Medicare &amp; Medicaid Services</w:t>
      </w:r>
    </w:p>
    <w:p w14:paraId="00000005" w14:textId="3592AC8A" w:rsidR="00D67C8C" w:rsidRPr="001C19B1" w:rsidRDefault="00C80A11" w:rsidP="001C19B1">
      <w:pPr>
        <w:pStyle w:val="Title"/>
      </w:pPr>
      <w:bookmarkStart w:id="0" w:name="_heading=h.147n2zr" w:colFirst="0" w:colLast="0"/>
      <w:bookmarkStart w:id="1" w:name="_Toc91742211"/>
      <w:bookmarkEnd w:id="0"/>
      <w:r w:rsidRPr="001C19B1">
        <w:t>Electronic Clinical Quality Measure (eCQM)</w:t>
      </w:r>
      <w:r w:rsidR="001C19B1" w:rsidRPr="001C19B1">
        <w:t xml:space="preserve"> </w:t>
      </w:r>
      <w:r w:rsidRPr="001C19B1">
        <w:t>Logic and Implementation Guidance</w:t>
      </w:r>
      <w:bookmarkEnd w:id="1"/>
    </w:p>
    <w:p w14:paraId="00000006" w14:textId="655F9FEF" w:rsidR="00D67C8C" w:rsidRPr="005E64B8" w:rsidRDefault="00C80A11" w:rsidP="00525F2A">
      <w:pPr>
        <w:pStyle w:val="Title-Version"/>
      </w:pPr>
      <w:r w:rsidRPr="005E64B8">
        <w:t>Versio</w:t>
      </w:r>
      <w:r w:rsidR="00320541" w:rsidRPr="005E64B8">
        <w:t xml:space="preserve">n </w:t>
      </w:r>
      <w:r w:rsidR="00415519">
        <w:rPr>
          <w:rFonts w:cs="Arial Narrow"/>
          <w:szCs w:val="32"/>
        </w:rPr>
        <w:t>10</w:t>
      </w:r>
      <w:r w:rsidRPr="005E64B8">
        <w:t>.0</w:t>
      </w:r>
    </w:p>
    <w:p w14:paraId="7DE4508B" w14:textId="20878EC9" w:rsidR="00593AB5" w:rsidRDefault="00593AB5" w:rsidP="00525F2A">
      <w:pPr>
        <w:pStyle w:val="PubDate"/>
        <w:rPr>
          <w:rFonts w:eastAsia="Arial Narrow"/>
        </w:rPr>
      </w:pPr>
      <w:r>
        <w:rPr>
          <w:rFonts w:eastAsia="Arial Narrow"/>
        </w:rPr>
        <w:t xml:space="preserve">May </w:t>
      </w:r>
      <w:r w:rsidR="00415519">
        <w:rPr>
          <w:rFonts w:eastAsia="Arial Narrow"/>
        </w:rPr>
        <w:t>2026</w:t>
      </w:r>
    </w:p>
    <w:p w14:paraId="7F93397C" w14:textId="77777777" w:rsidR="00525F2A" w:rsidRDefault="00525F2A">
      <w:pPr>
        <w:spacing w:after="0"/>
      </w:pPr>
    </w:p>
    <w:p w14:paraId="08EB3E21" w14:textId="77777777" w:rsidR="00525F2A" w:rsidRDefault="00525F2A">
      <w:pPr>
        <w:spacing w:after="0"/>
        <w:sectPr w:rsidR="00525F2A" w:rsidSect="005E64B8">
          <w:headerReference w:type="even" r:id="rId16"/>
          <w:headerReference w:type="default" r:id="rId17"/>
          <w:footerReference w:type="even" r:id="rId18"/>
          <w:footerReference w:type="default" r:id="rId19"/>
          <w:headerReference w:type="first" r:id="rId20"/>
          <w:footerReference w:type="first" r:id="rId21"/>
          <w:pgSz w:w="12240" w:h="15840"/>
          <w:pgMar w:top="1440" w:right="1440" w:bottom="1440" w:left="1440" w:header="504" w:footer="504" w:gutter="0"/>
          <w:cols w:space="720"/>
          <w:titlePg/>
        </w:sectPr>
      </w:pPr>
    </w:p>
    <w:sdt>
      <w:sdtPr>
        <w:rPr>
          <w:rFonts w:ascii="Times New Roman" w:eastAsiaTheme="minorEastAsia" w:hAnsi="Times New Roman" w:cstheme="minorBidi"/>
          <w:color w:val="auto"/>
          <w:sz w:val="24"/>
          <w:szCs w:val="24"/>
        </w:rPr>
        <w:id w:val="-1030496420"/>
        <w:docPartObj>
          <w:docPartGallery w:val="Table of Contents"/>
          <w:docPartUnique/>
        </w:docPartObj>
      </w:sdtPr>
      <w:sdtContent>
        <w:p w14:paraId="258A31AD" w14:textId="01041ABB" w:rsidR="007F4BD6" w:rsidRDefault="007F4BD6">
          <w:pPr>
            <w:pStyle w:val="TOCHeading"/>
          </w:pPr>
          <w:r>
            <w:t>Table of Contents</w:t>
          </w:r>
        </w:p>
        <w:p w14:paraId="029114D5" w14:textId="0CE234A6" w:rsidR="00E0532C" w:rsidRDefault="007F4BD6">
          <w:pPr>
            <w:pStyle w:val="TOC1"/>
            <w:rPr>
              <w:rFonts w:asciiTheme="minorHAnsi" w:eastAsiaTheme="minorEastAsia" w:hAnsiTheme="minorHAnsi"/>
              <w:b w:val="0"/>
              <w:noProof/>
              <w:kern w:val="2"/>
              <w:szCs w:val="24"/>
              <w14:ligatures w14:val="standardContextual"/>
            </w:rPr>
          </w:pPr>
          <w:r>
            <w:rPr>
              <w:b w:val="0"/>
            </w:rPr>
            <w:fldChar w:fldCharType="begin"/>
          </w:r>
          <w:r>
            <w:instrText xml:space="preserve"> TOC \h \z \t "Acknowledgment,1,Appendix Title,8,Attachment Title,1,H1,1,ES</w:instrText>
          </w:r>
          <w:r w:rsidRPr="009A19A8">
            <w:instrText xml:space="preserve"> H1,1,</w:instrText>
          </w:r>
          <w:r>
            <w:instrText xml:space="preserve">H1-Num,1,H2,2,H2-Num,2,H3,3,H3-Num,3" </w:instrText>
          </w:r>
          <w:r>
            <w:rPr>
              <w:b w:val="0"/>
            </w:rPr>
            <w:fldChar w:fldCharType="separate"/>
          </w:r>
          <w:hyperlink w:anchor="_Toc194994733" w:history="1">
            <w:r w:rsidR="00E0532C" w:rsidRPr="003F7071">
              <w:rPr>
                <w:rStyle w:val="Hyperlink"/>
                <w:noProof/>
              </w:rPr>
              <w:t>1.</w:t>
            </w:r>
            <w:r w:rsidR="00E0532C">
              <w:rPr>
                <w:rFonts w:asciiTheme="minorHAnsi" w:eastAsiaTheme="minorEastAsia" w:hAnsiTheme="minorHAnsi"/>
                <w:b w:val="0"/>
                <w:noProof/>
                <w:kern w:val="2"/>
                <w:szCs w:val="24"/>
                <w14:ligatures w14:val="standardContextual"/>
              </w:rPr>
              <w:tab/>
            </w:r>
            <w:r w:rsidR="00E0532C" w:rsidRPr="003F7071">
              <w:rPr>
                <w:rStyle w:val="Hyperlink"/>
                <w:noProof/>
              </w:rPr>
              <w:t>Introduction</w:t>
            </w:r>
            <w:r w:rsidR="00E0532C">
              <w:rPr>
                <w:noProof/>
                <w:webHidden/>
              </w:rPr>
              <w:tab/>
            </w:r>
            <w:r w:rsidR="00E0532C">
              <w:rPr>
                <w:noProof/>
                <w:webHidden/>
              </w:rPr>
              <w:fldChar w:fldCharType="begin"/>
            </w:r>
            <w:r w:rsidR="00E0532C">
              <w:rPr>
                <w:noProof/>
                <w:webHidden/>
              </w:rPr>
              <w:instrText xml:space="preserve"> PAGEREF _Toc194994733 \h </w:instrText>
            </w:r>
            <w:r w:rsidR="00E0532C">
              <w:rPr>
                <w:noProof/>
                <w:webHidden/>
              </w:rPr>
            </w:r>
            <w:r w:rsidR="00E0532C">
              <w:rPr>
                <w:noProof/>
                <w:webHidden/>
              </w:rPr>
              <w:fldChar w:fldCharType="separate"/>
            </w:r>
            <w:r w:rsidR="00707DB8">
              <w:rPr>
                <w:noProof/>
                <w:webHidden/>
              </w:rPr>
              <w:t>1</w:t>
            </w:r>
            <w:r w:rsidR="00E0532C">
              <w:rPr>
                <w:noProof/>
                <w:webHidden/>
              </w:rPr>
              <w:fldChar w:fldCharType="end"/>
            </w:r>
          </w:hyperlink>
        </w:p>
        <w:p w14:paraId="12D8E0AF" w14:textId="74E44DDC" w:rsidR="00E0532C" w:rsidRDefault="00E0532C">
          <w:pPr>
            <w:pStyle w:val="TOC2"/>
            <w:tabs>
              <w:tab w:val="left" w:pos="1296"/>
            </w:tabs>
            <w:rPr>
              <w:rFonts w:asciiTheme="minorHAnsi" w:eastAsiaTheme="minorEastAsia" w:hAnsiTheme="minorHAnsi"/>
              <w:noProof/>
              <w:kern w:val="2"/>
              <w:szCs w:val="24"/>
              <w14:ligatures w14:val="standardContextual"/>
            </w:rPr>
          </w:pPr>
          <w:hyperlink w:anchor="_Toc194994734" w:history="1">
            <w:r w:rsidRPr="003F7071">
              <w:rPr>
                <w:rStyle w:val="Hyperlink"/>
                <w:noProof/>
              </w:rPr>
              <w:t>1.1</w:t>
            </w:r>
            <w:r>
              <w:rPr>
                <w:rFonts w:asciiTheme="minorHAnsi" w:eastAsiaTheme="minorEastAsia" w:hAnsiTheme="minorHAnsi"/>
                <w:noProof/>
                <w:kern w:val="2"/>
                <w:szCs w:val="24"/>
                <w14:ligatures w14:val="standardContextual"/>
              </w:rPr>
              <w:tab/>
            </w:r>
            <w:r w:rsidRPr="003F7071">
              <w:rPr>
                <w:rStyle w:val="Hyperlink"/>
                <w:noProof/>
              </w:rPr>
              <w:t>eCQM Types</w:t>
            </w:r>
            <w:r>
              <w:rPr>
                <w:noProof/>
                <w:webHidden/>
              </w:rPr>
              <w:tab/>
            </w:r>
            <w:r>
              <w:rPr>
                <w:noProof/>
                <w:webHidden/>
              </w:rPr>
              <w:fldChar w:fldCharType="begin"/>
            </w:r>
            <w:r>
              <w:rPr>
                <w:noProof/>
                <w:webHidden/>
              </w:rPr>
              <w:instrText xml:space="preserve"> PAGEREF _Toc194994734 \h </w:instrText>
            </w:r>
            <w:r>
              <w:rPr>
                <w:noProof/>
                <w:webHidden/>
              </w:rPr>
            </w:r>
            <w:r>
              <w:rPr>
                <w:noProof/>
                <w:webHidden/>
              </w:rPr>
              <w:fldChar w:fldCharType="separate"/>
            </w:r>
            <w:r w:rsidR="00707DB8">
              <w:rPr>
                <w:noProof/>
                <w:webHidden/>
              </w:rPr>
              <w:t>2</w:t>
            </w:r>
            <w:r>
              <w:rPr>
                <w:noProof/>
                <w:webHidden/>
              </w:rPr>
              <w:fldChar w:fldCharType="end"/>
            </w:r>
          </w:hyperlink>
        </w:p>
        <w:p w14:paraId="253060FC" w14:textId="15212534" w:rsidR="00E0532C" w:rsidRDefault="00E0532C">
          <w:pPr>
            <w:pStyle w:val="TOC2"/>
            <w:tabs>
              <w:tab w:val="left" w:pos="1296"/>
            </w:tabs>
            <w:rPr>
              <w:rFonts w:asciiTheme="minorHAnsi" w:eastAsiaTheme="minorEastAsia" w:hAnsiTheme="minorHAnsi"/>
              <w:noProof/>
              <w:kern w:val="2"/>
              <w:szCs w:val="24"/>
              <w14:ligatures w14:val="standardContextual"/>
            </w:rPr>
          </w:pPr>
          <w:hyperlink w:anchor="_Toc194994735" w:history="1">
            <w:r w:rsidRPr="003F7071">
              <w:rPr>
                <w:rStyle w:val="Hyperlink"/>
                <w:rFonts w:eastAsia="Arial Narrow"/>
                <w:noProof/>
              </w:rPr>
              <w:t>1.2</w:t>
            </w:r>
            <w:r>
              <w:rPr>
                <w:rFonts w:asciiTheme="minorHAnsi" w:eastAsiaTheme="minorEastAsia" w:hAnsiTheme="minorHAnsi"/>
                <w:noProof/>
                <w:kern w:val="2"/>
                <w:szCs w:val="24"/>
                <w14:ligatures w14:val="standardContextual"/>
              </w:rPr>
              <w:tab/>
            </w:r>
            <w:r w:rsidRPr="003F7071">
              <w:rPr>
                <w:rStyle w:val="Hyperlink"/>
                <w:rFonts w:eastAsia="Arial Narrow"/>
                <w:noProof/>
              </w:rPr>
              <w:t>Population Basis</w:t>
            </w:r>
            <w:r>
              <w:rPr>
                <w:noProof/>
                <w:webHidden/>
              </w:rPr>
              <w:tab/>
            </w:r>
            <w:r>
              <w:rPr>
                <w:noProof/>
                <w:webHidden/>
              </w:rPr>
              <w:fldChar w:fldCharType="begin"/>
            </w:r>
            <w:r>
              <w:rPr>
                <w:noProof/>
                <w:webHidden/>
              </w:rPr>
              <w:instrText xml:space="preserve"> PAGEREF _Toc194994735 \h </w:instrText>
            </w:r>
            <w:r>
              <w:rPr>
                <w:noProof/>
                <w:webHidden/>
              </w:rPr>
            </w:r>
            <w:r>
              <w:rPr>
                <w:noProof/>
                <w:webHidden/>
              </w:rPr>
              <w:fldChar w:fldCharType="separate"/>
            </w:r>
            <w:r w:rsidR="00707DB8">
              <w:rPr>
                <w:noProof/>
                <w:webHidden/>
              </w:rPr>
              <w:t>2</w:t>
            </w:r>
            <w:r>
              <w:rPr>
                <w:noProof/>
                <w:webHidden/>
              </w:rPr>
              <w:fldChar w:fldCharType="end"/>
            </w:r>
          </w:hyperlink>
        </w:p>
        <w:p w14:paraId="4C0571FF" w14:textId="25DFC319" w:rsidR="00E0532C" w:rsidRDefault="00E0532C">
          <w:pPr>
            <w:pStyle w:val="TOC3"/>
            <w:tabs>
              <w:tab w:val="left" w:pos="1728"/>
            </w:tabs>
            <w:rPr>
              <w:rFonts w:asciiTheme="minorHAnsi" w:eastAsiaTheme="minorEastAsia" w:hAnsiTheme="minorHAnsi"/>
              <w:noProof/>
              <w:kern w:val="2"/>
              <w:szCs w:val="24"/>
              <w14:ligatures w14:val="standardContextual"/>
            </w:rPr>
          </w:pPr>
          <w:hyperlink w:anchor="_Toc194994736" w:history="1">
            <w:r w:rsidRPr="003F7071">
              <w:rPr>
                <w:rStyle w:val="Hyperlink"/>
                <w:noProof/>
              </w:rPr>
              <w:t>1.2.1</w:t>
            </w:r>
            <w:r>
              <w:rPr>
                <w:rFonts w:asciiTheme="minorHAnsi" w:eastAsiaTheme="minorEastAsia" w:hAnsiTheme="minorHAnsi"/>
                <w:noProof/>
                <w:kern w:val="2"/>
                <w:szCs w:val="24"/>
                <w14:ligatures w14:val="standardContextual"/>
              </w:rPr>
              <w:tab/>
            </w:r>
            <w:r w:rsidRPr="003F7071">
              <w:rPr>
                <w:rStyle w:val="Hyperlink"/>
                <w:noProof/>
              </w:rPr>
              <w:t>Patient-based eCQMs</w:t>
            </w:r>
            <w:r>
              <w:rPr>
                <w:noProof/>
                <w:webHidden/>
              </w:rPr>
              <w:tab/>
            </w:r>
            <w:r>
              <w:rPr>
                <w:noProof/>
                <w:webHidden/>
              </w:rPr>
              <w:fldChar w:fldCharType="begin"/>
            </w:r>
            <w:r>
              <w:rPr>
                <w:noProof/>
                <w:webHidden/>
              </w:rPr>
              <w:instrText xml:space="preserve"> PAGEREF _Toc194994736 \h </w:instrText>
            </w:r>
            <w:r>
              <w:rPr>
                <w:noProof/>
                <w:webHidden/>
              </w:rPr>
            </w:r>
            <w:r>
              <w:rPr>
                <w:noProof/>
                <w:webHidden/>
              </w:rPr>
              <w:fldChar w:fldCharType="separate"/>
            </w:r>
            <w:r w:rsidR="00707DB8">
              <w:rPr>
                <w:noProof/>
                <w:webHidden/>
              </w:rPr>
              <w:t>2</w:t>
            </w:r>
            <w:r>
              <w:rPr>
                <w:noProof/>
                <w:webHidden/>
              </w:rPr>
              <w:fldChar w:fldCharType="end"/>
            </w:r>
          </w:hyperlink>
        </w:p>
        <w:p w14:paraId="07F3244C" w14:textId="52A54B75" w:rsidR="00E0532C" w:rsidRDefault="00E0532C">
          <w:pPr>
            <w:pStyle w:val="TOC3"/>
            <w:tabs>
              <w:tab w:val="left" w:pos="1728"/>
            </w:tabs>
            <w:rPr>
              <w:rFonts w:asciiTheme="minorHAnsi" w:eastAsiaTheme="minorEastAsia" w:hAnsiTheme="minorHAnsi"/>
              <w:noProof/>
              <w:kern w:val="2"/>
              <w:szCs w:val="24"/>
              <w14:ligatures w14:val="standardContextual"/>
            </w:rPr>
          </w:pPr>
          <w:hyperlink w:anchor="_Toc194994737" w:history="1">
            <w:r w:rsidRPr="003F7071">
              <w:rPr>
                <w:rStyle w:val="Hyperlink"/>
                <w:noProof/>
              </w:rPr>
              <w:t>1.2.2</w:t>
            </w:r>
            <w:r>
              <w:rPr>
                <w:rFonts w:asciiTheme="minorHAnsi" w:eastAsiaTheme="minorEastAsia" w:hAnsiTheme="minorHAnsi"/>
                <w:noProof/>
                <w:kern w:val="2"/>
                <w:szCs w:val="24"/>
                <w14:ligatures w14:val="standardContextual"/>
              </w:rPr>
              <w:tab/>
            </w:r>
            <w:r w:rsidRPr="003F7071">
              <w:rPr>
                <w:rStyle w:val="Hyperlink"/>
                <w:noProof/>
              </w:rPr>
              <w:t>Episode-based eCQMs</w:t>
            </w:r>
            <w:r>
              <w:rPr>
                <w:noProof/>
                <w:webHidden/>
              </w:rPr>
              <w:tab/>
            </w:r>
            <w:r>
              <w:rPr>
                <w:noProof/>
                <w:webHidden/>
              </w:rPr>
              <w:fldChar w:fldCharType="begin"/>
            </w:r>
            <w:r>
              <w:rPr>
                <w:noProof/>
                <w:webHidden/>
              </w:rPr>
              <w:instrText xml:space="preserve"> PAGEREF _Toc194994737 \h </w:instrText>
            </w:r>
            <w:r>
              <w:rPr>
                <w:noProof/>
                <w:webHidden/>
              </w:rPr>
            </w:r>
            <w:r>
              <w:rPr>
                <w:noProof/>
                <w:webHidden/>
              </w:rPr>
              <w:fldChar w:fldCharType="separate"/>
            </w:r>
            <w:r w:rsidR="00707DB8">
              <w:rPr>
                <w:noProof/>
                <w:webHidden/>
              </w:rPr>
              <w:t>2</w:t>
            </w:r>
            <w:r>
              <w:rPr>
                <w:noProof/>
                <w:webHidden/>
              </w:rPr>
              <w:fldChar w:fldCharType="end"/>
            </w:r>
          </w:hyperlink>
        </w:p>
        <w:p w14:paraId="15C4373A" w14:textId="5BC1DD04" w:rsidR="00E0532C" w:rsidRDefault="00E0532C">
          <w:pPr>
            <w:pStyle w:val="TOC2"/>
            <w:tabs>
              <w:tab w:val="left" w:pos="1296"/>
            </w:tabs>
            <w:rPr>
              <w:rFonts w:asciiTheme="minorHAnsi" w:eastAsiaTheme="minorEastAsia" w:hAnsiTheme="minorHAnsi"/>
              <w:noProof/>
              <w:kern w:val="2"/>
              <w:szCs w:val="24"/>
              <w14:ligatures w14:val="standardContextual"/>
            </w:rPr>
          </w:pPr>
          <w:hyperlink w:anchor="_Toc194994738" w:history="1">
            <w:r w:rsidRPr="003F7071">
              <w:rPr>
                <w:rStyle w:val="Hyperlink"/>
                <w:rFonts w:eastAsia="Arial Narrow"/>
                <w:noProof/>
              </w:rPr>
              <w:t>1.3</w:t>
            </w:r>
            <w:r>
              <w:rPr>
                <w:rFonts w:asciiTheme="minorHAnsi" w:eastAsiaTheme="minorEastAsia" w:hAnsiTheme="minorHAnsi"/>
                <w:noProof/>
                <w:kern w:val="2"/>
                <w:szCs w:val="24"/>
                <w14:ligatures w14:val="standardContextual"/>
              </w:rPr>
              <w:tab/>
            </w:r>
            <w:r w:rsidRPr="003F7071">
              <w:rPr>
                <w:rStyle w:val="Hyperlink"/>
                <w:rFonts w:eastAsia="Arial Narrow"/>
                <w:noProof/>
              </w:rPr>
              <w:t>eCQM Scoring</w:t>
            </w:r>
            <w:r>
              <w:rPr>
                <w:noProof/>
                <w:webHidden/>
              </w:rPr>
              <w:tab/>
            </w:r>
            <w:r>
              <w:rPr>
                <w:noProof/>
                <w:webHidden/>
              </w:rPr>
              <w:fldChar w:fldCharType="begin"/>
            </w:r>
            <w:r>
              <w:rPr>
                <w:noProof/>
                <w:webHidden/>
              </w:rPr>
              <w:instrText xml:space="preserve"> PAGEREF _Toc194994738 \h </w:instrText>
            </w:r>
            <w:r>
              <w:rPr>
                <w:noProof/>
                <w:webHidden/>
              </w:rPr>
            </w:r>
            <w:r>
              <w:rPr>
                <w:noProof/>
                <w:webHidden/>
              </w:rPr>
              <w:fldChar w:fldCharType="separate"/>
            </w:r>
            <w:r w:rsidR="00707DB8">
              <w:rPr>
                <w:noProof/>
                <w:webHidden/>
              </w:rPr>
              <w:t>3</w:t>
            </w:r>
            <w:r>
              <w:rPr>
                <w:noProof/>
                <w:webHidden/>
              </w:rPr>
              <w:fldChar w:fldCharType="end"/>
            </w:r>
          </w:hyperlink>
        </w:p>
        <w:p w14:paraId="238767B7" w14:textId="7CC29709" w:rsidR="00E0532C" w:rsidRDefault="00E0532C">
          <w:pPr>
            <w:pStyle w:val="TOC3"/>
            <w:tabs>
              <w:tab w:val="left" w:pos="1728"/>
            </w:tabs>
            <w:rPr>
              <w:rFonts w:asciiTheme="minorHAnsi" w:eastAsiaTheme="minorEastAsia" w:hAnsiTheme="minorHAnsi"/>
              <w:noProof/>
              <w:kern w:val="2"/>
              <w:szCs w:val="24"/>
              <w14:ligatures w14:val="standardContextual"/>
            </w:rPr>
          </w:pPr>
          <w:hyperlink w:anchor="_Toc194994739" w:history="1">
            <w:r w:rsidRPr="003F7071">
              <w:rPr>
                <w:rStyle w:val="Hyperlink"/>
                <w:noProof/>
              </w:rPr>
              <w:t>1.3.1</w:t>
            </w:r>
            <w:r>
              <w:rPr>
                <w:rFonts w:asciiTheme="minorHAnsi" w:eastAsiaTheme="minorEastAsia" w:hAnsiTheme="minorHAnsi"/>
                <w:noProof/>
                <w:kern w:val="2"/>
                <w:szCs w:val="24"/>
                <w14:ligatures w14:val="standardContextual"/>
              </w:rPr>
              <w:tab/>
            </w:r>
            <w:r w:rsidRPr="003F7071">
              <w:rPr>
                <w:rStyle w:val="Hyperlink"/>
                <w:noProof/>
              </w:rPr>
              <w:t>Proportion eCQMs</w:t>
            </w:r>
            <w:r>
              <w:rPr>
                <w:noProof/>
                <w:webHidden/>
              </w:rPr>
              <w:tab/>
            </w:r>
            <w:r>
              <w:rPr>
                <w:noProof/>
                <w:webHidden/>
              </w:rPr>
              <w:fldChar w:fldCharType="begin"/>
            </w:r>
            <w:r>
              <w:rPr>
                <w:noProof/>
                <w:webHidden/>
              </w:rPr>
              <w:instrText xml:space="preserve"> PAGEREF _Toc194994739 \h </w:instrText>
            </w:r>
            <w:r>
              <w:rPr>
                <w:noProof/>
                <w:webHidden/>
              </w:rPr>
            </w:r>
            <w:r>
              <w:rPr>
                <w:noProof/>
                <w:webHidden/>
              </w:rPr>
              <w:fldChar w:fldCharType="separate"/>
            </w:r>
            <w:r w:rsidR="00707DB8">
              <w:rPr>
                <w:noProof/>
                <w:webHidden/>
              </w:rPr>
              <w:t>3</w:t>
            </w:r>
            <w:r>
              <w:rPr>
                <w:noProof/>
                <w:webHidden/>
              </w:rPr>
              <w:fldChar w:fldCharType="end"/>
            </w:r>
          </w:hyperlink>
        </w:p>
        <w:p w14:paraId="1CA2A170" w14:textId="5675E739" w:rsidR="00E0532C" w:rsidRDefault="00E0532C">
          <w:pPr>
            <w:pStyle w:val="TOC3"/>
            <w:tabs>
              <w:tab w:val="left" w:pos="1728"/>
            </w:tabs>
            <w:rPr>
              <w:rFonts w:asciiTheme="minorHAnsi" w:eastAsiaTheme="minorEastAsia" w:hAnsiTheme="minorHAnsi"/>
              <w:noProof/>
              <w:kern w:val="2"/>
              <w:szCs w:val="24"/>
              <w14:ligatures w14:val="standardContextual"/>
            </w:rPr>
          </w:pPr>
          <w:hyperlink w:anchor="_Toc194994740" w:history="1">
            <w:r w:rsidRPr="003F7071">
              <w:rPr>
                <w:rStyle w:val="Hyperlink"/>
                <w:noProof/>
              </w:rPr>
              <w:t>1.3.2</w:t>
            </w:r>
            <w:r>
              <w:rPr>
                <w:rFonts w:asciiTheme="minorHAnsi" w:eastAsiaTheme="minorEastAsia" w:hAnsiTheme="minorHAnsi"/>
                <w:noProof/>
                <w:kern w:val="2"/>
                <w:szCs w:val="24"/>
                <w14:ligatures w14:val="standardContextual"/>
              </w:rPr>
              <w:tab/>
            </w:r>
            <w:r w:rsidRPr="003F7071">
              <w:rPr>
                <w:rStyle w:val="Hyperlink"/>
                <w:noProof/>
              </w:rPr>
              <w:t>Continuous Variable Measures</w:t>
            </w:r>
            <w:r>
              <w:rPr>
                <w:noProof/>
                <w:webHidden/>
              </w:rPr>
              <w:tab/>
            </w:r>
            <w:r>
              <w:rPr>
                <w:noProof/>
                <w:webHidden/>
              </w:rPr>
              <w:fldChar w:fldCharType="begin"/>
            </w:r>
            <w:r>
              <w:rPr>
                <w:noProof/>
                <w:webHidden/>
              </w:rPr>
              <w:instrText xml:space="preserve"> PAGEREF _Toc194994740 \h </w:instrText>
            </w:r>
            <w:r>
              <w:rPr>
                <w:noProof/>
                <w:webHidden/>
              </w:rPr>
            </w:r>
            <w:r>
              <w:rPr>
                <w:noProof/>
                <w:webHidden/>
              </w:rPr>
              <w:fldChar w:fldCharType="separate"/>
            </w:r>
            <w:r w:rsidR="00707DB8">
              <w:rPr>
                <w:noProof/>
                <w:webHidden/>
              </w:rPr>
              <w:t>7</w:t>
            </w:r>
            <w:r>
              <w:rPr>
                <w:noProof/>
                <w:webHidden/>
              </w:rPr>
              <w:fldChar w:fldCharType="end"/>
            </w:r>
          </w:hyperlink>
        </w:p>
        <w:p w14:paraId="261803E1" w14:textId="66359B85" w:rsidR="00E0532C" w:rsidRDefault="00E0532C">
          <w:pPr>
            <w:pStyle w:val="TOC3"/>
            <w:tabs>
              <w:tab w:val="left" w:pos="1728"/>
            </w:tabs>
            <w:rPr>
              <w:rFonts w:asciiTheme="minorHAnsi" w:eastAsiaTheme="minorEastAsia" w:hAnsiTheme="minorHAnsi"/>
              <w:noProof/>
              <w:kern w:val="2"/>
              <w:szCs w:val="24"/>
              <w14:ligatures w14:val="standardContextual"/>
            </w:rPr>
          </w:pPr>
          <w:hyperlink w:anchor="_Toc194994741" w:history="1">
            <w:r w:rsidRPr="003F7071">
              <w:rPr>
                <w:rStyle w:val="Hyperlink"/>
                <w:noProof/>
              </w:rPr>
              <w:t>1.3.3</w:t>
            </w:r>
            <w:r>
              <w:rPr>
                <w:rFonts w:asciiTheme="minorHAnsi" w:eastAsiaTheme="minorEastAsia" w:hAnsiTheme="minorHAnsi"/>
                <w:noProof/>
                <w:kern w:val="2"/>
                <w:szCs w:val="24"/>
                <w14:ligatures w14:val="standardContextual"/>
              </w:rPr>
              <w:tab/>
            </w:r>
            <w:r w:rsidRPr="003F7071">
              <w:rPr>
                <w:rStyle w:val="Hyperlink"/>
                <w:noProof/>
              </w:rPr>
              <w:t>Ratio Measures</w:t>
            </w:r>
            <w:r>
              <w:rPr>
                <w:noProof/>
                <w:webHidden/>
              </w:rPr>
              <w:tab/>
            </w:r>
            <w:r>
              <w:rPr>
                <w:noProof/>
                <w:webHidden/>
              </w:rPr>
              <w:fldChar w:fldCharType="begin"/>
            </w:r>
            <w:r>
              <w:rPr>
                <w:noProof/>
                <w:webHidden/>
              </w:rPr>
              <w:instrText xml:space="preserve"> PAGEREF _Toc194994741 \h </w:instrText>
            </w:r>
            <w:r>
              <w:rPr>
                <w:noProof/>
                <w:webHidden/>
              </w:rPr>
            </w:r>
            <w:r>
              <w:rPr>
                <w:noProof/>
                <w:webHidden/>
              </w:rPr>
              <w:fldChar w:fldCharType="separate"/>
            </w:r>
            <w:r w:rsidR="00707DB8">
              <w:rPr>
                <w:noProof/>
                <w:webHidden/>
              </w:rPr>
              <w:t>8</w:t>
            </w:r>
            <w:r>
              <w:rPr>
                <w:noProof/>
                <w:webHidden/>
              </w:rPr>
              <w:fldChar w:fldCharType="end"/>
            </w:r>
          </w:hyperlink>
        </w:p>
        <w:p w14:paraId="02599F71" w14:textId="4FF9DF9F" w:rsidR="00E0532C" w:rsidRDefault="00E0532C">
          <w:pPr>
            <w:pStyle w:val="TOC2"/>
            <w:tabs>
              <w:tab w:val="left" w:pos="1296"/>
            </w:tabs>
            <w:rPr>
              <w:rFonts w:asciiTheme="minorHAnsi" w:eastAsiaTheme="minorEastAsia" w:hAnsiTheme="minorHAnsi"/>
              <w:noProof/>
              <w:kern w:val="2"/>
              <w:szCs w:val="24"/>
              <w14:ligatures w14:val="standardContextual"/>
            </w:rPr>
          </w:pPr>
          <w:hyperlink w:anchor="_Toc194994742" w:history="1">
            <w:r w:rsidRPr="003F7071">
              <w:rPr>
                <w:rStyle w:val="Hyperlink"/>
                <w:rFonts w:eastAsia="Arial Narrow"/>
                <w:noProof/>
              </w:rPr>
              <w:t>1.4</w:t>
            </w:r>
            <w:r>
              <w:rPr>
                <w:rFonts w:asciiTheme="minorHAnsi" w:eastAsiaTheme="minorEastAsia" w:hAnsiTheme="minorHAnsi"/>
                <w:noProof/>
                <w:kern w:val="2"/>
                <w:szCs w:val="24"/>
                <w14:ligatures w14:val="standardContextual"/>
              </w:rPr>
              <w:tab/>
            </w:r>
            <w:r w:rsidRPr="003F7071">
              <w:rPr>
                <w:rStyle w:val="Hyperlink"/>
                <w:rFonts w:eastAsia="Arial Narrow"/>
                <w:noProof/>
              </w:rPr>
              <w:t>Hybrid Measures</w:t>
            </w:r>
            <w:r>
              <w:rPr>
                <w:noProof/>
                <w:webHidden/>
              </w:rPr>
              <w:tab/>
            </w:r>
            <w:r>
              <w:rPr>
                <w:noProof/>
                <w:webHidden/>
              </w:rPr>
              <w:fldChar w:fldCharType="begin"/>
            </w:r>
            <w:r>
              <w:rPr>
                <w:noProof/>
                <w:webHidden/>
              </w:rPr>
              <w:instrText xml:space="preserve"> PAGEREF _Toc194994742 \h </w:instrText>
            </w:r>
            <w:r>
              <w:rPr>
                <w:noProof/>
                <w:webHidden/>
              </w:rPr>
            </w:r>
            <w:r>
              <w:rPr>
                <w:noProof/>
                <w:webHidden/>
              </w:rPr>
              <w:fldChar w:fldCharType="separate"/>
            </w:r>
            <w:r w:rsidR="00707DB8">
              <w:rPr>
                <w:noProof/>
                <w:webHidden/>
              </w:rPr>
              <w:t>11</w:t>
            </w:r>
            <w:r>
              <w:rPr>
                <w:noProof/>
                <w:webHidden/>
              </w:rPr>
              <w:fldChar w:fldCharType="end"/>
            </w:r>
          </w:hyperlink>
        </w:p>
        <w:p w14:paraId="43465737" w14:textId="0DBE83B8" w:rsidR="00E0532C" w:rsidRDefault="00E0532C">
          <w:pPr>
            <w:pStyle w:val="TOC2"/>
            <w:tabs>
              <w:tab w:val="left" w:pos="1296"/>
            </w:tabs>
            <w:rPr>
              <w:rFonts w:asciiTheme="minorHAnsi" w:eastAsiaTheme="minorEastAsia" w:hAnsiTheme="minorHAnsi"/>
              <w:noProof/>
              <w:kern w:val="2"/>
              <w:szCs w:val="24"/>
              <w14:ligatures w14:val="standardContextual"/>
            </w:rPr>
          </w:pPr>
          <w:hyperlink w:anchor="_Toc194994743" w:history="1">
            <w:r w:rsidRPr="003F7071">
              <w:rPr>
                <w:rStyle w:val="Hyperlink"/>
                <w:rFonts w:eastAsia="Arial Narrow"/>
                <w:noProof/>
              </w:rPr>
              <w:t>1.5</w:t>
            </w:r>
            <w:r>
              <w:rPr>
                <w:rFonts w:asciiTheme="minorHAnsi" w:eastAsiaTheme="minorEastAsia" w:hAnsiTheme="minorHAnsi"/>
                <w:noProof/>
                <w:kern w:val="2"/>
                <w:szCs w:val="24"/>
                <w14:ligatures w14:val="standardContextual"/>
              </w:rPr>
              <w:tab/>
            </w:r>
            <w:r w:rsidRPr="003F7071">
              <w:rPr>
                <w:rStyle w:val="Hyperlink"/>
                <w:rFonts w:eastAsia="Arial Narrow"/>
                <w:noProof/>
              </w:rPr>
              <w:t>Program Candidate eCQMs</w:t>
            </w:r>
            <w:r>
              <w:rPr>
                <w:noProof/>
                <w:webHidden/>
              </w:rPr>
              <w:tab/>
            </w:r>
            <w:r>
              <w:rPr>
                <w:noProof/>
                <w:webHidden/>
              </w:rPr>
              <w:fldChar w:fldCharType="begin"/>
            </w:r>
            <w:r>
              <w:rPr>
                <w:noProof/>
                <w:webHidden/>
              </w:rPr>
              <w:instrText xml:space="preserve"> PAGEREF _Toc194994743 \h </w:instrText>
            </w:r>
            <w:r>
              <w:rPr>
                <w:noProof/>
                <w:webHidden/>
              </w:rPr>
            </w:r>
            <w:r>
              <w:rPr>
                <w:noProof/>
                <w:webHidden/>
              </w:rPr>
              <w:fldChar w:fldCharType="separate"/>
            </w:r>
            <w:r w:rsidR="00707DB8">
              <w:rPr>
                <w:noProof/>
                <w:webHidden/>
              </w:rPr>
              <w:t>11</w:t>
            </w:r>
            <w:r>
              <w:rPr>
                <w:noProof/>
                <w:webHidden/>
              </w:rPr>
              <w:fldChar w:fldCharType="end"/>
            </w:r>
          </w:hyperlink>
        </w:p>
        <w:p w14:paraId="7C8CB66A" w14:textId="1FACD882" w:rsidR="00E0532C" w:rsidRDefault="00E0532C">
          <w:pPr>
            <w:pStyle w:val="TOC1"/>
            <w:rPr>
              <w:rFonts w:asciiTheme="minorHAnsi" w:eastAsiaTheme="minorEastAsia" w:hAnsiTheme="minorHAnsi"/>
              <w:b w:val="0"/>
              <w:noProof/>
              <w:kern w:val="2"/>
              <w:szCs w:val="24"/>
              <w14:ligatures w14:val="standardContextual"/>
            </w:rPr>
          </w:pPr>
          <w:hyperlink w:anchor="_Toc194994744" w:history="1">
            <w:r w:rsidRPr="003F7071">
              <w:rPr>
                <w:rStyle w:val="Hyperlink"/>
                <w:noProof/>
              </w:rPr>
              <w:t>2.</w:t>
            </w:r>
            <w:r>
              <w:rPr>
                <w:rFonts w:asciiTheme="minorHAnsi" w:eastAsiaTheme="minorEastAsia" w:hAnsiTheme="minorHAnsi"/>
                <w:b w:val="0"/>
                <w:noProof/>
                <w:kern w:val="2"/>
                <w:szCs w:val="24"/>
                <w14:ligatures w14:val="standardContextual"/>
              </w:rPr>
              <w:tab/>
            </w:r>
            <w:r w:rsidRPr="003F7071">
              <w:rPr>
                <w:rStyle w:val="Hyperlink"/>
                <w:noProof/>
              </w:rPr>
              <w:t>Clinical Quality Language Measure Logic</w:t>
            </w:r>
            <w:r>
              <w:rPr>
                <w:noProof/>
                <w:webHidden/>
              </w:rPr>
              <w:tab/>
            </w:r>
            <w:r>
              <w:rPr>
                <w:noProof/>
                <w:webHidden/>
              </w:rPr>
              <w:fldChar w:fldCharType="begin"/>
            </w:r>
            <w:r>
              <w:rPr>
                <w:noProof/>
                <w:webHidden/>
              </w:rPr>
              <w:instrText xml:space="preserve"> PAGEREF _Toc194994744 \h </w:instrText>
            </w:r>
            <w:r>
              <w:rPr>
                <w:noProof/>
                <w:webHidden/>
              </w:rPr>
            </w:r>
            <w:r>
              <w:rPr>
                <w:noProof/>
                <w:webHidden/>
              </w:rPr>
              <w:fldChar w:fldCharType="separate"/>
            </w:r>
            <w:r w:rsidR="00707DB8">
              <w:rPr>
                <w:noProof/>
                <w:webHidden/>
              </w:rPr>
              <w:t>12</w:t>
            </w:r>
            <w:r>
              <w:rPr>
                <w:noProof/>
                <w:webHidden/>
              </w:rPr>
              <w:fldChar w:fldCharType="end"/>
            </w:r>
          </w:hyperlink>
        </w:p>
        <w:p w14:paraId="3D3F04C2" w14:textId="62860EC5" w:rsidR="00E0532C" w:rsidRDefault="00E0532C">
          <w:pPr>
            <w:pStyle w:val="TOC2"/>
            <w:tabs>
              <w:tab w:val="left" w:pos="1296"/>
            </w:tabs>
            <w:rPr>
              <w:rFonts w:asciiTheme="minorHAnsi" w:eastAsiaTheme="minorEastAsia" w:hAnsiTheme="minorHAnsi"/>
              <w:noProof/>
              <w:kern w:val="2"/>
              <w:szCs w:val="24"/>
              <w14:ligatures w14:val="standardContextual"/>
            </w:rPr>
          </w:pPr>
          <w:hyperlink w:anchor="_Toc194994745" w:history="1">
            <w:r w:rsidRPr="003F7071">
              <w:rPr>
                <w:rStyle w:val="Hyperlink"/>
                <w:rFonts w:eastAsia="Arial Narrow" w:cs="Arial Narrow"/>
                <w:noProof/>
              </w:rPr>
              <w:t>2.1</w:t>
            </w:r>
            <w:r>
              <w:rPr>
                <w:rFonts w:asciiTheme="minorHAnsi" w:eastAsiaTheme="minorEastAsia" w:hAnsiTheme="minorHAnsi"/>
                <w:noProof/>
                <w:kern w:val="2"/>
                <w:szCs w:val="24"/>
                <w14:ligatures w14:val="standardContextual"/>
              </w:rPr>
              <w:tab/>
            </w:r>
            <w:r w:rsidRPr="003F7071">
              <w:rPr>
                <w:rStyle w:val="Hyperlink"/>
                <w:rFonts w:eastAsia="Arial Narrow" w:cs="Arial Narrow"/>
                <w:noProof/>
              </w:rPr>
              <w:t>Using</w:t>
            </w:r>
            <w:r w:rsidRPr="003F7071">
              <w:rPr>
                <w:rStyle w:val="Hyperlink"/>
                <w:rFonts w:eastAsia="Arial Narrow"/>
                <w:noProof/>
              </w:rPr>
              <w:t xml:space="preserve"> CQL Logic </w:t>
            </w:r>
            <w:r w:rsidRPr="003F7071">
              <w:rPr>
                <w:rStyle w:val="Hyperlink"/>
                <w:rFonts w:eastAsia="Arial Narrow" w:cs="Arial Narrow"/>
                <w:noProof/>
              </w:rPr>
              <w:t>to Evaluate</w:t>
            </w:r>
            <w:r w:rsidRPr="003F7071">
              <w:rPr>
                <w:rStyle w:val="Hyperlink"/>
                <w:rFonts w:eastAsia="Arial Narrow"/>
                <w:noProof/>
              </w:rPr>
              <w:t xml:space="preserve"> QDM Elements</w:t>
            </w:r>
            <w:r>
              <w:rPr>
                <w:noProof/>
                <w:webHidden/>
              </w:rPr>
              <w:tab/>
            </w:r>
            <w:r>
              <w:rPr>
                <w:noProof/>
                <w:webHidden/>
              </w:rPr>
              <w:fldChar w:fldCharType="begin"/>
            </w:r>
            <w:r>
              <w:rPr>
                <w:noProof/>
                <w:webHidden/>
              </w:rPr>
              <w:instrText xml:space="preserve"> PAGEREF _Toc194994745 \h </w:instrText>
            </w:r>
            <w:r>
              <w:rPr>
                <w:noProof/>
                <w:webHidden/>
              </w:rPr>
            </w:r>
            <w:r>
              <w:rPr>
                <w:noProof/>
                <w:webHidden/>
              </w:rPr>
              <w:fldChar w:fldCharType="separate"/>
            </w:r>
            <w:r w:rsidR="00707DB8">
              <w:rPr>
                <w:noProof/>
                <w:webHidden/>
              </w:rPr>
              <w:t>12</w:t>
            </w:r>
            <w:r>
              <w:rPr>
                <w:noProof/>
                <w:webHidden/>
              </w:rPr>
              <w:fldChar w:fldCharType="end"/>
            </w:r>
          </w:hyperlink>
        </w:p>
        <w:p w14:paraId="35A650E2" w14:textId="0E258F6C" w:rsidR="00E0532C" w:rsidRDefault="00E0532C">
          <w:pPr>
            <w:pStyle w:val="TOC2"/>
            <w:tabs>
              <w:tab w:val="left" w:pos="1296"/>
            </w:tabs>
            <w:rPr>
              <w:rFonts w:asciiTheme="minorHAnsi" w:eastAsiaTheme="minorEastAsia" w:hAnsiTheme="minorHAnsi"/>
              <w:noProof/>
              <w:kern w:val="2"/>
              <w:szCs w:val="24"/>
              <w14:ligatures w14:val="standardContextual"/>
            </w:rPr>
          </w:pPr>
          <w:hyperlink w:anchor="_Toc194994746" w:history="1">
            <w:r w:rsidRPr="003F7071">
              <w:rPr>
                <w:rStyle w:val="Hyperlink"/>
                <w:rFonts w:eastAsia="Arial Narrow"/>
                <w:noProof/>
              </w:rPr>
              <w:t>2.2</w:t>
            </w:r>
            <w:r>
              <w:rPr>
                <w:rFonts w:asciiTheme="minorHAnsi" w:eastAsiaTheme="minorEastAsia" w:hAnsiTheme="minorHAnsi"/>
                <w:noProof/>
                <w:kern w:val="2"/>
                <w:szCs w:val="24"/>
                <w14:ligatures w14:val="standardContextual"/>
              </w:rPr>
              <w:tab/>
            </w:r>
            <w:r w:rsidRPr="003F7071">
              <w:rPr>
                <w:rStyle w:val="Hyperlink"/>
                <w:rFonts w:eastAsia="Arial Narrow"/>
                <w:noProof/>
              </w:rPr>
              <w:t>Understanding CQL Basics</w:t>
            </w:r>
            <w:r>
              <w:rPr>
                <w:noProof/>
                <w:webHidden/>
              </w:rPr>
              <w:tab/>
            </w:r>
            <w:r>
              <w:rPr>
                <w:noProof/>
                <w:webHidden/>
              </w:rPr>
              <w:fldChar w:fldCharType="begin"/>
            </w:r>
            <w:r>
              <w:rPr>
                <w:noProof/>
                <w:webHidden/>
              </w:rPr>
              <w:instrText xml:space="preserve"> PAGEREF _Toc194994746 \h </w:instrText>
            </w:r>
            <w:r>
              <w:rPr>
                <w:noProof/>
                <w:webHidden/>
              </w:rPr>
            </w:r>
            <w:r>
              <w:rPr>
                <w:noProof/>
                <w:webHidden/>
              </w:rPr>
              <w:fldChar w:fldCharType="separate"/>
            </w:r>
            <w:r w:rsidR="00707DB8">
              <w:rPr>
                <w:noProof/>
                <w:webHidden/>
              </w:rPr>
              <w:t>13</w:t>
            </w:r>
            <w:r>
              <w:rPr>
                <w:noProof/>
                <w:webHidden/>
              </w:rPr>
              <w:fldChar w:fldCharType="end"/>
            </w:r>
          </w:hyperlink>
        </w:p>
        <w:p w14:paraId="4879AFBD" w14:textId="48CBF00D" w:rsidR="00E0532C" w:rsidRDefault="00E0532C">
          <w:pPr>
            <w:pStyle w:val="TOC2"/>
            <w:tabs>
              <w:tab w:val="left" w:pos="1296"/>
            </w:tabs>
            <w:rPr>
              <w:rFonts w:asciiTheme="minorHAnsi" w:eastAsiaTheme="minorEastAsia" w:hAnsiTheme="minorHAnsi"/>
              <w:noProof/>
              <w:kern w:val="2"/>
              <w:szCs w:val="24"/>
              <w14:ligatures w14:val="standardContextual"/>
            </w:rPr>
          </w:pPr>
          <w:hyperlink w:anchor="_Toc194994747" w:history="1">
            <w:r w:rsidRPr="003F7071">
              <w:rPr>
                <w:rStyle w:val="Hyperlink"/>
                <w:rFonts w:eastAsia="Arial Narrow"/>
                <w:noProof/>
              </w:rPr>
              <w:t>2.3</w:t>
            </w:r>
            <w:r>
              <w:rPr>
                <w:rFonts w:asciiTheme="minorHAnsi" w:eastAsiaTheme="minorEastAsia" w:hAnsiTheme="minorHAnsi"/>
                <w:noProof/>
                <w:kern w:val="2"/>
                <w:szCs w:val="24"/>
                <w14:ligatures w14:val="standardContextual"/>
              </w:rPr>
              <w:tab/>
            </w:r>
            <w:r w:rsidRPr="003F7071">
              <w:rPr>
                <w:rStyle w:val="Hyperlink"/>
                <w:rFonts w:eastAsia="Arial Narrow"/>
                <w:noProof/>
              </w:rPr>
              <w:t>Libraries</w:t>
            </w:r>
            <w:r>
              <w:rPr>
                <w:noProof/>
                <w:webHidden/>
              </w:rPr>
              <w:tab/>
            </w:r>
            <w:r>
              <w:rPr>
                <w:noProof/>
                <w:webHidden/>
              </w:rPr>
              <w:fldChar w:fldCharType="begin"/>
            </w:r>
            <w:r>
              <w:rPr>
                <w:noProof/>
                <w:webHidden/>
              </w:rPr>
              <w:instrText xml:space="preserve"> PAGEREF _Toc194994747 \h </w:instrText>
            </w:r>
            <w:r>
              <w:rPr>
                <w:noProof/>
                <w:webHidden/>
              </w:rPr>
            </w:r>
            <w:r>
              <w:rPr>
                <w:noProof/>
                <w:webHidden/>
              </w:rPr>
              <w:fldChar w:fldCharType="separate"/>
            </w:r>
            <w:r w:rsidR="00707DB8">
              <w:rPr>
                <w:noProof/>
                <w:webHidden/>
              </w:rPr>
              <w:t>14</w:t>
            </w:r>
            <w:r>
              <w:rPr>
                <w:noProof/>
                <w:webHidden/>
              </w:rPr>
              <w:fldChar w:fldCharType="end"/>
            </w:r>
          </w:hyperlink>
        </w:p>
        <w:p w14:paraId="7F57C3FE" w14:textId="6AF74806" w:rsidR="00E0532C" w:rsidRDefault="00E0532C">
          <w:pPr>
            <w:pStyle w:val="TOC2"/>
            <w:tabs>
              <w:tab w:val="left" w:pos="1296"/>
            </w:tabs>
            <w:rPr>
              <w:rFonts w:asciiTheme="minorHAnsi" w:eastAsiaTheme="minorEastAsia" w:hAnsiTheme="minorHAnsi"/>
              <w:noProof/>
              <w:kern w:val="2"/>
              <w:szCs w:val="24"/>
              <w14:ligatures w14:val="standardContextual"/>
            </w:rPr>
          </w:pPr>
          <w:hyperlink w:anchor="_Toc194994748" w:history="1">
            <w:r w:rsidRPr="003F7071">
              <w:rPr>
                <w:rStyle w:val="Hyperlink"/>
                <w:rFonts w:eastAsia="Arial Narrow"/>
                <w:noProof/>
              </w:rPr>
              <w:t>2.4</w:t>
            </w:r>
            <w:r>
              <w:rPr>
                <w:rFonts w:asciiTheme="minorHAnsi" w:eastAsiaTheme="minorEastAsia" w:hAnsiTheme="minorHAnsi"/>
                <w:noProof/>
                <w:kern w:val="2"/>
                <w:szCs w:val="24"/>
                <w14:ligatures w14:val="standardContextual"/>
              </w:rPr>
              <w:tab/>
            </w:r>
            <w:r w:rsidRPr="003F7071">
              <w:rPr>
                <w:rStyle w:val="Hyperlink"/>
                <w:rFonts w:eastAsia="Arial Narrow"/>
                <w:noProof/>
              </w:rPr>
              <w:t>Queries</w:t>
            </w:r>
            <w:r>
              <w:rPr>
                <w:noProof/>
                <w:webHidden/>
              </w:rPr>
              <w:tab/>
            </w:r>
            <w:r>
              <w:rPr>
                <w:noProof/>
                <w:webHidden/>
              </w:rPr>
              <w:fldChar w:fldCharType="begin"/>
            </w:r>
            <w:r>
              <w:rPr>
                <w:noProof/>
                <w:webHidden/>
              </w:rPr>
              <w:instrText xml:space="preserve"> PAGEREF _Toc194994748 \h </w:instrText>
            </w:r>
            <w:r>
              <w:rPr>
                <w:noProof/>
                <w:webHidden/>
              </w:rPr>
            </w:r>
            <w:r>
              <w:rPr>
                <w:noProof/>
                <w:webHidden/>
              </w:rPr>
              <w:fldChar w:fldCharType="separate"/>
            </w:r>
            <w:r w:rsidR="00707DB8">
              <w:rPr>
                <w:noProof/>
                <w:webHidden/>
              </w:rPr>
              <w:t>15</w:t>
            </w:r>
            <w:r>
              <w:rPr>
                <w:noProof/>
                <w:webHidden/>
              </w:rPr>
              <w:fldChar w:fldCharType="end"/>
            </w:r>
          </w:hyperlink>
        </w:p>
        <w:p w14:paraId="6506DB69" w14:textId="41FACA2D" w:rsidR="00E0532C" w:rsidRDefault="00E0532C">
          <w:pPr>
            <w:pStyle w:val="TOC3"/>
            <w:tabs>
              <w:tab w:val="left" w:pos="1728"/>
            </w:tabs>
            <w:rPr>
              <w:rFonts w:asciiTheme="minorHAnsi" w:eastAsiaTheme="minorEastAsia" w:hAnsiTheme="minorHAnsi"/>
              <w:noProof/>
              <w:kern w:val="2"/>
              <w:szCs w:val="24"/>
              <w14:ligatures w14:val="standardContextual"/>
            </w:rPr>
          </w:pPr>
          <w:hyperlink w:anchor="_Toc194994749" w:history="1">
            <w:r w:rsidRPr="003F7071">
              <w:rPr>
                <w:rStyle w:val="Hyperlink"/>
                <w:noProof/>
              </w:rPr>
              <w:t>2.4.1</w:t>
            </w:r>
            <w:r>
              <w:rPr>
                <w:rFonts w:asciiTheme="minorHAnsi" w:eastAsiaTheme="minorEastAsia" w:hAnsiTheme="minorHAnsi"/>
                <w:noProof/>
                <w:kern w:val="2"/>
                <w:szCs w:val="24"/>
                <w14:ligatures w14:val="standardContextual"/>
              </w:rPr>
              <w:tab/>
            </w:r>
            <w:r w:rsidRPr="003F7071">
              <w:rPr>
                <w:rStyle w:val="Hyperlink"/>
                <w:noProof/>
              </w:rPr>
              <w:t>Where Clause</w:t>
            </w:r>
            <w:r>
              <w:rPr>
                <w:noProof/>
                <w:webHidden/>
              </w:rPr>
              <w:tab/>
            </w:r>
            <w:r>
              <w:rPr>
                <w:noProof/>
                <w:webHidden/>
              </w:rPr>
              <w:fldChar w:fldCharType="begin"/>
            </w:r>
            <w:r>
              <w:rPr>
                <w:noProof/>
                <w:webHidden/>
              </w:rPr>
              <w:instrText xml:space="preserve"> PAGEREF _Toc194994749 \h </w:instrText>
            </w:r>
            <w:r>
              <w:rPr>
                <w:noProof/>
                <w:webHidden/>
              </w:rPr>
            </w:r>
            <w:r>
              <w:rPr>
                <w:noProof/>
                <w:webHidden/>
              </w:rPr>
              <w:fldChar w:fldCharType="separate"/>
            </w:r>
            <w:r w:rsidR="00707DB8">
              <w:rPr>
                <w:noProof/>
                <w:webHidden/>
              </w:rPr>
              <w:t>15</w:t>
            </w:r>
            <w:r>
              <w:rPr>
                <w:noProof/>
                <w:webHidden/>
              </w:rPr>
              <w:fldChar w:fldCharType="end"/>
            </w:r>
          </w:hyperlink>
        </w:p>
        <w:p w14:paraId="531C39F6" w14:textId="046279E6" w:rsidR="00E0532C" w:rsidRDefault="00E0532C">
          <w:pPr>
            <w:pStyle w:val="TOC3"/>
            <w:tabs>
              <w:tab w:val="left" w:pos="1728"/>
            </w:tabs>
            <w:rPr>
              <w:rFonts w:asciiTheme="minorHAnsi" w:eastAsiaTheme="minorEastAsia" w:hAnsiTheme="minorHAnsi"/>
              <w:noProof/>
              <w:kern w:val="2"/>
              <w:szCs w:val="24"/>
              <w14:ligatures w14:val="standardContextual"/>
            </w:rPr>
          </w:pPr>
          <w:hyperlink w:anchor="_Toc194994750" w:history="1">
            <w:r w:rsidRPr="003F7071">
              <w:rPr>
                <w:rStyle w:val="Hyperlink"/>
                <w:noProof/>
              </w:rPr>
              <w:t>2.4.2</w:t>
            </w:r>
            <w:r>
              <w:rPr>
                <w:rFonts w:asciiTheme="minorHAnsi" w:eastAsiaTheme="minorEastAsia" w:hAnsiTheme="minorHAnsi"/>
                <w:noProof/>
                <w:kern w:val="2"/>
                <w:szCs w:val="24"/>
                <w14:ligatures w14:val="standardContextual"/>
              </w:rPr>
              <w:tab/>
            </w:r>
            <w:r w:rsidRPr="003F7071">
              <w:rPr>
                <w:rStyle w:val="Hyperlink"/>
                <w:noProof/>
              </w:rPr>
              <w:t xml:space="preserve">Relationships </w:t>
            </w:r>
            <w:r w:rsidRPr="003F7071">
              <w:rPr>
                <w:rStyle w:val="Hyperlink"/>
                <w:rFonts w:cs="Arial Narrow"/>
                <w:noProof/>
              </w:rPr>
              <w:t xml:space="preserve">– </w:t>
            </w:r>
            <w:r w:rsidRPr="003F7071">
              <w:rPr>
                <w:rStyle w:val="Hyperlink"/>
                <w:noProof/>
              </w:rPr>
              <w:t>With and Without Clauses</w:t>
            </w:r>
            <w:r>
              <w:rPr>
                <w:noProof/>
                <w:webHidden/>
              </w:rPr>
              <w:tab/>
            </w:r>
            <w:r>
              <w:rPr>
                <w:noProof/>
                <w:webHidden/>
              </w:rPr>
              <w:fldChar w:fldCharType="begin"/>
            </w:r>
            <w:r>
              <w:rPr>
                <w:noProof/>
                <w:webHidden/>
              </w:rPr>
              <w:instrText xml:space="preserve"> PAGEREF _Toc194994750 \h </w:instrText>
            </w:r>
            <w:r>
              <w:rPr>
                <w:noProof/>
                <w:webHidden/>
              </w:rPr>
            </w:r>
            <w:r>
              <w:rPr>
                <w:noProof/>
                <w:webHidden/>
              </w:rPr>
              <w:fldChar w:fldCharType="separate"/>
            </w:r>
            <w:r w:rsidR="00707DB8">
              <w:rPr>
                <w:noProof/>
                <w:webHidden/>
              </w:rPr>
              <w:t>16</w:t>
            </w:r>
            <w:r>
              <w:rPr>
                <w:noProof/>
                <w:webHidden/>
              </w:rPr>
              <w:fldChar w:fldCharType="end"/>
            </w:r>
          </w:hyperlink>
        </w:p>
        <w:p w14:paraId="7CE88501" w14:textId="67020709" w:rsidR="00E0532C" w:rsidRDefault="00E0532C">
          <w:pPr>
            <w:pStyle w:val="TOC2"/>
            <w:tabs>
              <w:tab w:val="left" w:pos="1296"/>
            </w:tabs>
            <w:rPr>
              <w:rFonts w:asciiTheme="minorHAnsi" w:eastAsiaTheme="minorEastAsia" w:hAnsiTheme="minorHAnsi"/>
              <w:noProof/>
              <w:kern w:val="2"/>
              <w:szCs w:val="24"/>
              <w14:ligatures w14:val="standardContextual"/>
            </w:rPr>
          </w:pPr>
          <w:hyperlink w:anchor="_Toc194994751" w:history="1">
            <w:r w:rsidRPr="003F7071">
              <w:rPr>
                <w:rStyle w:val="Hyperlink"/>
                <w:rFonts w:eastAsia="Arial Narrow"/>
                <w:noProof/>
              </w:rPr>
              <w:t>2.5</w:t>
            </w:r>
            <w:r>
              <w:rPr>
                <w:rFonts w:asciiTheme="minorHAnsi" w:eastAsiaTheme="minorEastAsia" w:hAnsiTheme="minorHAnsi"/>
                <w:noProof/>
                <w:kern w:val="2"/>
                <w:szCs w:val="24"/>
                <w14:ligatures w14:val="standardContextual"/>
              </w:rPr>
              <w:tab/>
            </w:r>
            <w:r w:rsidRPr="003F7071">
              <w:rPr>
                <w:rStyle w:val="Hyperlink"/>
                <w:rFonts w:eastAsia="Arial Narrow"/>
                <w:noProof/>
              </w:rPr>
              <w:t>Timing Calculations</w:t>
            </w:r>
            <w:r>
              <w:rPr>
                <w:noProof/>
                <w:webHidden/>
              </w:rPr>
              <w:tab/>
            </w:r>
            <w:r>
              <w:rPr>
                <w:noProof/>
                <w:webHidden/>
              </w:rPr>
              <w:fldChar w:fldCharType="begin"/>
            </w:r>
            <w:r>
              <w:rPr>
                <w:noProof/>
                <w:webHidden/>
              </w:rPr>
              <w:instrText xml:space="preserve"> PAGEREF _Toc194994751 \h </w:instrText>
            </w:r>
            <w:r>
              <w:rPr>
                <w:noProof/>
                <w:webHidden/>
              </w:rPr>
            </w:r>
            <w:r>
              <w:rPr>
                <w:noProof/>
                <w:webHidden/>
              </w:rPr>
              <w:fldChar w:fldCharType="separate"/>
            </w:r>
            <w:r w:rsidR="00707DB8">
              <w:rPr>
                <w:noProof/>
                <w:webHidden/>
              </w:rPr>
              <w:t>17</w:t>
            </w:r>
            <w:r>
              <w:rPr>
                <w:noProof/>
                <w:webHidden/>
              </w:rPr>
              <w:fldChar w:fldCharType="end"/>
            </w:r>
          </w:hyperlink>
        </w:p>
        <w:p w14:paraId="7F43741E" w14:textId="23B927E8" w:rsidR="00E0532C" w:rsidRDefault="00E0532C">
          <w:pPr>
            <w:pStyle w:val="TOC3"/>
            <w:tabs>
              <w:tab w:val="left" w:pos="1728"/>
            </w:tabs>
            <w:rPr>
              <w:rFonts w:asciiTheme="minorHAnsi" w:eastAsiaTheme="minorEastAsia" w:hAnsiTheme="minorHAnsi"/>
              <w:noProof/>
              <w:kern w:val="2"/>
              <w:szCs w:val="24"/>
              <w14:ligatures w14:val="standardContextual"/>
            </w:rPr>
          </w:pPr>
          <w:hyperlink w:anchor="_Toc194994752" w:history="1">
            <w:r w:rsidRPr="003F7071">
              <w:rPr>
                <w:rStyle w:val="Hyperlink"/>
                <w:noProof/>
              </w:rPr>
              <w:t>2.5.1</w:t>
            </w:r>
            <w:r>
              <w:rPr>
                <w:rFonts w:asciiTheme="minorHAnsi" w:eastAsiaTheme="minorEastAsia" w:hAnsiTheme="minorHAnsi"/>
                <w:noProof/>
                <w:kern w:val="2"/>
                <w:szCs w:val="24"/>
                <w14:ligatures w14:val="standardContextual"/>
              </w:rPr>
              <w:tab/>
            </w:r>
            <w:r w:rsidRPr="003F7071">
              <w:rPr>
                <w:rStyle w:val="Hyperlink"/>
                <w:noProof/>
              </w:rPr>
              <w:t>Duration</w:t>
            </w:r>
            <w:r>
              <w:rPr>
                <w:noProof/>
                <w:webHidden/>
              </w:rPr>
              <w:tab/>
            </w:r>
            <w:r>
              <w:rPr>
                <w:noProof/>
                <w:webHidden/>
              </w:rPr>
              <w:fldChar w:fldCharType="begin"/>
            </w:r>
            <w:r>
              <w:rPr>
                <w:noProof/>
                <w:webHidden/>
              </w:rPr>
              <w:instrText xml:space="preserve"> PAGEREF _Toc194994752 \h </w:instrText>
            </w:r>
            <w:r>
              <w:rPr>
                <w:noProof/>
                <w:webHidden/>
              </w:rPr>
            </w:r>
            <w:r>
              <w:rPr>
                <w:noProof/>
                <w:webHidden/>
              </w:rPr>
              <w:fldChar w:fldCharType="separate"/>
            </w:r>
            <w:r w:rsidR="00707DB8">
              <w:rPr>
                <w:noProof/>
                <w:webHidden/>
              </w:rPr>
              <w:t>17</w:t>
            </w:r>
            <w:r>
              <w:rPr>
                <w:noProof/>
                <w:webHidden/>
              </w:rPr>
              <w:fldChar w:fldCharType="end"/>
            </w:r>
          </w:hyperlink>
        </w:p>
        <w:p w14:paraId="59CA8D5F" w14:textId="60678530" w:rsidR="00E0532C" w:rsidRDefault="00E0532C">
          <w:pPr>
            <w:pStyle w:val="TOC3"/>
            <w:tabs>
              <w:tab w:val="left" w:pos="1728"/>
            </w:tabs>
            <w:rPr>
              <w:rFonts w:asciiTheme="minorHAnsi" w:eastAsiaTheme="minorEastAsia" w:hAnsiTheme="minorHAnsi"/>
              <w:noProof/>
              <w:kern w:val="2"/>
              <w:szCs w:val="24"/>
              <w14:ligatures w14:val="standardContextual"/>
            </w:rPr>
          </w:pPr>
          <w:hyperlink w:anchor="_Toc194994753" w:history="1">
            <w:r w:rsidRPr="003F7071">
              <w:rPr>
                <w:rStyle w:val="Hyperlink"/>
                <w:noProof/>
              </w:rPr>
              <w:t>2.5.2</w:t>
            </w:r>
            <w:r>
              <w:rPr>
                <w:rFonts w:asciiTheme="minorHAnsi" w:eastAsiaTheme="minorEastAsia" w:hAnsiTheme="minorHAnsi"/>
                <w:noProof/>
                <w:kern w:val="2"/>
                <w:szCs w:val="24"/>
                <w14:ligatures w14:val="standardContextual"/>
              </w:rPr>
              <w:tab/>
            </w:r>
            <w:r w:rsidRPr="003F7071">
              <w:rPr>
                <w:rStyle w:val="Hyperlink"/>
                <w:noProof/>
              </w:rPr>
              <w:t>Difference</w:t>
            </w:r>
            <w:r>
              <w:rPr>
                <w:noProof/>
                <w:webHidden/>
              </w:rPr>
              <w:tab/>
            </w:r>
            <w:r>
              <w:rPr>
                <w:noProof/>
                <w:webHidden/>
              </w:rPr>
              <w:fldChar w:fldCharType="begin"/>
            </w:r>
            <w:r>
              <w:rPr>
                <w:noProof/>
                <w:webHidden/>
              </w:rPr>
              <w:instrText xml:space="preserve"> PAGEREF _Toc194994753 \h </w:instrText>
            </w:r>
            <w:r>
              <w:rPr>
                <w:noProof/>
                <w:webHidden/>
              </w:rPr>
            </w:r>
            <w:r>
              <w:rPr>
                <w:noProof/>
                <w:webHidden/>
              </w:rPr>
              <w:fldChar w:fldCharType="separate"/>
            </w:r>
            <w:r w:rsidR="00707DB8">
              <w:rPr>
                <w:noProof/>
                <w:webHidden/>
              </w:rPr>
              <w:t>17</w:t>
            </w:r>
            <w:r>
              <w:rPr>
                <w:noProof/>
                <w:webHidden/>
              </w:rPr>
              <w:fldChar w:fldCharType="end"/>
            </w:r>
          </w:hyperlink>
        </w:p>
        <w:p w14:paraId="4A9E53B2" w14:textId="45F27086" w:rsidR="00E0532C" w:rsidRDefault="00E0532C">
          <w:pPr>
            <w:pStyle w:val="TOC3"/>
            <w:tabs>
              <w:tab w:val="left" w:pos="1728"/>
            </w:tabs>
            <w:rPr>
              <w:rFonts w:asciiTheme="minorHAnsi" w:eastAsiaTheme="minorEastAsia" w:hAnsiTheme="minorHAnsi"/>
              <w:noProof/>
              <w:kern w:val="2"/>
              <w:szCs w:val="24"/>
              <w14:ligatures w14:val="standardContextual"/>
            </w:rPr>
          </w:pPr>
          <w:hyperlink w:anchor="_Toc194994754" w:history="1">
            <w:r w:rsidRPr="003F7071">
              <w:rPr>
                <w:rStyle w:val="Hyperlink"/>
                <w:noProof/>
              </w:rPr>
              <w:t>2.5.3</w:t>
            </w:r>
            <w:r>
              <w:rPr>
                <w:rFonts w:asciiTheme="minorHAnsi" w:eastAsiaTheme="minorEastAsia" w:hAnsiTheme="minorHAnsi"/>
                <w:noProof/>
                <w:kern w:val="2"/>
                <w:szCs w:val="24"/>
                <w14:ligatures w14:val="standardContextual"/>
              </w:rPr>
              <w:tab/>
            </w:r>
            <w:r w:rsidRPr="003F7071">
              <w:rPr>
                <w:rStyle w:val="Hyperlink"/>
                <w:noProof/>
              </w:rPr>
              <w:t>Intervals</w:t>
            </w:r>
            <w:r>
              <w:rPr>
                <w:noProof/>
                <w:webHidden/>
              </w:rPr>
              <w:tab/>
            </w:r>
            <w:r>
              <w:rPr>
                <w:noProof/>
                <w:webHidden/>
              </w:rPr>
              <w:fldChar w:fldCharType="begin"/>
            </w:r>
            <w:r>
              <w:rPr>
                <w:noProof/>
                <w:webHidden/>
              </w:rPr>
              <w:instrText xml:space="preserve"> PAGEREF _Toc194994754 \h </w:instrText>
            </w:r>
            <w:r>
              <w:rPr>
                <w:noProof/>
                <w:webHidden/>
              </w:rPr>
            </w:r>
            <w:r>
              <w:rPr>
                <w:noProof/>
                <w:webHidden/>
              </w:rPr>
              <w:fldChar w:fldCharType="separate"/>
            </w:r>
            <w:r w:rsidR="00707DB8">
              <w:rPr>
                <w:noProof/>
                <w:webHidden/>
              </w:rPr>
              <w:t>18</w:t>
            </w:r>
            <w:r>
              <w:rPr>
                <w:noProof/>
                <w:webHidden/>
              </w:rPr>
              <w:fldChar w:fldCharType="end"/>
            </w:r>
          </w:hyperlink>
        </w:p>
        <w:p w14:paraId="36FDB9DE" w14:textId="50FC6B6B" w:rsidR="00E0532C" w:rsidRDefault="00E0532C">
          <w:pPr>
            <w:pStyle w:val="TOC1"/>
            <w:rPr>
              <w:rFonts w:asciiTheme="minorHAnsi" w:eastAsiaTheme="minorEastAsia" w:hAnsiTheme="minorHAnsi"/>
              <w:b w:val="0"/>
              <w:noProof/>
              <w:kern w:val="2"/>
              <w:szCs w:val="24"/>
              <w14:ligatures w14:val="standardContextual"/>
            </w:rPr>
          </w:pPr>
          <w:hyperlink w:anchor="_Toc194994755" w:history="1">
            <w:r w:rsidRPr="003F7071">
              <w:rPr>
                <w:rStyle w:val="Hyperlink"/>
                <w:noProof/>
              </w:rPr>
              <w:t>3.</w:t>
            </w:r>
            <w:r>
              <w:rPr>
                <w:rFonts w:asciiTheme="minorHAnsi" w:eastAsiaTheme="minorEastAsia" w:hAnsiTheme="minorHAnsi"/>
                <w:b w:val="0"/>
                <w:noProof/>
                <w:kern w:val="2"/>
                <w:szCs w:val="24"/>
                <w14:ligatures w14:val="standardContextual"/>
              </w:rPr>
              <w:tab/>
            </w:r>
            <w:r w:rsidRPr="003F7071">
              <w:rPr>
                <w:rStyle w:val="Hyperlink"/>
                <w:noProof/>
              </w:rPr>
              <w:t>Data Elements and Value Sets</w:t>
            </w:r>
            <w:r>
              <w:rPr>
                <w:noProof/>
                <w:webHidden/>
              </w:rPr>
              <w:tab/>
            </w:r>
            <w:r>
              <w:rPr>
                <w:noProof/>
                <w:webHidden/>
              </w:rPr>
              <w:fldChar w:fldCharType="begin"/>
            </w:r>
            <w:r>
              <w:rPr>
                <w:noProof/>
                <w:webHidden/>
              </w:rPr>
              <w:instrText xml:space="preserve"> PAGEREF _Toc194994755 \h </w:instrText>
            </w:r>
            <w:r>
              <w:rPr>
                <w:noProof/>
                <w:webHidden/>
              </w:rPr>
            </w:r>
            <w:r>
              <w:rPr>
                <w:noProof/>
                <w:webHidden/>
              </w:rPr>
              <w:fldChar w:fldCharType="separate"/>
            </w:r>
            <w:r w:rsidR="00707DB8">
              <w:rPr>
                <w:noProof/>
                <w:webHidden/>
              </w:rPr>
              <w:t>19</w:t>
            </w:r>
            <w:r>
              <w:rPr>
                <w:noProof/>
                <w:webHidden/>
              </w:rPr>
              <w:fldChar w:fldCharType="end"/>
            </w:r>
          </w:hyperlink>
        </w:p>
        <w:p w14:paraId="3ED04A32" w14:textId="07411F26" w:rsidR="00E0532C" w:rsidRDefault="00E0532C">
          <w:pPr>
            <w:pStyle w:val="TOC2"/>
            <w:tabs>
              <w:tab w:val="left" w:pos="1296"/>
            </w:tabs>
            <w:rPr>
              <w:rFonts w:asciiTheme="minorHAnsi" w:eastAsiaTheme="minorEastAsia" w:hAnsiTheme="minorHAnsi"/>
              <w:noProof/>
              <w:kern w:val="2"/>
              <w:szCs w:val="24"/>
              <w14:ligatures w14:val="standardContextual"/>
            </w:rPr>
          </w:pPr>
          <w:hyperlink w:anchor="_Toc194994756" w:history="1">
            <w:r w:rsidRPr="003F7071">
              <w:rPr>
                <w:rStyle w:val="Hyperlink"/>
                <w:rFonts w:eastAsia="Arial Narrow"/>
                <w:noProof/>
              </w:rPr>
              <w:t>3.1</w:t>
            </w:r>
            <w:r>
              <w:rPr>
                <w:rFonts w:asciiTheme="minorHAnsi" w:eastAsiaTheme="minorEastAsia" w:hAnsiTheme="minorHAnsi"/>
                <w:noProof/>
                <w:kern w:val="2"/>
                <w:szCs w:val="24"/>
                <w14:ligatures w14:val="standardContextual"/>
              </w:rPr>
              <w:tab/>
            </w:r>
            <w:r w:rsidRPr="003F7071">
              <w:rPr>
                <w:rStyle w:val="Hyperlink"/>
                <w:rFonts w:eastAsia="Arial Narrow"/>
                <w:noProof/>
              </w:rPr>
              <w:t>eCQM Data Element Repository</w:t>
            </w:r>
            <w:r>
              <w:rPr>
                <w:noProof/>
                <w:webHidden/>
              </w:rPr>
              <w:tab/>
            </w:r>
            <w:r>
              <w:rPr>
                <w:noProof/>
                <w:webHidden/>
              </w:rPr>
              <w:fldChar w:fldCharType="begin"/>
            </w:r>
            <w:r>
              <w:rPr>
                <w:noProof/>
                <w:webHidden/>
              </w:rPr>
              <w:instrText xml:space="preserve"> PAGEREF _Toc194994756 \h </w:instrText>
            </w:r>
            <w:r>
              <w:rPr>
                <w:noProof/>
                <w:webHidden/>
              </w:rPr>
            </w:r>
            <w:r>
              <w:rPr>
                <w:noProof/>
                <w:webHidden/>
              </w:rPr>
              <w:fldChar w:fldCharType="separate"/>
            </w:r>
            <w:r w:rsidR="00707DB8">
              <w:rPr>
                <w:noProof/>
                <w:webHidden/>
              </w:rPr>
              <w:t>19</w:t>
            </w:r>
            <w:r>
              <w:rPr>
                <w:noProof/>
                <w:webHidden/>
              </w:rPr>
              <w:fldChar w:fldCharType="end"/>
            </w:r>
          </w:hyperlink>
        </w:p>
        <w:p w14:paraId="57BB441E" w14:textId="14669135" w:rsidR="00E0532C" w:rsidRDefault="00E0532C">
          <w:pPr>
            <w:pStyle w:val="TOC2"/>
            <w:tabs>
              <w:tab w:val="left" w:pos="1296"/>
            </w:tabs>
            <w:rPr>
              <w:rFonts w:asciiTheme="minorHAnsi" w:eastAsiaTheme="minorEastAsia" w:hAnsiTheme="minorHAnsi"/>
              <w:noProof/>
              <w:kern w:val="2"/>
              <w:szCs w:val="24"/>
              <w14:ligatures w14:val="standardContextual"/>
            </w:rPr>
          </w:pPr>
          <w:hyperlink w:anchor="_Toc194994757" w:history="1">
            <w:r w:rsidRPr="003F7071">
              <w:rPr>
                <w:rStyle w:val="Hyperlink"/>
                <w:rFonts w:eastAsia="Arial Narrow"/>
                <w:noProof/>
              </w:rPr>
              <w:t>3.2</w:t>
            </w:r>
            <w:r>
              <w:rPr>
                <w:rFonts w:asciiTheme="minorHAnsi" w:eastAsiaTheme="minorEastAsia" w:hAnsiTheme="minorHAnsi"/>
                <w:noProof/>
                <w:kern w:val="2"/>
                <w:szCs w:val="24"/>
                <w14:ligatures w14:val="standardContextual"/>
              </w:rPr>
              <w:tab/>
            </w:r>
            <w:r w:rsidRPr="003F7071">
              <w:rPr>
                <w:rStyle w:val="Hyperlink"/>
                <w:rFonts w:eastAsia="Arial Narrow"/>
                <w:noProof/>
              </w:rPr>
              <w:t>Value Set Location and Tools</w:t>
            </w:r>
            <w:r>
              <w:rPr>
                <w:noProof/>
                <w:webHidden/>
              </w:rPr>
              <w:tab/>
            </w:r>
            <w:r>
              <w:rPr>
                <w:noProof/>
                <w:webHidden/>
              </w:rPr>
              <w:fldChar w:fldCharType="begin"/>
            </w:r>
            <w:r>
              <w:rPr>
                <w:noProof/>
                <w:webHidden/>
              </w:rPr>
              <w:instrText xml:space="preserve"> PAGEREF _Toc194994757 \h </w:instrText>
            </w:r>
            <w:r>
              <w:rPr>
                <w:noProof/>
                <w:webHidden/>
              </w:rPr>
            </w:r>
            <w:r>
              <w:rPr>
                <w:noProof/>
                <w:webHidden/>
              </w:rPr>
              <w:fldChar w:fldCharType="separate"/>
            </w:r>
            <w:r w:rsidR="00707DB8">
              <w:rPr>
                <w:noProof/>
                <w:webHidden/>
              </w:rPr>
              <w:t>19</w:t>
            </w:r>
            <w:r>
              <w:rPr>
                <w:noProof/>
                <w:webHidden/>
              </w:rPr>
              <w:fldChar w:fldCharType="end"/>
            </w:r>
          </w:hyperlink>
        </w:p>
        <w:p w14:paraId="46311893" w14:textId="7191E234" w:rsidR="00E0532C" w:rsidRDefault="00E0532C">
          <w:pPr>
            <w:pStyle w:val="TOC2"/>
            <w:tabs>
              <w:tab w:val="left" w:pos="1296"/>
            </w:tabs>
            <w:rPr>
              <w:rFonts w:asciiTheme="minorHAnsi" w:eastAsiaTheme="minorEastAsia" w:hAnsiTheme="minorHAnsi"/>
              <w:noProof/>
              <w:kern w:val="2"/>
              <w:szCs w:val="24"/>
              <w14:ligatures w14:val="standardContextual"/>
            </w:rPr>
          </w:pPr>
          <w:hyperlink w:anchor="_Toc194994758" w:history="1">
            <w:r w:rsidRPr="003F7071">
              <w:rPr>
                <w:rStyle w:val="Hyperlink"/>
                <w:rFonts w:eastAsia="Arial Narrow"/>
                <w:noProof/>
              </w:rPr>
              <w:t>3.3</w:t>
            </w:r>
            <w:r>
              <w:rPr>
                <w:rFonts w:asciiTheme="minorHAnsi" w:eastAsiaTheme="minorEastAsia" w:hAnsiTheme="minorHAnsi"/>
                <w:noProof/>
                <w:kern w:val="2"/>
                <w:szCs w:val="24"/>
                <w14:ligatures w14:val="standardContextual"/>
              </w:rPr>
              <w:tab/>
            </w:r>
            <w:r w:rsidRPr="003F7071">
              <w:rPr>
                <w:rStyle w:val="Hyperlink"/>
                <w:rFonts w:eastAsia="Arial Narrow"/>
                <w:noProof/>
              </w:rPr>
              <w:t>Direct Reference Codes</w:t>
            </w:r>
            <w:r>
              <w:rPr>
                <w:noProof/>
                <w:webHidden/>
              </w:rPr>
              <w:tab/>
            </w:r>
            <w:r>
              <w:rPr>
                <w:noProof/>
                <w:webHidden/>
              </w:rPr>
              <w:fldChar w:fldCharType="begin"/>
            </w:r>
            <w:r>
              <w:rPr>
                <w:noProof/>
                <w:webHidden/>
              </w:rPr>
              <w:instrText xml:space="preserve"> PAGEREF _Toc194994758 \h </w:instrText>
            </w:r>
            <w:r>
              <w:rPr>
                <w:noProof/>
                <w:webHidden/>
              </w:rPr>
            </w:r>
            <w:r>
              <w:rPr>
                <w:noProof/>
                <w:webHidden/>
              </w:rPr>
              <w:fldChar w:fldCharType="separate"/>
            </w:r>
            <w:r w:rsidR="00707DB8">
              <w:rPr>
                <w:noProof/>
                <w:webHidden/>
              </w:rPr>
              <w:t>20</w:t>
            </w:r>
            <w:r>
              <w:rPr>
                <w:noProof/>
                <w:webHidden/>
              </w:rPr>
              <w:fldChar w:fldCharType="end"/>
            </w:r>
          </w:hyperlink>
        </w:p>
        <w:p w14:paraId="6488ABE6" w14:textId="01C64244" w:rsidR="00E0532C" w:rsidRDefault="00E0532C">
          <w:pPr>
            <w:pStyle w:val="TOC2"/>
            <w:tabs>
              <w:tab w:val="left" w:pos="1296"/>
            </w:tabs>
            <w:rPr>
              <w:rFonts w:asciiTheme="minorHAnsi" w:eastAsiaTheme="minorEastAsia" w:hAnsiTheme="minorHAnsi"/>
              <w:noProof/>
              <w:kern w:val="2"/>
              <w:szCs w:val="24"/>
              <w14:ligatures w14:val="standardContextual"/>
            </w:rPr>
          </w:pPr>
          <w:hyperlink w:anchor="_Toc194994759" w:history="1">
            <w:r w:rsidRPr="003F7071">
              <w:rPr>
                <w:rStyle w:val="Hyperlink"/>
                <w:rFonts w:eastAsia="Arial Narrow"/>
                <w:noProof/>
              </w:rPr>
              <w:t>3.4</w:t>
            </w:r>
            <w:r>
              <w:rPr>
                <w:rFonts w:asciiTheme="minorHAnsi" w:eastAsiaTheme="minorEastAsia" w:hAnsiTheme="minorHAnsi"/>
                <w:noProof/>
                <w:kern w:val="2"/>
                <w:szCs w:val="24"/>
                <w14:ligatures w14:val="standardContextual"/>
              </w:rPr>
              <w:tab/>
            </w:r>
            <w:r w:rsidRPr="003F7071">
              <w:rPr>
                <w:rStyle w:val="Hyperlink"/>
                <w:rFonts w:eastAsia="Arial Narrow"/>
                <w:noProof/>
              </w:rPr>
              <w:t>QDM Category and Code System</w:t>
            </w:r>
            <w:r>
              <w:rPr>
                <w:noProof/>
                <w:webHidden/>
              </w:rPr>
              <w:tab/>
            </w:r>
            <w:r>
              <w:rPr>
                <w:noProof/>
                <w:webHidden/>
              </w:rPr>
              <w:fldChar w:fldCharType="begin"/>
            </w:r>
            <w:r>
              <w:rPr>
                <w:noProof/>
                <w:webHidden/>
              </w:rPr>
              <w:instrText xml:space="preserve"> PAGEREF _Toc194994759 \h </w:instrText>
            </w:r>
            <w:r>
              <w:rPr>
                <w:noProof/>
                <w:webHidden/>
              </w:rPr>
            </w:r>
            <w:r>
              <w:rPr>
                <w:noProof/>
                <w:webHidden/>
              </w:rPr>
              <w:fldChar w:fldCharType="separate"/>
            </w:r>
            <w:r w:rsidR="00707DB8">
              <w:rPr>
                <w:noProof/>
                <w:webHidden/>
              </w:rPr>
              <w:t>21</w:t>
            </w:r>
            <w:r>
              <w:rPr>
                <w:noProof/>
                <w:webHidden/>
              </w:rPr>
              <w:fldChar w:fldCharType="end"/>
            </w:r>
          </w:hyperlink>
        </w:p>
        <w:p w14:paraId="6A3770FE" w14:textId="5BE7E221" w:rsidR="00E0532C" w:rsidRDefault="00E0532C">
          <w:pPr>
            <w:pStyle w:val="TOC2"/>
            <w:tabs>
              <w:tab w:val="left" w:pos="1296"/>
            </w:tabs>
            <w:rPr>
              <w:rFonts w:asciiTheme="minorHAnsi" w:eastAsiaTheme="minorEastAsia" w:hAnsiTheme="minorHAnsi"/>
              <w:noProof/>
              <w:kern w:val="2"/>
              <w:szCs w:val="24"/>
              <w14:ligatures w14:val="standardContextual"/>
            </w:rPr>
          </w:pPr>
          <w:hyperlink w:anchor="_Toc194994760" w:history="1">
            <w:r w:rsidRPr="003F7071">
              <w:rPr>
                <w:rStyle w:val="Hyperlink"/>
                <w:rFonts w:eastAsia="Arial Narrow"/>
                <w:noProof/>
              </w:rPr>
              <w:t>3.5</w:t>
            </w:r>
            <w:r>
              <w:rPr>
                <w:rFonts w:asciiTheme="minorHAnsi" w:eastAsiaTheme="minorEastAsia" w:hAnsiTheme="minorHAnsi"/>
                <w:noProof/>
                <w:kern w:val="2"/>
                <w:szCs w:val="24"/>
                <w14:ligatures w14:val="standardContextual"/>
              </w:rPr>
              <w:tab/>
            </w:r>
            <w:r w:rsidRPr="003F7071">
              <w:rPr>
                <w:rStyle w:val="Hyperlink"/>
                <w:rFonts w:eastAsia="Arial Narrow"/>
                <w:noProof/>
              </w:rPr>
              <w:t>Drug Representations Used in Value Sets</w:t>
            </w:r>
            <w:r>
              <w:rPr>
                <w:noProof/>
                <w:webHidden/>
              </w:rPr>
              <w:tab/>
            </w:r>
            <w:r>
              <w:rPr>
                <w:noProof/>
                <w:webHidden/>
              </w:rPr>
              <w:fldChar w:fldCharType="begin"/>
            </w:r>
            <w:r>
              <w:rPr>
                <w:noProof/>
                <w:webHidden/>
              </w:rPr>
              <w:instrText xml:space="preserve"> PAGEREF _Toc194994760 \h </w:instrText>
            </w:r>
            <w:r>
              <w:rPr>
                <w:noProof/>
                <w:webHidden/>
              </w:rPr>
            </w:r>
            <w:r>
              <w:rPr>
                <w:noProof/>
                <w:webHidden/>
              </w:rPr>
              <w:fldChar w:fldCharType="separate"/>
            </w:r>
            <w:r w:rsidR="00707DB8">
              <w:rPr>
                <w:noProof/>
                <w:webHidden/>
              </w:rPr>
              <w:t>22</w:t>
            </w:r>
            <w:r>
              <w:rPr>
                <w:noProof/>
                <w:webHidden/>
              </w:rPr>
              <w:fldChar w:fldCharType="end"/>
            </w:r>
          </w:hyperlink>
        </w:p>
        <w:p w14:paraId="6BF6A354" w14:textId="122D93F6" w:rsidR="00E0532C" w:rsidRDefault="00E0532C">
          <w:pPr>
            <w:pStyle w:val="TOC2"/>
            <w:tabs>
              <w:tab w:val="left" w:pos="1296"/>
            </w:tabs>
            <w:rPr>
              <w:rFonts w:asciiTheme="minorHAnsi" w:eastAsiaTheme="minorEastAsia" w:hAnsiTheme="minorHAnsi"/>
              <w:noProof/>
              <w:kern w:val="2"/>
              <w:szCs w:val="24"/>
              <w14:ligatures w14:val="standardContextual"/>
            </w:rPr>
          </w:pPr>
          <w:hyperlink w:anchor="_Toc194994761" w:history="1">
            <w:r w:rsidRPr="003F7071">
              <w:rPr>
                <w:rStyle w:val="Hyperlink"/>
                <w:rFonts w:eastAsia="Arial Narrow"/>
                <w:noProof/>
              </w:rPr>
              <w:t>3.6</w:t>
            </w:r>
            <w:r>
              <w:rPr>
                <w:rFonts w:asciiTheme="minorHAnsi" w:eastAsiaTheme="minorEastAsia" w:hAnsiTheme="minorHAnsi"/>
                <w:noProof/>
                <w:kern w:val="2"/>
                <w:szCs w:val="24"/>
                <w14:ligatures w14:val="standardContextual"/>
              </w:rPr>
              <w:tab/>
            </w:r>
            <w:r w:rsidRPr="003F7071">
              <w:rPr>
                <w:rStyle w:val="Hyperlink"/>
                <w:rFonts w:eastAsia="Arial Narrow"/>
                <w:noProof/>
              </w:rPr>
              <w:t>Discharge Medications</w:t>
            </w:r>
            <w:r>
              <w:rPr>
                <w:noProof/>
                <w:webHidden/>
              </w:rPr>
              <w:tab/>
            </w:r>
            <w:r>
              <w:rPr>
                <w:noProof/>
                <w:webHidden/>
              </w:rPr>
              <w:fldChar w:fldCharType="begin"/>
            </w:r>
            <w:r>
              <w:rPr>
                <w:noProof/>
                <w:webHidden/>
              </w:rPr>
              <w:instrText xml:space="preserve"> PAGEREF _Toc194994761 \h </w:instrText>
            </w:r>
            <w:r>
              <w:rPr>
                <w:noProof/>
                <w:webHidden/>
              </w:rPr>
            </w:r>
            <w:r>
              <w:rPr>
                <w:noProof/>
                <w:webHidden/>
              </w:rPr>
              <w:fldChar w:fldCharType="separate"/>
            </w:r>
            <w:r w:rsidR="00707DB8">
              <w:rPr>
                <w:noProof/>
                <w:webHidden/>
              </w:rPr>
              <w:t>23</w:t>
            </w:r>
            <w:r>
              <w:rPr>
                <w:noProof/>
                <w:webHidden/>
              </w:rPr>
              <w:fldChar w:fldCharType="end"/>
            </w:r>
          </w:hyperlink>
        </w:p>
        <w:p w14:paraId="6FE4AC4C" w14:textId="6FFAA9D8" w:rsidR="00E0532C" w:rsidRDefault="00E0532C">
          <w:pPr>
            <w:pStyle w:val="TOC2"/>
            <w:tabs>
              <w:tab w:val="left" w:pos="1296"/>
            </w:tabs>
            <w:rPr>
              <w:rFonts w:asciiTheme="minorHAnsi" w:eastAsiaTheme="minorEastAsia" w:hAnsiTheme="minorHAnsi"/>
              <w:noProof/>
              <w:kern w:val="2"/>
              <w:szCs w:val="24"/>
              <w14:ligatures w14:val="standardContextual"/>
            </w:rPr>
          </w:pPr>
          <w:hyperlink w:anchor="_Toc194994762" w:history="1">
            <w:r w:rsidRPr="003F7071">
              <w:rPr>
                <w:rStyle w:val="Hyperlink"/>
                <w:rFonts w:eastAsia="Arial Narrow"/>
                <w:noProof/>
              </w:rPr>
              <w:t>3.7</w:t>
            </w:r>
            <w:r>
              <w:rPr>
                <w:rFonts w:asciiTheme="minorHAnsi" w:eastAsiaTheme="minorEastAsia" w:hAnsiTheme="minorHAnsi"/>
                <w:noProof/>
                <w:kern w:val="2"/>
                <w:szCs w:val="24"/>
                <w14:ligatures w14:val="standardContextual"/>
              </w:rPr>
              <w:tab/>
            </w:r>
            <w:r w:rsidRPr="003F7071">
              <w:rPr>
                <w:rStyle w:val="Hyperlink"/>
                <w:rFonts w:eastAsia="Arial Narrow"/>
                <w:noProof/>
              </w:rPr>
              <w:t>Allergies to Medications and Other Substances</w:t>
            </w:r>
            <w:r>
              <w:rPr>
                <w:noProof/>
                <w:webHidden/>
              </w:rPr>
              <w:tab/>
            </w:r>
            <w:r>
              <w:rPr>
                <w:noProof/>
                <w:webHidden/>
              </w:rPr>
              <w:fldChar w:fldCharType="begin"/>
            </w:r>
            <w:r>
              <w:rPr>
                <w:noProof/>
                <w:webHidden/>
              </w:rPr>
              <w:instrText xml:space="preserve"> PAGEREF _Toc194994762 \h </w:instrText>
            </w:r>
            <w:r>
              <w:rPr>
                <w:noProof/>
                <w:webHidden/>
              </w:rPr>
            </w:r>
            <w:r>
              <w:rPr>
                <w:noProof/>
                <w:webHidden/>
              </w:rPr>
              <w:fldChar w:fldCharType="separate"/>
            </w:r>
            <w:r w:rsidR="00707DB8">
              <w:rPr>
                <w:noProof/>
                <w:webHidden/>
              </w:rPr>
              <w:t>23</w:t>
            </w:r>
            <w:r>
              <w:rPr>
                <w:noProof/>
                <w:webHidden/>
              </w:rPr>
              <w:fldChar w:fldCharType="end"/>
            </w:r>
          </w:hyperlink>
        </w:p>
        <w:p w14:paraId="32B2D745" w14:textId="47AAF4EC" w:rsidR="00E0532C" w:rsidRDefault="00E0532C">
          <w:pPr>
            <w:pStyle w:val="TOC2"/>
            <w:tabs>
              <w:tab w:val="left" w:pos="1296"/>
            </w:tabs>
            <w:rPr>
              <w:rFonts w:asciiTheme="minorHAnsi" w:eastAsiaTheme="minorEastAsia" w:hAnsiTheme="minorHAnsi"/>
              <w:noProof/>
              <w:kern w:val="2"/>
              <w:szCs w:val="24"/>
              <w14:ligatures w14:val="standardContextual"/>
            </w:rPr>
          </w:pPr>
          <w:hyperlink w:anchor="_Toc194994763" w:history="1">
            <w:r w:rsidRPr="003F7071">
              <w:rPr>
                <w:rStyle w:val="Hyperlink"/>
                <w:rFonts w:eastAsia="Arial Narrow"/>
                <w:noProof/>
              </w:rPr>
              <w:t>3.8</w:t>
            </w:r>
            <w:r>
              <w:rPr>
                <w:rFonts w:asciiTheme="minorHAnsi" w:eastAsiaTheme="minorEastAsia" w:hAnsiTheme="minorHAnsi"/>
                <w:noProof/>
                <w:kern w:val="2"/>
                <w:szCs w:val="24"/>
                <w14:ligatures w14:val="standardContextual"/>
              </w:rPr>
              <w:tab/>
            </w:r>
            <w:r w:rsidRPr="003F7071">
              <w:rPr>
                <w:rStyle w:val="Hyperlink"/>
                <w:rFonts w:eastAsia="Arial Narrow"/>
                <w:noProof/>
              </w:rPr>
              <w:t>Principal Diagnosis in Inpatient Encounters</w:t>
            </w:r>
            <w:r>
              <w:rPr>
                <w:noProof/>
                <w:webHidden/>
              </w:rPr>
              <w:tab/>
            </w:r>
            <w:r>
              <w:rPr>
                <w:noProof/>
                <w:webHidden/>
              </w:rPr>
              <w:fldChar w:fldCharType="begin"/>
            </w:r>
            <w:r>
              <w:rPr>
                <w:noProof/>
                <w:webHidden/>
              </w:rPr>
              <w:instrText xml:space="preserve"> PAGEREF _Toc194994763 \h </w:instrText>
            </w:r>
            <w:r>
              <w:rPr>
                <w:noProof/>
                <w:webHidden/>
              </w:rPr>
            </w:r>
            <w:r>
              <w:rPr>
                <w:noProof/>
                <w:webHidden/>
              </w:rPr>
              <w:fldChar w:fldCharType="separate"/>
            </w:r>
            <w:r w:rsidR="00707DB8">
              <w:rPr>
                <w:noProof/>
                <w:webHidden/>
              </w:rPr>
              <w:t>24</w:t>
            </w:r>
            <w:r>
              <w:rPr>
                <w:noProof/>
                <w:webHidden/>
              </w:rPr>
              <w:fldChar w:fldCharType="end"/>
            </w:r>
          </w:hyperlink>
        </w:p>
        <w:p w14:paraId="11F94F0E" w14:textId="2A98EECD" w:rsidR="00E0532C" w:rsidRDefault="00E0532C">
          <w:pPr>
            <w:pStyle w:val="TOC2"/>
            <w:tabs>
              <w:tab w:val="left" w:pos="1296"/>
            </w:tabs>
            <w:rPr>
              <w:rFonts w:asciiTheme="minorHAnsi" w:eastAsiaTheme="minorEastAsia" w:hAnsiTheme="minorHAnsi"/>
              <w:noProof/>
              <w:kern w:val="2"/>
              <w:szCs w:val="24"/>
              <w14:ligatures w14:val="standardContextual"/>
            </w:rPr>
          </w:pPr>
          <w:hyperlink w:anchor="_Toc194994764" w:history="1">
            <w:r w:rsidRPr="003F7071">
              <w:rPr>
                <w:rStyle w:val="Hyperlink"/>
                <w:rFonts w:eastAsia="Arial Narrow"/>
                <w:noProof/>
              </w:rPr>
              <w:t>3.9</w:t>
            </w:r>
            <w:r>
              <w:rPr>
                <w:rFonts w:asciiTheme="minorHAnsi" w:eastAsiaTheme="minorEastAsia" w:hAnsiTheme="minorHAnsi"/>
                <w:noProof/>
                <w:kern w:val="2"/>
                <w:szCs w:val="24"/>
                <w14:ligatures w14:val="standardContextual"/>
              </w:rPr>
              <w:tab/>
            </w:r>
            <w:r w:rsidRPr="003F7071">
              <w:rPr>
                <w:rStyle w:val="Hyperlink"/>
                <w:rFonts w:eastAsia="Arial Narrow"/>
                <w:noProof/>
              </w:rPr>
              <w:t>Medical Reason, Patient Reason, System Reason</w:t>
            </w:r>
            <w:r>
              <w:rPr>
                <w:noProof/>
                <w:webHidden/>
              </w:rPr>
              <w:tab/>
            </w:r>
            <w:r>
              <w:rPr>
                <w:noProof/>
                <w:webHidden/>
              </w:rPr>
              <w:fldChar w:fldCharType="begin"/>
            </w:r>
            <w:r>
              <w:rPr>
                <w:noProof/>
                <w:webHidden/>
              </w:rPr>
              <w:instrText xml:space="preserve"> PAGEREF _Toc194994764 \h </w:instrText>
            </w:r>
            <w:r>
              <w:rPr>
                <w:noProof/>
                <w:webHidden/>
              </w:rPr>
            </w:r>
            <w:r>
              <w:rPr>
                <w:noProof/>
                <w:webHidden/>
              </w:rPr>
              <w:fldChar w:fldCharType="separate"/>
            </w:r>
            <w:r w:rsidR="00707DB8">
              <w:rPr>
                <w:noProof/>
                <w:webHidden/>
              </w:rPr>
              <w:t>25</w:t>
            </w:r>
            <w:r>
              <w:rPr>
                <w:noProof/>
                <w:webHidden/>
              </w:rPr>
              <w:fldChar w:fldCharType="end"/>
            </w:r>
          </w:hyperlink>
        </w:p>
        <w:p w14:paraId="245A8F86" w14:textId="5AEF12ED" w:rsidR="00E0532C" w:rsidRDefault="00E0532C">
          <w:pPr>
            <w:pStyle w:val="TOC2"/>
            <w:tabs>
              <w:tab w:val="left" w:pos="1296"/>
            </w:tabs>
            <w:rPr>
              <w:rFonts w:asciiTheme="minorHAnsi" w:eastAsiaTheme="minorEastAsia" w:hAnsiTheme="minorHAnsi"/>
              <w:noProof/>
              <w:kern w:val="2"/>
              <w:szCs w:val="24"/>
              <w14:ligatures w14:val="standardContextual"/>
            </w:rPr>
          </w:pPr>
          <w:hyperlink w:anchor="_Toc194994765" w:history="1">
            <w:r w:rsidRPr="003F7071">
              <w:rPr>
                <w:rStyle w:val="Hyperlink"/>
                <w:rFonts w:eastAsia="Arial Narrow"/>
                <w:noProof/>
              </w:rPr>
              <w:t>3.10</w:t>
            </w:r>
            <w:r>
              <w:rPr>
                <w:rFonts w:asciiTheme="minorHAnsi" w:eastAsiaTheme="minorEastAsia" w:hAnsiTheme="minorHAnsi"/>
                <w:noProof/>
                <w:kern w:val="2"/>
                <w:szCs w:val="24"/>
                <w14:ligatures w14:val="standardContextual"/>
              </w:rPr>
              <w:tab/>
            </w:r>
            <w:r w:rsidRPr="003F7071">
              <w:rPr>
                <w:rStyle w:val="Hyperlink"/>
                <w:rFonts w:eastAsia="Arial Narrow"/>
                <w:noProof/>
              </w:rPr>
              <w:t>Activities That Were “Not Done”</w:t>
            </w:r>
            <w:r>
              <w:rPr>
                <w:noProof/>
                <w:webHidden/>
              </w:rPr>
              <w:tab/>
            </w:r>
            <w:r>
              <w:rPr>
                <w:noProof/>
                <w:webHidden/>
              </w:rPr>
              <w:fldChar w:fldCharType="begin"/>
            </w:r>
            <w:r>
              <w:rPr>
                <w:noProof/>
                <w:webHidden/>
              </w:rPr>
              <w:instrText xml:space="preserve"> PAGEREF _Toc194994765 \h </w:instrText>
            </w:r>
            <w:r>
              <w:rPr>
                <w:noProof/>
                <w:webHidden/>
              </w:rPr>
            </w:r>
            <w:r>
              <w:rPr>
                <w:noProof/>
                <w:webHidden/>
              </w:rPr>
              <w:fldChar w:fldCharType="separate"/>
            </w:r>
            <w:r w:rsidR="00707DB8">
              <w:rPr>
                <w:noProof/>
                <w:webHidden/>
              </w:rPr>
              <w:t>26</w:t>
            </w:r>
            <w:r>
              <w:rPr>
                <w:noProof/>
                <w:webHidden/>
              </w:rPr>
              <w:fldChar w:fldCharType="end"/>
            </w:r>
          </w:hyperlink>
        </w:p>
        <w:p w14:paraId="4140CD70" w14:textId="7FE598F5" w:rsidR="00E0532C" w:rsidRDefault="00E0532C">
          <w:pPr>
            <w:pStyle w:val="TOC2"/>
            <w:tabs>
              <w:tab w:val="left" w:pos="1296"/>
            </w:tabs>
            <w:rPr>
              <w:rFonts w:asciiTheme="minorHAnsi" w:eastAsiaTheme="minorEastAsia" w:hAnsiTheme="minorHAnsi"/>
              <w:noProof/>
              <w:kern w:val="2"/>
              <w:szCs w:val="24"/>
              <w14:ligatures w14:val="standardContextual"/>
            </w:rPr>
          </w:pPr>
          <w:hyperlink w:anchor="_Toc194994766" w:history="1">
            <w:r w:rsidRPr="003F7071">
              <w:rPr>
                <w:rStyle w:val="Hyperlink"/>
                <w:rFonts w:eastAsia="Arial Narrow"/>
                <w:noProof/>
              </w:rPr>
              <w:t>3.11</w:t>
            </w:r>
            <w:r>
              <w:rPr>
                <w:rFonts w:asciiTheme="minorHAnsi" w:eastAsiaTheme="minorEastAsia" w:hAnsiTheme="minorHAnsi"/>
                <w:noProof/>
                <w:kern w:val="2"/>
                <w:szCs w:val="24"/>
                <w14:ligatures w14:val="standardContextual"/>
              </w:rPr>
              <w:tab/>
            </w:r>
            <w:r w:rsidRPr="003F7071">
              <w:rPr>
                <w:rStyle w:val="Hyperlink"/>
                <w:rFonts w:eastAsia="Arial Narrow"/>
                <w:noProof/>
              </w:rPr>
              <w:t>Entities</w:t>
            </w:r>
            <w:r>
              <w:rPr>
                <w:noProof/>
                <w:webHidden/>
              </w:rPr>
              <w:tab/>
            </w:r>
            <w:r>
              <w:rPr>
                <w:noProof/>
                <w:webHidden/>
              </w:rPr>
              <w:fldChar w:fldCharType="begin"/>
            </w:r>
            <w:r>
              <w:rPr>
                <w:noProof/>
                <w:webHidden/>
              </w:rPr>
              <w:instrText xml:space="preserve"> PAGEREF _Toc194994766 \h </w:instrText>
            </w:r>
            <w:r>
              <w:rPr>
                <w:noProof/>
                <w:webHidden/>
              </w:rPr>
            </w:r>
            <w:r>
              <w:rPr>
                <w:noProof/>
                <w:webHidden/>
              </w:rPr>
              <w:fldChar w:fldCharType="separate"/>
            </w:r>
            <w:r w:rsidR="00707DB8">
              <w:rPr>
                <w:noProof/>
                <w:webHidden/>
              </w:rPr>
              <w:t>29</w:t>
            </w:r>
            <w:r>
              <w:rPr>
                <w:noProof/>
                <w:webHidden/>
              </w:rPr>
              <w:fldChar w:fldCharType="end"/>
            </w:r>
          </w:hyperlink>
        </w:p>
        <w:p w14:paraId="6E161FA5" w14:textId="2FBF6D8A" w:rsidR="00E0532C" w:rsidRDefault="00E0532C">
          <w:pPr>
            <w:pStyle w:val="TOC2"/>
            <w:tabs>
              <w:tab w:val="left" w:pos="1296"/>
            </w:tabs>
            <w:rPr>
              <w:rFonts w:asciiTheme="minorHAnsi" w:eastAsiaTheme="minorEastAsia" w:hAnsiTheme="minorHAnsi"/>
              <w:noProof/>
              <w:kern w:val="2"/>
              <w:szCs w:val="24"/>
              <w14:ligatures w14:val="standardContextual"/>
            </w:rPr>
          </w:pPr>
          <w:hyperlink w:anchor="_Toc194994767" w:history="1">
            <w:r w:rsidRPr="003F7071">
              <w:rPr>
                <w:rStyle w:val="Hyperlink"/>
                <w:rFonts w:eastAsia="Arial Narrow"/>
                <w:noProof/>
              </w:rPr>
              <w:t>3.12</w:t>
            </w:r>
            <w:r>
              <w:rPr>
                <w:rFonts w:asciiTheme="minorHAnsi" w:eastAsiaTheme="minorEastAsia" w:hAnsiTheme="minorHAnsi"/>
                <w:noProof/>
                <w:kern w:val="2"/>
                <w:szCs w:val="24"/>
                <w14:ligatures w14:val="standardContextual"/>
              </w:rPr>
              <w:tab/>
            </w:r>
            <w:r w:rsidRPr="003F7071">
              <w:rPr>
                <w:rStyle w:val="Hyperlink"/>
                <w:rFonts w:eastAsia="Arial Narrow"/>
                <w:noProof/>
              </w:rPr>
              <w:t>Supplemental Value Sets</w:t>
            </w:r>
            <w:r>
              <w:rPr>
                <w:noProof/>
                <w:webHidden/>
              </w:rPr>
              <w:tab/>
            </w:r>
            <w:r>
              <w:rPr>
                <w:noProof/>
                <w:webHidden/>
              </w:rPr>
              <w:fldChar w:fldCharType="begin"/>
            </w:r>
            <w:r>
              <w:rPr>
                <w:noProof/>
                <w:webHidden/>
              </w:rPr>
              <w:instrText xml:space="preserve"> PAGEREF _Toc194994767 \h </w:instrText>
            </w:r>
            <w:r>
              <w:rPr>
                <w:noProof/>
                <w:webHidden/>
              </w:rPr>
            </w:r>
            <w:r>
              <w:rPr>
                <w:noProof/>
                <w:webHidden/>
              </w:rPr>
              <w:fldChar w:fldCharType="separate"/>
            </w:r>
            <w:r w:rsidR="00707DB8">
              <w:rPr>
                <w:noProof/>
                <w:webHidden/>
              </w:rPr>
              <w:t>29</w:t>
            </w:r>
            <w:r>
              <w:rPr>
                <w:noProof/>
                <w:webHidden/>
              </w:rPr>
              <w:fldChar w:fldCharType="end"/>
            </w:r>
          </w:hyperlink>
        </w:p>
        <w:p w14:paraId="61C8F49A" w14:textId="1294B4A0" w:rsidR="00E0532C" w:rsidRDefault="00E0532C">
          <w:pPr>
            <w:pStyle w:val="TOC3"/>
            <w:tabs>
              <w:tab w:val="left" w:pos="1728"/>
            </w:tabs>
            <w:rPr>
              <w:rFonts w:asciiTheme="minorHAnsi" w:eastAsiaTheme="minorEastAsia" w:hAnsiTheme="minorHAnsi"/>
              <w:noProof/>
              <w:kern w:val="2"/>
              <w:szCs w:val="24"/>
              <w14:ligatures w14:val="standardContextual"/>
            </w:rPr>
          </w:pPr>
          <w:hyperlink w:anchor="_Toc194994768" w:history="1">
            <w:r w:rsidRPr="003F7071">
              <w:rPr>
                <w:rStyle w:val="Hyperlink"/>
                <w:noProof/>
              </w:rPr>
              <w:t>3.12.1</w:t>
            </w:r>
            <w:r>
              <w:rPr>
                <w:rFonts w:asciiTheme="minorHAnsi" w:eastAsiaTheme="minorEastAsia" w:hAnsiTheme="minorHAnsi"/>
                <w:noProof/>
                <w:kern w:val="2"/>
                <w:szCs w:val="24"/>
                <w14:ligatures w14:val="standardContextual"/>
              </w:rPr>
              <w:tab/>
            </w:r>
            <w:r w:rsidRPr="003F7071">
              <w:rPr>
                <w:rStyle w:val="Hyperlink"/>
                <w:noProof/>
              </w:rPr>
              <w:t>Race and Ethnicity</w:t>
            </w:r>
            <w:r>
              <w:rPr>
                <w:noProof/>
                <w:webHidden/>
              </w:rPr>
              <w:tab/>
            </w:r>
            <w:r>
              <w:rPr>
                <w:noProof/>
                <w:webHidden/>
              </w:rPr>
              <w:fldChar w:fldCharType="begin"/>
            </w:r>
            <w:r>
              <w:rPr>
                <w:noProof/>
                <w:webHidden/>
              </w:rPr>
              <w:instrText xml:space="preserve"> PAGEREF _Toc194994768 \h </w:instrText>
            </w:r>
            <w:r>
              <w:rPr>
                <w:noProof/>
                <w:webHidden/>
              </w:rPr>
            </w:r>
            <w:r>
              <w:rPr>
                <w:noProof/>
                <w:webHidden/>
              </w:rPr>
              <w:fldChar w:fldCharType="separate"/>
            </w:r>
            <w:r w:rsidR="00707DB8">
              <w:rPr>
                <w:noProof/>
                <w:webHidden/>
              </w:rPr>
              <w:t>29</w:t>
            </w:r>
            <w:r>
              <w:rPr>
                <w:noProof/>
                <w:webHidden/>
              </w:rPr>
              <w:fldChar w:fldCharType="end"/>
            </w:r>
          </w:hyperlink>
        </w:p>
        <w:p w14:paraId="755C94EE" w14:textId="16CC9B78" w:rsidR="00E0532C" w:rsidRDefault="00E0532C">
          <w:pPr>
            <w:pStyle w:val="TOC3"/>
            <w:tabs>
              <w:tab w:val="left" w:pos="1728"/>
            </w:tabs>
            <w:rPr>
              <w:rFonts w:asciiTheme="minorHAnsi" w:eastAsiaTheme="minorEastAsia" w:hAnsiTheme="minorHAnsi"/>
              <w:noProof/>
              <w:kern w:val="2"/>
              <w:szCs w:val="24"/>
              <w14:ligatures w14:val="standardContextual"/>
            </w:rPr>
          </w:pPr>
          <w:hyperlink w:anchor="_Toc194994769" w:history="1">
            <w:r w:rsidRPr="003F7071">
              <w:rPr>
                <w:rStyle w:val="Hyperlink"/>
                <w:noProof/>
              </w:rPr>
              <w:t>3.12.2</w:t>
            </w:r>
            <w:r>
              <w:rPr>
                <w:rFonts w:asciiTheme="minorHAnsi" w:eastAsiaTheme="minorEastAsia" w:hAnsiTheme="minorHAnsi"/>
                <w:noProof/>
                <w:kern w:val="2"/>
                <w:szCs w:val="24"/>
                <w14:ligatures w14:val="standardContextual"/>
              </w:rPr>
              <w:tab/>
            </w:r>
            <w:r w:rsidRPr="003F7071">
              <w:rPr>
                <w:rStyle w:val="Hyperlink"/>
                <w:noProof/>
              </w:rPr>
              <w:t>Sex</w:t>
            </w:r>
            <w:r>
              <w:rPr>
                <w:noProof/>
                <w:webHidden/>
              </w:rPr>
              <w:tab/>
            </w:r>
            <w:r>
              <w:rPr>
                <w:noProof/>
                <w:webHidden/>
              </w:rPr>
              <w:fldChar w:fldCharType="begin"/>
            </w:r>
            <w:r>
              <w:rPr>
                <w:noProof/>
                <w:webHidden/>
              </w:rPr>
              <w:instrText xml:space="preserve"> PAGEREF _Toc194994769 \h </w:instrText>
            </w:r>
            <w:r>
              <w:rPr>
                <w:noProof/>
                <w:webHidden/>
              </w:rPr>
            </w:r>
            <w:r>
              <w:rPr>
                <w:noProof/>
                <w:webHidden/>
              </w:rPr>
              <w:fldChar w:fldCharType="separate"/>
            </w:r>
            <w:r w:rsidR="00707DB8">
              <w:rPr>
                <w:noProof/>
                <w:webHidden/>
              </w:rPr>
              <w:t>31</w:t>
            </w:r>
            <w:r>
              <w:rPr>
                <w:noProof/>
                <w:webHidden/>
              </w:rPr>
              <w:fldChar w:fldCharType="end"/>
            </w:r>
          </w:hyperlink>
        </w:p>
        <w:p w14:paraId="7BCA5842" w14:textId="21A4D7C7" w:rsidR="00E0532C" w:rsidRDefault="00E0532C">
          <w:pPr>
            <w:pStyle w:val="TOC2"/>
            <w:tabs>
              <w:tab w:val="left" w:pos="1296"/>
            </w:tabs>
            <w:rPr>
              <w:rFonts w:asciiTheme="minorHAnsi" w:eastAsiaTheme="minorEastAsia" w:hAnsiTheme="minorHAnsi"/>
              <w:noProof/>
              <w:kern w:val="2"/>
              <w:szCs w:val="24"/>
              <w14:ligatures w14:val="standardContextual"/>
            </w:rPr>
          </w:pPr>
          <w:hyperlink w:anchor="_Toc194994770" w:history="1">
            <w:r w:rsidRPr="003F7071">
              <w:rPr>
                <w:rStyle w:val="Hyperlink"/>
                <w:rFonts w:eastAsia="Arial Narrow"/>
                <w:noProof/>
              </w:rPr>
              <w:t>3.13</w:t>
            </w:r>
            <w:r>
              <w:rPr>
                <w:rFonts w:asciiTheme="minorHAnsi" w:eastAsiaTheme="minorEastAsia" w:hAnsiTheme="minorHAnsi"/>
                <w:noProof/>
                <w:kern w:val="2"/>
                <w:szCs w:val="24"/>
                <w14:ligatures w14:val="standardContextual"/>
              </w:rPr>
              <w:tab/>
            </w:r>
            <w:r w:rsidRPr="003F7071">
              <w:rPr>
                <w:rStyle w:val="Hyperlink"/>
                <w:rFonts w:eastAsia="Arial Narrow"/>
                <w:noProof/>
              </w:rPr>
              <w:t>ICD-9 and ICD-10 Codes in Value Sets</w:t>
            </w:r>
            <w:r>
              <w:rPr>
                <w:noProof/>
                <w:webHidden/>
              </w:rPr>
              <w:tab/>
            </w:r>
            <w:r>
              <w:rPr>
                <w:noProof/>
                <w:webHidden/>
              </w:rPr>
              <w:fldChar w:fldCharType="begin"/>
            </w:r>
            <w:r>
              <w:rPr>
                <w:noProof/>
                <w:webHidden/>
              </w:rPr>
              <w:instrText xml:space="preserve"> PAGEREF _Toc194994770 \h </w:instrText>
            </w:r>
            <w:r>
              <w:rPr>
                <w:noProof/>
                <w:webHidden/>
              </w:rPr>
            </w:r>
            <w:r>
              <w:rPr>
                <w:noProof/>
                <w:webHidden/>
              </w:rPr>
              <w:fldChar w:fldCharType="separate"/>
            </w:r>
            <w:r w:rsidR="00707DB8">
              <w:rPr>
                <w:noProof/>
                <w:webHidden/>
              </w:rPr>
              <w:t>31</w:t>
            </w:r>
            <w:r>
              <w:rPr>
                <w:noProof/>
                <w:webHidden/>
              </w:rPr>
              <w:fldChar w:fldCharType="end"/>
            </w:r>
          </w:hyperlink>
        </w:p>
        <w:p w14:paraId="1CA8C81A" w14:textId="500C7108" w:rsidR="00E0532C" w:rsidRDefault="00E0532C">
          <w:pPr>
            <w:pStyle w:val="TOC3"/>
            <w:tabs>
              <w:tab w:val="left" w:pos="1728"/>
            </w:tabs>
            <w:rPr>
              <w:rFonts w:asciiTheme="minorHAnsi" w:eastAsiaTheme="minorEastAsia" w:hAnsiTheme="minorHAnsi"/>
              <w:noProof/>
              <w:kern w:val="2"/>
              <w:szCs w:val="24"/>
              <w14:ligatures w14:val="standardContextual"/>
            </w:rPr>
          </w:pPr>
          <w:hyperlink w:anchor="_Toc194994771" w:history="1">
            <w:r w:rsidRPr="003F7071">
              <w:rPr>
                <w:rStyle w:val="Hyperlink"/>
                <w:noProof/>
              </w:rPr>
              <w:t>3.13.1</w:t>
            </w:r>
            <w:r>
              <w:rPr>
                <w:rFonts w:asciiTheme="minorHAnsi" w:eastAsiaTheme="minorEastAsia" w:hAnsiTheme="minorHAnsi"/>
                <w:noProof/>
                <w:kern w:val="2"/>
                <w:szCs w:val="24"/>
                <w14:ligatures w14:val="standardContextual"/>
              </w:rPr>
              <w:tab/>
            </w:r>
            <w:r w:rsidRPr="003F7071">
              <w:rPr>
                <w:rStyle w:val="Hyperlink"/>
                <w:noProof/>
              </w:rPr>
              <w:t>Use of Nonclinical or Administrative Code Systems</w:t>
            </w:r>
            <w:r>
              <w:rPr>
                <w:noProof/>
                <w:webHidden/>
              </w:rPr>
              <w:tab/>
            </w:r>
            <w:r>
              <w:rPr>
                <w:noProof/>
                <w:webHidden/>
              </w:rPr>
              <w:fldChar w:fldCharType="begin"/>
            </w:r>
            <w:r>
              <w:rPr>
                <w:noProof/>
                <w:webHidden/>
              </w:rPr>
              <w:instrText xml:space="preserve"> PAGEREF _Toc194994771 \h </w:instrText>
            </w:r>
            <w:r>
              <w:rPr>
                <w:noProof/>
                <w:webHidden/>
              </w:rPr>
            </w:r>
            <w:r>
              <w:rPr>
                <w:noProof/>
                <w:webHidden/>
              </w:rPr>
              <w:fldChar w:fldCharType="separate"/>
            </w:r>
            <w:r w:rsidR="00707DB8">
              <w:rPr>
                <w:noProof/>
                <w:webHidden/>
              </w:rPr>
              <w:t>31</w:t>
            </w:r>
            <w:r>
              <w:rPr>
                <w:noProof/>
                <w:webHidden/>
              </w:rPr>
              <w:fldChar w:fldCharType="end"/>
            </w:r>
          </w:hyperlink>
        </w:p>
        <w:p w14:paraId="1211451F" w14:textId="5C46512E" w:rsidR="00E0532C" w:rsidRDefault="00E0532C">
          <w:pPr>
            <w:pStyle w:val="TOC2"/>
            <w:tabs>
              <w:tab w:val="left" w:pos="1296"/>
            </w:tabs>
            <w:rPr>
              <w:rFonts w:asciiTheme="minorHAnsi" w:eastAsiaTheme="minorEastAsia" w:hAnsiTheme="minorHAnsi"/>
              <w:noProof/>
              <w:kern w:val="2"/>
              <w:szCs w:val="24"/>
              <w14:ligatures w14:val="standardContextual"/>
            </w:rPr>
          </w:pPr>
          <w:hyperlink w:anchor="_Toc194994772" w:history="1">
            <w:r w:rsidRPr="003F7071">
              <w:rPr>
                <w:rStyle w:val="Hyperlink"/>
                <w:rFonts w:eastAsia="Arial Narrow"/>
                <w:noProof/>
              </w:rPr>
              <w:t>3.14</w:t>
            </w:r>
            <w:r>
              <w:rPr>
                <w:rFonts w:asciiTheme="minorHAnsi" w:eastAsiaTheme="minorEastAsia" w:hAnsiTheme="minorHAnsi"/>
                <w:noProof/>
                <w:kern w:val="2"/>
                <w:szCs w:val="24"/>
                <w14:ligatures w14:val="standardContextual"/>
              </w:rPr>
              <w:tab/>
            </w:r>
            <w:r w:rsidRPr="003F7071">
              <w:rPr>
                <w:rStyle w:val="Hyperlink"/>
                <w:rFonts w:eastAsia="Arial Narrow"/>
                <w:noProof/>
              </w:rPr>
              <w:t>Display of Human-Readable HQMF</w:t>
            </w:r>
            <w:r>
              <w:rPr>
                <w:noProof/>
                <w:webHidden/>
              </w:rPr>
              <w:tab/>
            </w:r>
            <w:r>
              <w:rPr>
                <w:noProof/>
                <w:webHidden/>
              </w:rPr>
              <w:fldChar w:fldCharType="begin"/>
            </w:r>
            <w:r>
              <w:rPr>
                <w:noProof/>
                <w:webHidden/>
              </w:rPr>
              <w:instrText xml:space="preserve"> PAGEREF _Toc194994772 \h </w:instrText>
            </w:r>
            <w:r>
              <w:rPr>
                <w:noProof/>
                <w:webHidden/>
              </w:rPr>
            </w:r>
            <w:r>
              <w:rPr>
                <w:noProof/>
                <w:webHidden/>
              </w:rPr>
              <w:fldChar w:fldCharType="separate"/>
            </w:r>
            <w:r w:rsidR="00707DB8">
              <w:rPr>
                <w:noProof/>
                <w:webHidden/>
              </w:rPr>
              <w:t>31</w:t>
            </w:r>
            <w:r>
              <w:rPr>
                <w:noProof/>
                <w:webHidden/>
              </w:rPr>
              <w:fldChar w:fldCharType="end"/>
            </w:r>
          </w:hyperlink>
        </w:p>
        <w:p w14:paraId="3B95682A" w14:textId="2CD202E5" w:rsidR="00E0532C" w:rsidRDefault="00E0532C">
          <w:pPr>
            <w:pStyle w:val="TOC1"/>
            <w:rPr>
              <w:rFonts w:asciiTheme="minorHAnsi" w:eastAsiaTheme="minorEastAsia" w:hAnsiTheme="minorHAnsi"/>
              <w:b w:val="0"/>
              <w:noProof/>
              <w:kern w:val="2"/>
              <w:szCs w:val="24"/>
              <w14:ligatures w14:val="standardContextual"/>
            </w:rPr>
          </w:pPr>
          <w:hyperlink w:anchor="_Toc194994773" w:history="1">
            <w:r w:rsidRPr="003F7071">
              <w:rPr>
                <w:rStyle w:val="Hyperlink"/>
                <w:noProof/>
              </w:rPr>
              <w:t>4.</w:t>
            </w:r>
            <w:r>
              <w:rPr>
                <w:rFonts w:asciiTheme="minorHAnsi" w:eastAsiaTheme="minorEastAsia" w:hAnsiTheme="minorHAnsi"/>
                <w:b w:val="0"/>
                <w:noProof/>
                <w:kern w:val="2"/>
                <w:szCs w:val="24"/>
                <w14:ligatures w14:val="standardContextual"/>
              </w:rPr>
              <w:tab/>
            </w:r>
            <w:r w:rsidRPr="003F7071">
              <w:rPr>
                <w:rStyle w:val="Hyperlink"/>
                <w:noProof/>
              </w:rPr>
              <w:t>eCQM Guidance</w:t>
            </w:r>
            <w:r>
              <w:rPr>
                <w:noProof/>
                <w:webHidden/>
              </w:rPr>
              <w:tab/>
            </w:r>
            <w:r>
              <w:rPr>
                <w:noProof/>
                <w:webHidden/>
              </w:rPr>
              <w:fldChar w:fldCharType="begin"/>
            </w:r>
            <w:r>
              <w:rPr>
                <w:noProof/>
                <w:webHidden/>
              </w:rPr>
              <w:instrText xml:space="preserve"> PAGEREF _Toc194994773 \h </w:instrText>
            </w:r>
            <w:r>
              <w:rPr>
                <w:noProof/>
                <w:webHidden/>
              </w:rPr>
            </w:r>
            <w:r>
              <w:rPr>
                <w:noProof/>
                <w:webHidden/>
              </w:rPr>
              <w:fldChar w:fldCharType="separate"/>
            </w:r>
            <w:r w:rsidR="00707DB8">
              <w:rPr>
                <w:noProof/>
                <w:webHidden/>
              </w:rPr>
              <w:t>32</w:t>
            </w:r>
            <w:r>
              <w:rPr>
                <w:noProof/>
                <w:webHidden/>
              </w:rPr>
              <w:fldChar w:fldCharType="end"/>
            </w:r>
          </w:hyperlink>
        </w:p>
        <w:p w14:paraId="6DC9EC0C" w14:textId="333894E0" w:rsidR="00E0532C" w:rsidRDefault="00E0532C">
          <w:pPr>
            <w:pStyle w:val="TOC1"/>
            <w:rPr>
              <w:rFonts w:asciiTheme="minorHAnsi" w:eastAsiaTheme="minorEastAsia" w:hAnsiTheme="minorHAnsi"/>
              <w:b w:val="0"/>
              <w:noProof/>
              <w:kern w:val="2"/>
              <w:szCs w:val="24"/>
              <w14:ligatures w14:val="standardContextual"/>
            </w:rPr>
          </w:pPr>
          <w:hyperlink w:anchor="_Toc194994774" w:history="1">
            <w:r w:rsidRPr="003F7071">
              <w:rPr>
                <w:rStyle w:val="Hyperlink"/>
                <w:rFonts w:cs="Arial Narrow"/>
                <w:noProof/>
              </w:rPr>
              <w:t>5.</w:t>
            </w:r>
            <w:r>
              <w:rPr>
                <w:rFonts w:asciiTheme="minorHAnsi" w:eastAsiaTheme="minorEastAsia" w:hAnsiTheme="minorHAnsi"/>
                <w:b w:val="0"/>
                <w:noProof/>
                <w:kern w:val="2"/>
                <w:szCs w:val="24"/>
                <w14:ligatures w14:val="standardContextual"/>
              </w:rPr>
              <w:tab/>
            </w:r>
            <w:r w:rsidRPr="003F7071">
              <w:rPr>
                <w:rStyle w:val="Hyperlink"/>
                <w:rFonts w:cs="Arial Narrow"/>
                <w:noProof/>
              </w:rPr>
              <w:t>ASTP/</w:t>
            </w:r>
            <w:r w:rsidRPr="003F7071">
              <w:rPr>
                <w:rStyle w:val="Hyperlink"/>
                <w:noProof/>
              </w:rPr>
              <w:t>ONC Project Tracking System (Jira)</w:t>
            </w:r>
            <w:r>
              <w:rPr>
                <w:noProof/>
                <w:webHidden/>
              </w:rPr>
              <w:tab/>
            </w:r>
            <w:r>
              <w:rPr>
                <w:noProof/>
                <w:webHidden/>
              </w:rPr>
              <w:fldChar w:fldCharType="begin"/>
            </w:r>
            <w:r>
              <w:rPr>
                <w:noProof/>
                <w:webHidden/>
              </w:rPr>
              <w:instrText xml:space="preserve"> PAGEREF _Toc194994774 \h </w:instrText>
            </w:r>
            <w:r>
              <w:rPr>
                <w:noProof/>
                <w:webHidden/>
              </w:rPr>
            </w:r>
            <w:r>
              <w:rPr>
                <w:noProof/>
                <w:webHidden/>
              </w:rPr>
              <w:fldChar w:fldCharType="separate"/>
            </w:r>
            <w:r w:rsidR="00707DB8">
              <w:rPr>
                <w:noProof/>
                <w:webHidden/>
              </w:rPr>
              <w:t>33</w:t>
            </w:r>
            <w:r>
              <w:rPr>
                <w:noProof/>
                <w:webHidden/>
              </w:rPr>
              <w:fldChar w:fldCharType="end"/>
            </w:r>
          </w:hyperlink>
        </w:p>
        <w:p w14:paraId="76716B90" w14:textId="476D23B0" w:rsidR="00E0532C" w:rsidRDefault="00E0532C">
          <w:pPr>
            <w:pStyle w:val="TOC1"/>
            <w:rPr>
              <w:rFonts w:asciiTheme="minorHAnsi" w:eastAsiaTheme="minorEastAsia" w:hAnsiTheme="minorHAnsi"/>
              <w:b w:val="0"/>
              <w:noProof/>
              <w:kern w:val="2"/>
              <w:szCs w:val="24"/>
              <w14:ligatures w14:val="standardContextual"/>
            </w:rPr>
          </w:pPr>
          <w:hyperlink w:anchor="_Toc194994775" w:history="1">
            <w:r w:rsidRPr="003F7071">
              <w:rPr>
                <w:rStyle w:val="Hyperlink"/>
                <w:noProof/>
              </w:rPr>
              <w:t>6.</w:t>
            </w:r>
            <w:r>
              <w:rPr>
                <w:rFonts w:asciiTheme="minorHAnsi" w:eastAsiaTheme="minorEastAsia" w:hAnsiTheme="minorHAnsi"/>
                <w:b w:val="0"/>
                <w:noProof/>
                <w:kern w:val="2"/>
                <w:szCs w:val="24"/>
                <w14:ligatures w14:val="standardContextual"/>
              </w:rPr>
              <w:tab/>
            </w:r>
            <w:r w:rsidRPr="003F7071">
              <w:rPr>
                <w:rStyle w:val="Hyperlink"/>
                <w:noProof/>
              </w:rPr>
              <w:t>CMS Quality Program Helpdesks</w:t>
            </w:r>
            <w:r>
              <w:rPr>
                <w:noProof/>
                <w:webHidden/>
              </w:rPr>
              <w:tab/>
            </w:r>
            <w:r>
              <w:rPr>
                <w:noProof/>
                <w:webHidden/>
              </w:rPr>
              <w:fldChar w:fldCharType="begin"/>
            </w:r>
            <w:r>
              <w:rPr>
                <w:noProof/>
                <w:webHidden/>
              </w:rPr>
              <w:instrText xml:space="preserve"> PAGEREF _Toc194994775 \h </w:instrText>
            </w:r>
            <w:r>
              <w:rPr>
                <w:noProof/>
                <w:webHidden/>
              </w:rPr>
            </w:r>
            <w:r>
              <w:rPr>
                <w:noProof/>
                <w:webHidden/>
              </w:rPr>
              <w:fldChar w:fldCharType="separate"/>
            </w:r>
            <w:r w:rsidR="00707DB8">
              <w:rPr>
                <w:noProof/>
                <w:webHidden/>
              </w:rPr>
              <w:t>35</w:t>
            </w:r>
            <w:r>
              <w:rPr>
                <w:noProof/>
                <w:webHidden/>
              </w:rPr>
              <w:fldChar w:fldCharType="end"/>
            </w:r>
          </w:hyperlink>
        </w:p>
        <w:p w14:paraId="78386008" w14:textId="0E879E0E" w:rsidR="00E0532C" w:rsidRDefault="00E0532C">
          <w:pPr>
            <w:pStyle w:val="TOC8"/>
            <w:rPr>
              <w:rFonts w:asciiTheme="minorHAnsi" w:eastAsiaTheme="minorEastAsia" w:hAnsiTheme="minorHAnsi"/>
              <w:b w:val="0"/>
              <w:noProof/>
              <w:kern w:val="2"/>
              <w:szCs w:val="24"/>
              <w14:ligatures w14:val="standardContextual"/>
            </w:rPr>
          </w:pPr>
          <w:hyperlink w:anchor="_Toc194994776" w:history="1">
            <w:r w:rsidRPr="003F7071">
              <w:rPr>
                <w:rStyle w:val="Hyperlink"/>
                <w:noProof/>
              </w:rPr>
              <w:t>Version History</w:t>
            </w:r>
            <w:r>
              <w:rPr>
                <w:noProof/>
                <w:webHidden/>
              </w:rPr>
              <w:tab/>
            </w:r>
            <w:r>
              <w:rPr>
                <w:noProof/>
                <w:webHidden/>
              </w:rPr>
              <w:fldChar w:fldCharType="begin"/>
            </w:r>
            <w:r>
              <w:rPr>
                <w:noProof/>
                <w:webHidden/>
              </w:rPr>
              <w:instrText xml:space="preserve"> PAGEREF _Toc194994776 \h </w:instrText>
            </w:r>
            <w:r>
              <w:rPr>
                <w:noProof/>
                <w:webHidden/>
              </w:rPr>
            </w:r>
            <w:r>
              <w:rPr>
                <w:noProof/>
                <w:webHidden/>
              </w:rPr>
              <w:fldChar w:fldCharType="separate"/>
            </w:r>
            <w:r w:rsidR="00707DB8">
              <w:rPr>
                <w:noProof/>
                <w:webHidden/>
              </w:rPr>
              <w:t>36</w:t>
            </w:r>
            <w:r>
              <w:rPr>
                <w:noProof/>
                <w:webHidden/>
              </w:rPr>
              <w:fldChar w:fldCharType="end"/>
            </w:r>
          </w:hyperlink>
        </w:p>
        <w:p w14:paraId="25C90254" w14:textId="0E07F7AD" w:rsidR="00E0532C" w:rsidRDefault="00E0532C">
          <w:pPr>
            <w:pStyle w:val="TOC8"/>
            <w:rPr>
              <w:rFonts w:asciiTheme="minorHAnsi" w:eastAsiaTheme="minorEastAsia" w:hAnsiTheme="minorHAnsi"/>
              <w:b w:val="0"/>
              <w:noProof/>
              <w:kern w:val="2"/>
              <w:szCs w:val="24"/>
              <w14:ligatures w14:val="standardContextual"/>
            </w:rPr>
          </w:pPr>
          <w:hyperlink w:anchor="_Toc194994777" w:history="1">
            <w:r w:rsidRPr="003F7071">
              <w:rPr>
                <w:rStyle w:val="Hyperlink"/>
                <w:noProof/>
              </w:rPr>
              <w:t>Appendix A. Standards and Code Systems</w:t>
            </w:r>
            <w:r>
              <w:rPr>
                <w:noProof/>
                <w:webHidden/>
              </w:rPr>
              <w:tab/>
            </w:r>
            <w:r>
              <w:rPr>
                <w:noProof/>
                <w:webHidden/>
              </w:rPr>
              <w:fldChar w:fldCharType="begin"/>
            </w:r>
            <w:r>
              <w:rPr>
                <w:noProof/>
                <w:webHidden/>
              </w:rPr>
              <w:instrText xml:space="preserve"> PAGEREF _Toc194994777 \h </w:instrText>
            </w:r>
            <w:r>
              <w:rPr>
                <w:noProof/>
                <w:webHidden/>
              </w:rPr>
            </w:r>
            <w:r>
              <w:rPr>
                <w:noProof/>
                <w:webHidden/>
              </w:rPr>
              <w:fldChar w:fldCharType="separate"/>
            </w:r>
            <w:r w:rsidR="00707DB8">
              <w:rPr>
                <w:noProof/>
                <w:webHidden/>
              </w:rPr>
              <w:t>39</w:t>
            </w:r>
            <w:r>
              <w:rPr>
                <w:noProof/>
                <w:webHidden/>
              </w:rPr>
              <w:fldChar w:fldCharType="end"/>
            </w:r>
          </w:hyperlink>
        </w:p>
        <w:p w14:paraId="2B6B07E4" w14:textId="614C9E88" w:rsidR="00E0532C" w:rsidRDefault="00E0532C">
          <w:pPr>
            <w:pStyle w:val="TOC8"/>
            <w:rPr>
              <w:rFonts w:asciiTheme="minorHAnsi" w:eastAsiaTheme="minorEastAsia" w:hAnsiTheme="minorHAnsi"/>
              <w:b w:val="0"/>
              <w:noProof/>
              <w:kern w:val="2"/>
              <w:szCs w:val="24"/>
              <w14:ligatures w14:val="standardContextual"/>
            </w:rPr>
          </w:pPr>
          <w:hyperlink w:anchor="_Toc194994778" w:history="1">
            <w:r w:rsidRPr="003F7071">
              <w:rPr>
                <w:rStyle w:val="Hyperlink"/>
                <w:noProof/>
              </w:rPr>
              <w:t>Appendix B. Time Interval Definitions and Examples</w:t>
            </w:r>
            <w:r>
              <w:rPr>
                <w:noProof/>
                <w:webHidden/>
              </w:rPr>
              <w:tab/>
            </w:r>
            <w:r>
              <w:rPr>
                <w:noProof/>
                <w:webHidden/>
              </w:rPr>
              <w:fldChar w:fldCharType="begin"/>
            </w:r>
            <w:r>
              <w:rPr>
                <w:noProof/>
                <w:webHidden/>
              </w:rPr>
              <w:instrText xml:space="preserve"> PAGEREF _Toc194994778 \h </w:instrText>
            </w:r>
            <w:r>
              <w:rPr>
                <w:noProof/>
                <w:webHidden/>
              </w:rPr>
            </w:r>
            <w:r>
              <w:rPr>
                <w:noProof/>
                <w:webHidden/>
              </w:rPr>
              <w:fldChar w:fldCharType="separate"/>
            </w:r>
            <w:r w:rsidR="00707DB8">
              <w:rPr>
                <w:noProof/>
                <w:webHidden/>
              </w:rPr>
              <w:t>40</w:t>
            </w:r>
            <w:r>
              <w:rPr>
                <w:noProof/>
                <w:webHidden/>
              </w:rPr>
              <w:fldChar w:fldCharType="end"/>
            </w:r>
          </w:hyperlink>
        </w:p>
        <w:p w14:paraId="441A7238" w14:textId="3EE0A6BA" w:rsidR="00E0532C" w:rsidRDefault="00E0532C">
          <w:pPr>
            <w:pStyle w:val="TOC2"/>
            <w:rPr>
              <w:rFonts w:asciiTheme="minorHAnsi" w:eastAsiaTheme="minorEastAsia" w:hAnsiTheme="minorHAnsi"/>
              <w:noProof/>
              <w:kern w:val="2"/>
              <w:szCs w:val="24"/>
              <w14:ligatures w14:val="standardContextual"/>
            </w:rPr>
          </w:pPr>
          <w:hyperlink w:anchor="_Toc194994779" w:history="1">
            <w:r w:rsidRPr="003F7071">
              <w:rPr>
                <w:rStyle w:val="Hyperlink"/>
                <w:rFonts w:eastAsia="Arial Narrow"/>
                <w:noProof/>
              </w:rPr>
              <w:t>Interval Operators</w:t>
            </w:r>
            <w:r>
              <w:rPr>
                <w:noProof/>
                <w:webHidden/>
              </w:rPr>
              <w:tab/>
            </w:r>
            <w:r>
              <w:rPr>
                <w:noProof/>
                <w:webHidden/>
              </w:rPr>
              <w:fldChar w:fldCharType="begin"/>
            </w:r>
            <w:r>
              <w:rPr>
                <w:noProof/>
                <w:webHidden/>
              </w:rPr>
              <w:instrText xml:space="preserve"> PAGEREF _Toc194994779 \h </w:instrText>
            </w:r>
            <w:r>
              <w:rPr>
                <w:noProof/>
                <w:webHidden/>
              </w:rPr>
            </w:r>
            <w:r>
              <w:rPr>
                <w:noProof/>
                <w:webHidden/>
              </w:rPr>
              <w:fldChar w:fldCharType="separate"/>
            </w:r>
            <w:r w:rsidR="00707DB8">
              <w:rPr>
                <w:noProof/>
                <w:webHidden/>
              </w:rPr>
              <w:t>40</w:t>
            </w:r>
            <w:r>
              <w:rPr>
                <w:noProof/>
                <w:webHidden/>
              </w:rPr>
              <w:fldChar w:fldCharType="end"/>
            </w:r>
          </w:hyperlink>
        </w:p>
        <w:p w14:paraId="459CB79E" w14:textId="1964C0C4" w:rsidR="00E0532C" w:rsidRDefault="00E0532C">
          <w:pPr>
            <w:pStyle w:val="TOC2"/>
            <w:rPr>
              <w:rFonts w:asciiTheme="minorHAnsi" w:eastAsiaTheme="minorEastAsia" w:hAnsiTheme="minorHAnsi"/>
              <w:noProof/>
              <w:kern w:val="2"/>
              <w:szCs w:val="24"/>
              <w14:ligatures w14:val="standardContextual"/>
            </w:rPr>
          </w:pPr>
          <w:hyperlink w:anchor="_Toc194994780" w:history="1">
            <w:r w:rsidRPr="003F7071">
              <w:rPr>
                <w:rStyle w:val="Hyperlink"/>
                <w:rFonts w:eastAsia="Arial Narrow"/>
                <w:noProof/>
              </w:rPr>
              <w:t>Timing Phrases</w:t>
            </w:r>
            <w:r>
              <w:rPr>
                <w:noProof/>
                <w:webHidden/>
              </w:rPr>
              <w:tab/>
            </w:r>
            <w:r>
              <w:rPr>
                <w:noProof/>
                <w:webHidden/>
              </w:rPr>
              <w:fldChar w:fldCharType="begin"/>
            </w:r>
            <w:r>
              <w:rPr>
                <w:noProof/>
                <w:webHidden/>
              </w:rPr>
              <w:instrText xml:space="preserve"> PAGEREF _Toc194994780 \h </w:instrText>
            </w:r>
            <w:r>
              <w:rPr>
                <w:noProof/>
                <w:webHidden/>
              </w:rPr>
            </w:r>
            <w:r>
              <w:rPr>
                <w:noProof/>
                <w:webHidden/>
              </w:rPr>
              <w:fldChar w:fldCharType="separate"/>
            </w:r>
            <w:r w:rsidR="00707DB8">
              <w:rPr>
                <w:noProof/>
                <w:webHidden/>
              </w:rPr>
              <w:t>40</w:t>
            </w:r>
            <w:r>
              <w:rPr>
                <w:noProof/>
                <w:webHidden/>
              </w:rPr>
              <w:fldChar w:fldCharType="end"/>
            </w:r>
          </w:hyperlink>
        </w:p>
        <w:p w14:paraId="48431920" w14:textId="4A01AE5D" w:rsidR="007F4BD6" w:rsidRPr="00B27540" w:rsidRDefault="00E0532C" w:rsidP="00B2075E">
          <w:pPr>
            <w:pStyle w:val="TOC8"/>
          </w:pPr>
          <w:hyperlink w:anchor="_Toc194994781" w:history="1">
            <w:r w:rsidRPr="003F7071">
              <w:rPr>
                <w:rStyle w:val="Hyperlink"/>
                <w:noProof/>
              </w:rPr>
              <w:t>Acronyms</w:t>
            </w:r>
            <w:r>
              <w:rPr>
                <w:rStyle w:val="Hyperlink"/>
                <w:noProof/>
              </w:rPr>
              <w:tab/>
            </w:r>
            <w:r>
              <w:rPr>
                <w:noProof/>
                <w:webHidden/>
              </w:rPr>
              <w:tab/>
            </w:r>
            <w:r>
              <w:rPr>
                <w:noProof/>
                <w:webHidden/>
              </w:rPr>
              <w:fldChar w:fldCharType="begin"/>
            </w:r>
            <w:r>
              <w:rPr>
                <w:noProof/>
                <w:webHidden/>
              </w:rPr>
              <w:instrText xml:space="preserve"> PAGEREF _Toc194994781 \h </w:instrText>
            </w:r>
            <w:r>
              <w:rPr>
                <w:noProof/>
                <w:webHidden/>
              </w:rPr>
            </w:r>
            <w:r>
              <w:rPr>
                <w:noProof/>
                <w:webHidden/>
              </w:rPr>
              <w:fldChar w:fldCharType="separate"/>
            </w:r>
            <w:r w:rsidR="00707DB8">
              <w:rPr>
                <w:noProof/>
                <w:webHidden/>
              </w:rPr>
              <w:t>46</w:t>
            </w:r>
            <w:r>
              <w:rPr>
                <w:noProof/>
                <w:webHidden/>
              </w:rPr>
              <w:fldChar w:fldCharType="end"/>
            </w:r>
          </w:hyperlink>
          <w:r w:rsidR="007F4BD6">
            <w:rPr>
              <w:b w:val="0"/>
              <w:bCs/>
              <w:noProof/>
            </w:rPr>
            <w:fldChar w:fldCharType="end"/>
          </w:r>
        </w:p>
      </w:sdtContent>
    </w:sdt>
    <w:p w14:paraId="211C4DD5" w14:textId="42B12F72" w:rsidR="00D67C8C" w:rsidRDefault="00D73EAA" w:rsidP="00707DB8">
      <w:pPr>
        <w:spacing w:after="0" w:line="240" w:lineRule="auto"/>
      </w:pPr>
      <w:bookmarkStart w:id="2" w:name="_heading=h.1hmsyys" w:colFirst="0" w:colLast="0"/>
      <w:bookmarkStart w:id="3" w:name="_Toc497634056"/>
      <w:bookmarkStart w:id="4" w:name="_Toc498235584"/>
      <w:bookmarkStart w:id="5" w:name="_Toc498325024"/>
      <w:bookmarkStart w:id="6" w:name="_Toc499106663"/>
      <w:bookmarkEnd w:id="2"/>
      <w:r>
        <w:br w:type="page"/>
      </w:r>
    </w:p>
    <w:p w14:paraId="0000005C" w14:textId="77777777" w:rsidR="00052CBD" w:rsidRDefault="00052CBD">
      <w:pPr>
        <w:sectPr w:rsidR="00052CBD" w:rsidSect="002865A5">
          <w:headerReference w:type="even" r:id="rId22"/>
          <w:headerReference w:type="default" r:id="rId23"/>
          <w:headerReference w:type="first" r:id="rId24"/>
          <w:footerReference w:type="first" r:id="rId25"/>
          <w:pgSz w:w="12240" w:h="15840"/>
          <w:pgMar w:top="1440" w:right="1440" w:bottom="1440" w:left="1440" w:header="504" w:footer="504" w:gutter="0"/>
          <w:pgNumType w:fmt="lowerRoman"/>
          <w:cols w:space="720"/>
          <w:titlePg/>
        </w:sectPr>
      </w:pPr>
    </w:p>
    <w:p w14:paraId="0000005D" w14:textId="63CF63AE" w:rsidR="00D67C8C" w:rsidRPr="00D81C30" w:rsidRDefault="00570E30" w:rsidP="00D81C30">
      <w:pPr>
        <w:pStyle w:val="H1-Num"/>
      </w:pPr>
      <w:bookmarkStart w:id="7" w:name="_heading=h.1mrcu09" w:colFirst="0" w:colLast="0"/>
      <w:bookmarkStart w:id="8" w:name="_Toc510936693"/>
      <w:bookmarkStart w:id="9" w:name="_Toc510936873"/>
      <w:bookmarkStart w:id="10" w:name="_Toc510948564"/>
      <w:bookmarkStart w:id="11" w:name="_Toc23176734"/>
      <w:bookmarkStart w:id="12" w:name="_Toc56635360"/>
      <w:bookmarkStart w:id="13" w:name="_Toc64983043"/>
      <w:bookmarkStart w:id="14" w:name="_Toc159578359"/>
      <w:bookmarkStart w:id="15" w:name="_Toc194958996"/>
      <w:bookmarkStart w:id="16" w:name="_Toc194994733"/>
      <w:bookmarkStart w:id="17" w:name="_Toc497871702"/>
      <w:bookmarkStart w:id="18" w:name="_Toc497872046"/>
      <w:bookmarkStart w:id="19" w:name="_Toc497872814"/>
      <w:bookmarkStart w:id="20" w:name="_Toc497872969"/>
      <w:bookmarkStart w:id="21" w:name="_Toc497873017"/>
      <w:bookmarkEnd w:id="3"/>
      <w:bookmarkEnd w:id="4"/>
      <w:bookmarkEnd w:id="5"/>
      <w:bookmarkEnd w:id="6"/>
      <w:bookmarkEnd w:id="7"/>
      <w:r w:rsidRPr="00D81C30">
        <w:lastRenderedPageBreak/>
        <w:t>1.</w:t>
      </w:r>
      <w:r w:rsidRPr="00D81C30">
        <w:tab/>
      </w:r>
      <w:r w:rsidR="00C80A11" w:rsidRPr="00D81C30">
        <w:t>Introduction</w:t>
      </w:r>
      <w:bookmarkEnd w:id="8"/>
      <w:bookmarkEnd w:id="9"/>
      <w:bookmarkEnd w:id="10"/>
      <w:bookmarkEnd w:id="11"/>
      <w:bookmarkEnd w:id="12"/>
      <w:bookmarkEnd w:id="13"/>
      <w:bookmarkEnd w:id="14"/>
      <w:bookmarkEnd w:id="15"/>
      <w:bookmarkEnd w:id="16"/>
    </w:p>
    <w:p w14:paraId="0000005E" w14:textId="2319A918" w:rsidR="00D67C8C" w:rsidRDefault="00C80A11" w:rsidP="0083781F">
      <w:pPr>
        <w:pStyle w:val="ParagraphContinued"/>
      </w:pPr>
      <w:r>
        <w:t xml:space="preserve">The Centers for Medicare &amp; Medicaid Services (CMS) provides this guidance document for use with the updated </w:t>
      </w:r>
      <w:r w:rsidR="003E34B9">
        <w:t>hospital</w:t>
      </w:r>
      <w:r w:rsidR="00F56868">
        <w:t xml:space="preserve"> </w:t>
      </w:r>
      <w:r w:rsidR="00672BF5">
        <w:t>-</w:t>
      </w:r>
      <w:r w:rsidR="00874A7F">
        <w:t xml:space="preserve"> </w:t>
      </w:r>
      <w:r w:rsidR="00F56868">
        <w:t>i</w:t>
      </w:r>
      <w:r w:rsidR="00874A7F">
        <w:t>npatient</w:t>
      </w:r>
      <w:r>
        <w:t xml:space="preserve">, </w:t>
      </w:r>
      <w:r w:rsidR="007A5E49">
        <w:t xml:space="preserve">hospital </w:t>
      </w:r>
      <w:r w:rsidR="00672BF5">
        <w:t>-</w:t>
      </w:r>
      <w:r w:rsidR="007A5E49">
        <w:t xml:space="preserve"> </w:t>
      </w:r>
      <w:r w:rsidR="00874A7F">
        <w:t xml:space="preserve">outpatient, and </w:t>
      </w:r>
      <w:r>
        <w:t>eligible clinician</w:t>
      </w:r>
      <w:r w:rsidR="00881746">
        <w:rPr>
          <w:rStyle w:val="FootnoteReference"/>
        </w:rPr>
        <w:footnoteReference w:id="2"/>
      </w:r>
      <w:r>
        <w:t xml:space="preserve"> electronic clinical quality measure (eCQM) specifications. CMS released the eCQM specifications in May </w:t>
      </w:r>
      <w:r w:rsidR="00415519">
        <w:t xml:space="preserve">2026 </w:t>
      </w:r>
      <w:r>
        <w:t xml:space="preserve">for users and implementers of the eCQMs for calendar year </w:t>
      </w:r>
      <w:r w:rsidR="00415519">
        <w:t xml:space="preserve">2027 </w:t>
      </w:r>
      <w:r>
        <w:t>reporting</w:t>
      </w:r>
      <w:r w:rsidR="00C05F50">
        <w:t>/performance</w:t>
      </w:r>
      <w:r>
        <w:t xml:space="preserve"> under CMS’s quality reporting and value-based purchasing programs.</w:t>
      </w:r>
      <w:r w:rsidR="0063185B">
        <w:t xml:space="preserve"> </w:t>
      </w:r>
      <w:r w:rsidR="008C304B">
        <w:t>P</w:t>
      </w:r>
      <w:r w:rsidR="0063185B">
        <w:t>lease note</w:t>
      </w:r>
      <w:r w:rsidR="008C304B">
        <w:t>, however,</w:t>
      </w:r>
      <w:r w:rsidR="0063185B">
        <w:t xml:space="preserve"> that the eCQM </w:t>
      </w:r>
      <w:r w:rsidR="0063185B" w:rsidRPr="0063185B">
        <w:t>examples provided throughout this guidance document</w:t>
      </w:r>
      <w:r w:rsidR="0063185B">
        <w:t xml:space="preserve"> draw from the</w:t>
      </w:r>
      <w:r w:rsidR="0063185B" w:rsidRPr="0063185B">
        <w:t xml:space="preserve"> eCQM specification</w:t>
      </w:r>
      <w:r w:rsidR="0063185B">
        <w:t>s</w:t>
      </w:r>
      <w:r w:rsidR="0063185B" w:rsidRPr="0063185B">
        <w:t xml:space="preserve"> posted for </w:t>
      </w:r>
      <w:r w:rsidR="00415519" w:rsidRPr="0063185B">
        <w:t>202</w:t>
      </w:r>
      <w:r w:rsidR="00415519">
        <w:t>6</w:t>
      </w:r>
      <w:r w:rsidR="00415519" w:rsidRPr="0063185B">
        <w:t xml:space="preserve"> </w:t>
      </w:r>
      <w:r w:rsidR="00C05F50">
        <w:t>reporting/performance</w:t>
      </w:r>
      <w:r w:rsidR="0063185B" w:rsidRPr="0063185B">
        <w:t xml:space="preserve"> period.</w:t>
      </w:r>
    </w:p>
    <w:p w14:paraId="0000005F" w14:textId="2A78B28B" w:rsidR="00D67C8C" w:rsidRDefault="00C80A11" w:rsidP="00570E30">
      <w:pPr>
        <w:pStyle w:val="Paragraph"/>
      </w:pPr>
      <w:r>
        <w:t xml:space="preserve">eCQMs will not be eligible for </w:t>
      </w:r>
      <w:r w:rsidR="00415519">
        <w:t xml:space="preserve">2027 </w:t>
      </w:r>
      <w:r>
        <w:t xml:space="preserve">reporting until CMS proposes and finalizes them through notice, public comment, and rulemaking for each applicable program. This document conceptualizes eCQM logic and data elements for Quality Data Model (QDM) measures and is intended for implementers. CMS strongly recommends review of this document to understand the intent and operation of each eCQM before implementation. </w:t>
      </w:r>
    </w:p>
    <w:p w14:paraId="00000060" w14:textId="77777777" w:rsidR="00D67C8C" w:rsidRDefault="00C80A11" w:rsidP="00570E30">
      <w:pPr>
        <w:pStyle w:val="Paragraph"/>
      </w:pPr>
      <w:r>
        <w:t xml:space="preserve">This document is organized as follows: </w:t>
      </w:r>
    </w:p>
    <w:p w14:paraId="00000061" w14:textId="70DE104E" w:rsidR="00D67C8C" w:rsidRDefault="00C80A11" w:rsidP="00570E30">
      <w:pPr>
        <w:pStyle w:val="ListBullet"/>
      </w:pPr>
      <w:r w:rsidRPr="005E64B8">
        <w:t xml:space="preserve">Sections 2 through </w:t>
      </w:r>
      <w:r w:rsidR="00690B3B">
        <w:t>4</w:t>
      </w:r>
      <w:r w:rsidRPr="005E64B8">
        <w:t xml:space="preserve"> provide general implementation guidance, including how to conceptualize and address specific logic and data elements during eCQM implementation.</w:t>
      </w:r>
      <w:r w:rsidR="0063185B">
        <w:t xml:space="preserve"> </w:t>
      </w:r>
    </w:p>
    <w:p w14:paraId="00000062" w14:textId="29E6ED1D" w:rsidR="00D67C8C" w:rsidRDefault="00C80A11" w:rsidP="00570E30">
      <w:pPr>
        <w:pStyle w:val="ListBullet"/>
      </w:pPr>
      <w:r>
        <w:rPr>
          <w:color w:val="000000"/>
        </w:rPr>
        <w:t xml:space="preserve">Section </w:t>
      </w:r>
      <w:r w:rsidR="00690B3B">
        <w:rPr>
          <w:color w:val="000000"/>
        </w:rPr>
        <w:t>5</w:t>
      </w:r>
      <w:r>
        <w:rPr>
          <w:color w:val="000000"/>
        </w:rPr>
        <w:t xml:space="preserve"> provides information to interested parties on how to use the </w:t>
      </w:r>
      <w:hyperlink r:id="rId26" w:history="1">
        <w:r w:rsidR="00691F4D" w:rsidRPr="00691F4D">
          <w:rPr>
            <w:rStyle w:val="Hyperlink"/>
          </w:rPr>
          <w:t>Assistant Secretary for Technology Policy/Office of the National Coordinator for Health Information Technology (ASTP/ONC) Project Tracking System (Jira)</w:t>
        </w:r>
      </w:hyperlink>
      <w:r>
        <w:rPr>
          <w:color w:val="000000"/>
        </w:rPr>
        <w:t xml:space="preserve"> to provide feedback; track issues; ask questions about eCQM intent, specifications, certification, and standards; and address issues uncovered during implementation of the eCQMs.</w:t>
      </w:r>
    </w:p>
    <w:p w14:paraId="00000063" w14:textId="75669AF9" w:rsidR="00D67C8C" w:rsidRDefault="00C80A11" w:rsidP="00570E30">
      <w:pPr>
        <w:pStyle w:val="ListBullet"/>
      </w:pPr>
      <w:r w:rsidRPr="005E64B8">
        <w:t xml:space="preserve">Section </w:t>
      </w:r>
      <w:r w:rsidR="00690B3B">
        <w:t>6</w:t>
      </w:r>
      <w:r w:rsidRPr="005E64B8">
        <w:t xml:space="preserve"> provides contact information for the various eCQM-related CMS help desks.</w:t>
      </w:r>
    </w:p>
    <w:p w14:paraId="00000064" w14:textId="7D08F4F4" w:rsidR="00D67C8C" w:rsidRDefault="00C80A11" w:rsidP="00570E30">
      <w:pPr>
        <w:pStyle w:val="ListBullet"/>
      </w:pPr>
      <w:r w:rsidRPr="005E64B8">
        <w:t xml:space="preserve">The appendices provide </w:t>
      </w:r>
      <w:r w:rsidR="00593AB5">
        <w:t>information on where to find</w:t>
      </w:r>
      <w:r w:rsidRPr="005E64B8">
        <w:t xml:space="preserve"> </w:t>
      </w:r>
      <w:r w:rsidR="00691F4D">
        <w:t xml:space="preserve">the </w:t>
      </w:r>
      <w:r w:rsidRPr="005E64B8">
        <w:t xml:space="preserve">standards and code systems </w:t>
      </w:r>
      <w:r w:rsidR="00874A7F">
        <w:t xml:space="preserve">used in conjunction with the updated </w:t>
      </w:r>
      <w:r w:rsidRPr="005E64B8">
        <w:t>eCQMs as well as examples of timing intervals used in eCQM logic.</w:t>
      </w:r>
    </w:p>
    <w:p w14:paraId="00000065" w14:textId="1015E157" w:rsidR="00D67C8C" w:rsidRDefault="00C80A11" w:rsidP="00FE4E10">
      <w:pPr>
        <w:pStyle w:val="ParagraphContinued"/>
      </w:pPr>
      <w:r>
        <w:t>Fo</w:t>
      </w:r>
      <w:r w:rsidR="002E4BFC">
        <w:t>r</w:t>
      </w:r>
      <w:r>
        <w:t xml:space="preserve"> </w:t>
      </w:r>
      <w:r w:rsidR="002E4BFC">
        <w:t xml:space="preserve">additional </w:t>
      </w:r>
      <w:r>
        <w:t>information</w:t>
      </w:r>
      <w:r w:rsidR="002E4BFC">
        <w:t xml:space="preserve"> and guidance</w:t>
      </w:r>
      <w:r>
        <w:t xml:space="preserve"> on implementing eCQM updates for </w:t>
      </w:r>
      <w:r w:rsidR="00415519">
        <w:t xml:space="preserve">2027 </w:t>
      </w:r>
      <w:r>
        <w:t xml:space="preserve">reporting/performance, please refer to the </w:t>
      </w:r>
      <w:hyperlink r:id="rId27">
        <w:r>
          <w:rPr>
            <w:color w:val="0563C1"/>
            <w:u w:val="single"/>
          </w:rPr>
          <w:t>eCQM Implementation Checklist</w:t>
        </w:r>
      </w:hyperlink>
      <w:r>
        <w:t xml:space="preserve"> and the </w:t>
      </w:r>
      <w:hyperlink r:id="rId28">
        <w:r>
          <w:rPr>
            <w:color w:val="0563C1"/>
            <w:u w:val="single"/>
          </w:rPr>
          <w:t>tools, resources, and standards</w:t>
        </w:r>
      </w:hyperlink>
      <w:r>
        <w:t xml:space="preserve"> used by eCQMs provided on the </w:t>
      </w:r>
      <w:hyperlink r:id="rId29">
        <w:r w:rsidR="002E4BFC">
          <w:rPr>
            <w:color w:val="0563C1"/>
            <w:u w:val="single"/>
          </w:rPr>
          <w:t>Electronic Clinical Quality Improvement (eCQI) Resource Center</w:t>
        </w:r>
      </w:hyperlink>
      <w:r>
        <w:t>.</w:t>
      </w:r>
    </w:p>
    <w:p w14:paraId="00000066" w14:textId="77777777" w:rsidR="00D67C8C" w:rsidRDefault="00D67C8C">
      <w:pPr>
        <w:jc w:val="both"/>
        <w:sectPr w:rsidR="00D67C8C">
          <w:headerReference w:type="even" r:id="rId30"/>
          <w:headerReference w:type="default" r:id="rId31"/>
          <w:footerReference w:type="default" r:id="rId32"/>
          <w:headerReference w:type="first" r:id="rId33"/>
          <w:footerReference w:type="first" r:id="rId34"/>
          <w:pgSz w:w="12240" w:h="15840"/>
          <w:pgMar w:top="1440" w:right="1440" w:bottom="1440" w:left="1440" w:header="504" w:footer="504" w:gutter="0"/>
          <w:pgNumType w:start="1"/>
          <w:cols w:space="720"/>
          <w:titlePg/>
        </w:sectPr>
      </w:pPr>
    </w:p>
    <w:p w14:paraId="00000067" w14:textId="2C18F6BC" w:rsidR="00D67C8C" w:rsidRPr="00D81C30" w:rsidRDefault="00D81C30" w:rsidP="00D81C30">
      <w:pPr>
        <w:pStyle w:val="H2-Num"/>
      </w:pPr>
      <w:bookmarkStart w:id="22" w:name="_heading=h.46r0co2" w:colFirst="0" w:colLast="0"/>
      <w:bookmarkStart w:id="23" w:name="_Toc446948743"/>
      <w:bookmarkStart w:id="24" w:name="_Toc23176735"/>
      <w:bookmarkStart w:id="25" w:name="_Toc56635361"/>
      <w:bookmarkStart w:id="26" w:name="_Toc64983044"/>
      <w:bookmarkStart w:id="27" w:name="_Toc159578360"/>
      <w:bookmarkStart w:id="28" w:name="_Toc194958997"/>
      <w:bookmarkStart w:id="29" w:name="_Toc194994734"/>
      <w:bookmarkEnd w:id="22"/>
      <w:r w:rsidRPr="00D81C30">
        <w:lastRenderedPageBreak/>
        <w:t>1.1</w:t>
      </w:r>
      <w:r w:rsidRPr="00D81C30">
        <w:tab/>
      </w:r>
      <w:r w:rsidR="00C80A11" w:rsidRPr="00D81C30">
        <w:t xml:space="preserve">eCQM </w:t>
      </w:r>
      <w:bookmarkEnd w:id="23"/>
      <w:bookmarkEnd w:id="24"/>
      <w:bookmarkEnd w:id="25"/>
      <w:bookmarkEnd w:id="26"/>
      <w:r w:rsidR="00C80A11" w:rsidRPr="00D81C30">
        <w:t>Types</w:t>
      </w:r>
      <w:bookmarkEnd w:id="27"/>
      <w:bookmarkEnd w:id="28"/>
      <w:bookmarkEnd w:id="29"/>
    </w:p>
    <w:p w14:paraId="00000068" w14:textId="4B9C9D70" w:rsidR="00D67C8C" w:rsidRDefault="00C80A11" w:rsidP="0083781F">
      <w:pPr>
        <w:pStyle w:val="ParagraphContinued"/>
      </w:pPr>
      <w:bookmarkStart w:id="30" w:name="_heading=h.111kx3o" w:colFirst="0" w:colLast="0"/>
      <w:bookmarkStart w:id="31" w:name="_Toc64983045"/>
      <w:bookmarkStart w:id="32" w:name="_Toc446948744"/>
      <w:bookmarkStart w:id="33" w:name="_Toc23176736"/>
      <w:bookmarkStart w:id="34" w:name="_Toc56635362"/>
      <w:bookmarkEnd w:id="30"/>
      <w:r>
        <w:t xml:space="preserve">CMS classifies eCQMs based on the unit of analysis—patients or episodes—and the method used to compute the score, whether by proportion, continuous variable, ratio, or </w:t>
      </w:r>
      <w:r w:rsidR="001368E8">
        <w:t>cohort</w:t>
      </w:r>
      <w:r>
        <w:t xml:space="preserve">. This section describes these classifications and provides details on computing eCQMs. </w:t>
      </w:r>
    </w:p>
    <w:p w14:paraId="00000069" w14:textId="39AAFD44" w:rsidR="00D67C8C" w:rsidRDefault="00D81C30" w:rsidP="00D81C30">
      <w:pPr>
        <w:pStyle w:val="H2-Num"/>
      </w:pPr>
      <w:bookmarkStart w:id="35" w:name="_heading=h.3l18frh" w:colFirst="0" w:colLast="0"/>
      <w:bookmarkStart w:id="36" w:name="_Toc159578361"/>
      <w:bookmarkStart w:id="37" w:name="_Toc194958998"/>
      <w:bookmarkStart w:id="38" w:name="_Toc194994735"/>
      <w:bookmarkEnd w:id="35"/>
      <w:r>
        <w:rPr>
          <w:rFonts w:eastAsia="Arial Narrow"/>
        </w:rPr>
        <w:t>1.2</w:t>
      </w:r>
      <w:r>
        <w:rPr>
          <w:rFonts w:eastAsia="Arial Narrow"/>
        </w:rPr>
        <w:tab/>
      </w:r>
      <w:r w:rsidR="00C80A11" w:rsidRPr="005E64B8">
        <w:rPr>
          <w:rFonts w:eastAsia="Arial Narrow"/>
        </w:rPr>
        <w:t xml:space="preserve">Population </w:t>
      </w:r>
      <w:bookmarkEnd w:id="31"/>
      <w:r w:rsidR="00C80A11" w:rsidRPr="005E64B8">
        <w:rPr>
          <w:rFonts w:eastAsia="Arial Narrow"/>
        </w:rPr>
        <w:t>Basis</w:t>
      </w:r>
      <w:bookmarkEnd w:id="36"/>
      <w:bookmarkEnd w:id="37"/>
      <w:bookmarkEnd w:id="38"/>
    </w:p>
    <w:p w14:paraId="0000006A" w14:textId="3197DF7F" w:rsidR="00D67C8C" w:rsidRDefault="00C80A11" w:rsidP="0083781F">
      <w:pPr>
        <w:pStyle w:val="ParagraphContinued"/>
      </w:pPr>
      <w:bookmarkStart w:id="39" w:name="_heading=h.206ipza" w:colFirst="0" w:colLast="0"/>
      <w:bookmarkStart w:id="40" w:name="_Toc64983046"/>
      <w:bookmarkEnd w:id="39"/>
      <w:r>
        <w:t xml:space="preserve">The Guidance section in the header of </w:t>
      </w:r>
      <w:r w:rsidR="002E4BFC">
        <w:t>each eCQM</w:t>
      </w:r>
      <w:r>
        <w:t xml:space="preserve"> includes a statement to indicate whether the eCQM is patient</w:t>
      </w:r>
      <w:r w:rsidR="001E20FF">
        <w:t>-</w:t>
      </w:r>
      <w:r w:rsidR="003769AB">
        <w:t>based</w:t>
      </w:r>
      <w:r>
        <w:t xml:space="preserve"> or episode</w:t>
      </w:r>
      <w:r w:rsidR="001E20FF">
        <w:t>-</w:t>
      </w:r>
      <w:r>
        <w:t>based. This section</w:t>
      </w:r>
      <w:r w:rsidR="00CD13BE">
        <w:t xml:space="preserve"> of the guide</w:t>
      </w:r>
      <w:r>
        <w:t xml:space="preserve"> describes both the patient-based and episode-based eCQMs.</w:t>
      </w:r>
    </w:p>
    <w:p w14:paraId="0000006B" w14:textId="2124AB8F" w:rsidR="00D67C8C" w:rsidRPr="0083781F" w:rsidRDefault="0083781F" w:rsidP="0083781F">
      <w:pPr>
        <w:pStyle w:val="H3-Num"/>
      </w:pPr>
      <w:bookmarkStart w:id="41" w:name="_heading=h.4k668n3" w:colFirst="0" w:colLast="0"/>
      <w:bookmarkStart w:id="42" w:name="_Toc159479981"/>
      <w:bookmarkStart w:id="43" w:name="_Toc159578362"/>
      <w:bookmarkStart w:id="44" w:name="_Toc194994736"/>
      <w:bookmarkEnd w:id="41"/>
      <w:r w:rsidRPr="0083781F">
        <w:t>1.2.1</w:t>
      </w:r>
      <w:r w:rsidRPr="0083781F">
        <w:tab/>
      </w:r>
      <w:r w:rsidR="00C80A11" w:rsidRPr="0083781F">
        <w:t xml:space="preserve">Patient-based </w:t>
      </w:r>
      <w:bookmarkEnd w:id="32"/>
      <w:bookmarkEnd w:id="33"/>
      <w:bookmarkEnd w:id="34"/>
      <w:bookmarkEnd w:id="40"/>
      <w:r w:rsidR="00C80A11" w:rsidRPr="0083781F">
        <w:t>eCQMs</w:t>
      </w:r>
      <w:bookmarkEnd w:id="42"/>
      <w:bookmarkEnd w:id="43"/>
      <w:bookmarkEnd w:id="44"/>
    </w:p>
    <w:p w14:paraId="0000006C" w14:textId="2E68795E" w:rsidR="00D67C8C" w:rsidRDefault="00C80A11" w:rsidP="0083781F">
      <w:pPr>
        <w:pStyle w:val="ParagraphContinued"/>
      </w:pPr>
      <w:r>
        <w:t xml:space="preserve">Patient-based eCQMs evaluate the </w:t>
      </w:r>
      <w:r w:rsidR="0097291D">
        <w:t xml:space="preserve">quality of </w:t>
      </w:r>
      <w:r>
        <w:t xml:space="preserve">care </w:t>
      </w:r>
      <w:r w:rsidR="0097291D">
        <w:t>for individual</w:t>
      </w:r>
      <w:r>
        <w:t xml:space="preserve"> patient</w:t>
      </w:r>
      <w:r w:rsidR="0097291D">
        <w:t>s</w:t>
      </w:r>
      <w:r>
        <w:t xml:space="preserve"> and assign </w:t>
      </w:r>
      <w:r w:rsidR="0097291D">
        <w:t xml:space="preserve">each </w:t>
      </w:r>
      <w:r>
        <w:t>patient to one or more eCQM populations. Most eligible clinician eCQMs are patient</w:t>
      </w:r>
      <w:r w:rsidR="00626499">
        <w:t>-</w:t>
      </w:r>
      <w:r>
        <w:t>based.</w:t>
      </w:r>
    </w:p>
    <w:p w14:paraId="0000006D" w14:textId="79FBAACE" w:rsidR="00D67C8C" w:rsidRDefault="00C80A11" w:rsidP="0083781F">
      <w:pPr>
        <w:pStyle w:val="Paragraph"/>
      </w:pPr>
      <w:r>
        <w:t xml:space="preserve">All information in the patient record referenced in the eCQM should be considered when computing a patient-based measure. The criteria for </w:t>
      </w:r>
      <w:r w:rsidR="0097291D">
        <w:t xml:space="preserve">including a patient in a population </w:t>
      </w:r>
      <w:proofErr w:type="gramStart"/>
      <w:r w:rsidR="0097291D">
        <w:t xml:space="preserve">may </w:t>
      </w:r>
      <w:r>
        <w:t xml:space="preserve"> require</w:t>
      </w:r>
      <w:proofErr w:type="gramEnd"/>
      <w:r>
        <w:t xml:space="preserve"> </w:t>
      </w:r>
      <w:r w:rsidR="0097291D">
        <w:t>data from</w:t>
      </w:r>
      <w:r>
        <w:t xml:space="preserve"> multiple patient encounters or episodes of care. For example, a patient can receive a</w:t>
      </w:r>
      <w:r w:rsidR="0097291D">
        <w:t>n initial</w:t>
      </w:r>
      <w:r>
        <w:t xml:space="preserve"> diagnosis and treatment during one office visit and then have ongoing treatment associated with that same diagnosis </w:t>
      </w:r>
      <w:r w:rsidR="005625DA">
        <w:t>during</w:t>
      </w:r>
      <w:r>
        <w:t xml:space="preserve"> several follow-up visits or episodes of care. </w:t>
      </w:r>
    </w:p>
    <w:p w14:paraId="0000006E" w14:textId="074D932B" w:rsidR="00D67C8C" w:rsidRDefault="00C80A11" w:rsidP="0083781F">
      <w:pPr>
        <w:pStyle w:val="Paragraph"/>
      </w:pPr>
      <w:bookmarkStart w:id="45" w:name="_heading=h.2zbgiuw" w:colFirst="0" w:colLast="0"/>
      <w:bookmarkEnd w:id="45"/>
      <w:r>
        <w:t xml:space="preserve">To identify </w:t>
      </w:r>
      <w:r w:rsidR="002266A4">
        <w:t>which</w:t>
      </w:r>
      <w:r>
        <w:t xml:space="preserve"> patients the measured entity should count in a patient-based eCQM, review the Guidance section of the header and the context of the eCQM </w:t>
      </w:r>
      <w:r w:rsidR="002E4BFC">
        <w:t>l</w:t>
      </w:r>
      <w:r>
        <w:t xml:space="preserve">ogic section. For example, in </w:t>
      </w:r>
      <w:hyperlink r:id="rId35" w:history="1">
        <w:r w:rsidR="00366E21" w:rsidRPr="0063185B">
          <w:rPr>
            <w:rStyle w:val="Hyperlink"/>
          </w:rPr>
          <w:t>CMS124v1</w:t>
        </w:r>
        <w:r w:rsidR="00366E21">
          <w:rPr>
            <w:rStyle w:val="Hyperlink"/>
          </w:rPr>
          <w:t>4</w:t>
        </w:r>
        <w:r w:rsidR="00366E21" w:rsidRPr="0063185B">
          <w:rPr>
            <w:rStyle w:val="Hyperlink"/>
          </w:rPr>
          <w:t>, Cervical Cancer Screening</w:t>
        </w:r>
      </w:hyperlink>
      <w:r>
        <w:rPr>
          <w:i/>
        </w:rPr>
        <w:t xml:space="preserve">, </w:t>
      </w:r>
      <w:r>
        <w:t>patients included in the eCQM are females 24</w:t>
      </w:r>
      <w:r w:rsidR="002266A4">
        <w:t>–</w:t>
      </w:r>
      <w:r>
        <w:t xml:space="preserve">64 years of age by the end of the measurement period with a visit during the measurement period, as defined in the </w:t>
      </w:r>
      <w:proofErr w:type="spellStart"/>
      <w:r>
        <w:t>eCQM’s</w:t>
      </w:r>
      <w:proofErr w:type="spellEnd"/>
      <w:r>
        <w:t xml:space="preserve"> initial population (Figure 1.1)</w:t>
      </w:r>
      <w:r w:rsidR="002266A4">
        <w:t>.</w:t>
      </w:r>
    </w:p>
    <w:p w14:paraId="0000006F" w14:textId="77777777" w:rsidR="00D67C8C" w:rsidRDefault="00C80A11" w:rsidP="0083781F">
      <w:pPr>
        <w:pStyle w:val="FigureTitle"/>
      </w:pPr>
      <w:bookmarkStart w:id="46" w:name="_Toc159578066"/>
      <w:bookmarkStart w:id="47" w:name="_Toc195001992"/>
      <w:r w:rsidRPr="0029452B">
        <w:t xml:space="preserve">Figure 1.1. Initial Population Example </w:t>
      </w:r>
      <w:bookmarkEnd w:id="46"/>
      <w:r w:rsidRPr="0029452B">
        <w:t>for a Patient-based eCQM</w:t>
      </w:r>
      <w:bookmarkEnd w:id="47"/>
    </w:p>
    <w:tbl>
      <w:tblPr>
        <w:tblStyle w:val="GrayCell"/>
        <w:tblW w:w="936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Look w:val="04A0" w:firstRow="1" w:lastRow="0" w:firstColumn="1" w:lastColumn="0" w:noHBand="0" w:noVBand="1"/>
      </w:tblPr>
      <w:tblGrid>
        <w:gridCol w:w="9360"/>
      </w:tblGrid>
      <w:tr w:rsidR="000318CF" w14:paraId="6E727CA8" w14:textId="77777777" w:rsidTr="00754EE7">
        <w:trPr>
          <w:trHeight w:val="1195"/>
        </w:trPr>
        <w:tc>
          <w:tcPr>
            <w:tcW w:w="5000" w:type="pct"/>
            <w:shd w:val="clear" w:color="auto" w:fill="auto"/>
          </w:tcPr>
          <w:p w14:paraId="635AB09A" w14:textId="77777777" w:rsidR="00366E21" w:rsidRPr="00366E21" w:rsidRDefault="00366E21" w:rsidP="00366E21">
            <w:pPr>
              <w:pBdr>
                <w:top w:val="nil"/>
                <w:left w:val="nil"/>
                <w:bottom w:val="nil"/>
                <w:right w:val="nil"/>
                <w:between w:val="nil"/>
              </w:pBdr>
              <w:spacing w:after="60" w:line="240" w:lineRule="auto"/>
              <w:ind w:left="274"/>
              <w:rPr>
                <w:rFonts w:ascii="Verdana" w:eastAsia="Verdana" w:hAnsi="Verdana" w:cs="Times New Roman"/>
                <w:b/>
                <w:color w:val="0000FF"/>
                <w:szCs w:val="24"/>
              </w:rPr>
            </w:pPr>
            <w:r w:rsidRPr="00366E21">
              <w:rPr>
                <w:rFonts w:ascii="Cambria Math" w:eastAsia="Cambria Math" w:hAnsi="Cambria Math" w:cs="Times New Roman"/>
                <w:b/>
                <w:color w:val="0000FF"/>
                <w:szCs w:val="24"/>
              </w:rPr>
              <w:t>◢</w:t>
            </w:r>
            <w:r w:rsidRPr="00366E21">
              <w:rPr>
                <w:rFonts w:ascii="Verdana" w:eastAsia="Verdana" w:hAnsi="Verdana" w:cs="Times New Roman"/>
                <w:b/>
                <w:color w:val="0000FF"/>
                <w:szCs w:val="24"/>
              </w:rPr>
              <w:t xml:space="preserve"> Initial Population</w:t>
            </w:r>
          </w:p>
          <w:p w14:paraId="2935EAC0" w14:textId="77777777" w:rsidR="00366E21" w:rsidRPr="00366E21" w:rsidRDefault="00366E21" w:rsidP="00366E21">
            <w:pPr>
              <w:pBdr>
                <w:top w:val="nil"/>
                <w:left w:val="nil"/>
                <w:bottom w:val="nil"/>
                <w:right w:val="nil"/>
                <w:between w:val="nil"/>
              </w:pBdr>
              <w:spacing w:after="0" w:line="240" w:lineRule="auto"/>
              <w:rPr>
                <w:rFonts w:ascii="Verdana" w:eastAsia="Verdana" w:hAnsi="Verdana" w:cs="Times New Roman"/>
                <w:color w:val="000000"/>
                <w:sz w:val="16"/>
                <w:szCs w:val="28"/>
              </w:rPr>
            </w:pPr>
            <w:r w:rsidRPr="00366E21">
              <w:rPr>
                <w:rFonts w:ascii="Verdana" w:eastAsia="Verdana" w:hAnsi="Verdana" w:cs="Times New Roman"/>
                <w:color w:val="000000"/>
                <w:sz w:val="15"/>
                <w:szCs w:val="24"/>
              </w:rPr>
              <w:tab/>
            </w:r>
            <w:proofErr w:type="spellStart"/>
            <w:proofErr w:type="gramStart"/>
            <w:r w:rsidRPr="00366E21">
              <w:rPr>
                <w:rFonts w:ascii="Verdana" w:eastAsia="Verdana" w:hAnsi="Verdana" w:cs="Times New Roman"/>
                <w:color w:val="000000"/>
                <w:sz w:val="16"/>
                <w:szCs w:val="28"/>
              </w:rPr>
              <w:t>AgeInYearsAt</w:t>
            </w:r>
            <w:proofErr w:type="spellEnd"/>
            <w:r w:rsidRPr="00366E21">
              <w:rPr>
                <w:rFonts w:ascii="Verdana" w:eastAsia="Verdana" w:hAnsi="Verdana" w:cs="Times New Roman"/>
                <w:color w:val="000000"/>
                <w:sz w:val="16"/>
                <w:szCs w:val="28"/>
              </w:rPr>
              <w:t>(</w:t>
            </w:r>
            <w:proofErr w:type="gramEnd"/>
            <w:r w:rsidRPr="00366E21">
              <w:rPr>
                <w:rFonts w:ascii="Verdana" w:eastAsia="Verdana" w:hAnsi="Verdana" w:cs="Times New Roman"/>
                <w:color w:val="000000"/>
                <w:sz w:val="16"/>
                <w:szCs w:val="28"/>
              </w:rPr>
              <w:t>date from</w:t>
            </w:r>
          </w:p>
          <w:p w14:paraId="147B8352" w14:textId="77777777" w:rsidR="00366E21" w:rsidRPr="00366E21" w:rsidRDefault="00366E21" w:rsidP="00366E21">
            <w:pPr>
              <w:pBdr>
                <w:top w:val="nil"/>
                <w:left w:val="nil"/>
                <w:bottom w:val="nil"/>
                <w:right w:val="nil"/>
                <w:between w:val="nil"/>
              </w:pBdr>
              <w:spacing w:after="0" w:line="240" w:lineRule="auto"/>
              <w:rPr>
                <w:rFonts w:ascii="Verdana" w:eastAsia="Verdana" w:hAnsi="Verdana" w:cs="Times New Roman"/>
                <w:color w:val="000000"/>
                <w:sz w:val="16"/>
                <w:szCs w:val="28"/>
              </w:rPr>
            </w:pPr>
            <w:r w:rsidRPr="00366E21">
              <w:rPr>
                <w:rFonts w:ascii="Verdana" w:eastAsia="Verdana" w:hAnsi="Verdana" w:cs="Times New Roman"/>
                <w:color w:val="000000"/>
                <w:sz w:val="16"/>
                <w:szCs w:val="28"/>
              </w:rPr>
              <w:tab/>
              <w:t xml:space="preserve">  end of "Measurement Period"</w:t>
            </w:r>
          </w:p>
          <w:p w14:paraId="6169A3C6" w14:textId="77777777" w:rsidR="00366E21" w:rsidRPr="00366E21" w:rsidRDefault="00366E21" w:rsidP="00366E21">
            <w:pPr>
              <w:pBdr>
                <w:top w:val="nil"/>
                <w:left w:val="nil"/>
                <w:bottom w:val="nil"/>
                <w:right w:val="nil"/>
                <w:between w:val="nil"/>
              </w:pBdr>
              <w:spacing w:after="0" w:line="240" w:lineRule="auto"/>
              <w:rPr>
                <w:rFonts w:ascii="Verdana" w:eastAsia="Verdana" w:hAnsi="Verdana" w:cs="Times New Roman"/>
                <w:color w:val="000000"/>
                <w:sz w:val="16"/>
                <w:szCs w:val="28"/>
              </w:rPr>
            </w:pPr>
            <w:r w:rsidRPr="00366E21">
              <w:rPr>
                <w:rFonts w:ascii="Verdana" w:eastAsia="Verdana" w:hAnsi="Verdana" w:cs="Times New Roman"/>
                <w:color w:val="000000"/>
                <w:sz w:val="16"/>
                <w:szCs w:val="28"/>
              </w:rPr>
              <w:tab/>
            </w:r>
            <w:proofErr w:type="gramStart"/>
            <w:r w:rsidRPr="00366E21">
              <w:rPr>
                <w:rFonts w:ascii="Verdana" w:eastAsia="Verdana" w:hAnsi="Verdana" w:cs="Times New Roman"/>
                <w:color w:val="000000"/>
                <w:sz w:val="16"/>
                <w:szCs w:val="28"/>
              </w:rPr>
              <w:t>)in</w:t>
            </w:r>
            <w:proofErr w:type="gramEnd"/>
            <w:r w:rsidRPr="00366E21">
              <w:rPr>
                <w:rFonts w:ascii="Verdana" w:eastAsia="Verdana" w:hAnsi="Verdana" w:cs="Times New Roman"/>
                <w:color w:val="000000"/>
                <w:sz w:val="16"/>
                <w:szCs w:val="28"/>
              </w:rPr>
              <w:t xml:space="preserve"> </w:t>
            </w:r>
            <w:proofErr w:type="gramStart"/>
            <w:r w:rsidRPr="00366E21">
              <w:rPr>
                <w:rFonts w:ascii="Verdana" w:eastAsia="Verdana" w:hAnsi="Verdana" w:cs="Times New Roman"/>
                <w:color w:val="000000"/>
                <w:sz w:val="16"/>
                <w:szCs w:val="28"/>
              </w:rPr>
              <w:t>Interval[</w:t>
            </w:r>
            <w:proofErr w:type="gramEnd"/>
            <w:r w:rsidRPr="00366E21">
              <w:rPr>
                <w:rFonts w:ascii="Verdana" w:eastAsia="Verdana" w:hAnsi="Verdana" w:cs="Times New Roman"/>
                <w:color w:val="000000"/>
                <w:sz w:val="16"/>
                <w:szCs w:val="28"/>
              </w:rPr>
              <w:t>24, 64]</w:t>
            </w:r>
          </w:p>
          <w:p w14:paraId="2CBCCB9B" w14:textId="77777777" w:rsidR="00366E21" w:rsidRPr="00366E21" w:rsidRDefault="00366E21" w:rsidP="00366E21">
            <w:pPr>
              <w:pBdr>
                <w:top w:val="nil"/>
                <w:left w:val="nil"/>
                <w:bottom w:val="nil"/>
                <w:right w:val="nil"/>
                <w:between w:val="nil"/>
              </w:pBdr>
              <w:spacing w:after="0" w:line="240" w:lineRule="auto"/>
              <w:rPr>
                <w:rFonts w:ascii="Verdana" w:eastAsia="Verdana" w:hAnsi="Verdana" w:cs="Times New Roman"/>
                <w:color w:val="000000"/>
                <w:sz w:val="16"/>
                <w:szCs w:val="28"/>
              </w:rPr>
            </w:pPr>
            <w:r w:rsidRPr="00366E21">
              <w:rPr>
                <w:rFonts w:ascii="Verdana" w:eastAsia="Verdana" w:hAnsi="Verdana" w:cs="Times New Roman"/>
                <w:color w:val="000000"/>
                <w:sz w:val="16"/>
                <w:szCs w:val="28"/>
              </w:rPr>
              <w:tab/>
              <w:t xml:space="preserve">  and exists </w:t>
            </w:r>
            <w:proofErr w:type="gramStart"/>
            <w:r w:rsidRPr="00366E21">
              <w:rPr>
                <w:rFonts w:ascii="Verdana" w:eastAsia="Verdana" w:hAnsi="Verdana" w:cs="Times New Roman"/>
                <w:color w:val="000000"/>
                <w:sz w:val="16"/>
                <w:szCs w:val="28"/>
              </w:rPr>
              <w:t>( [</w:t>
            </w:r>
            <w:proofErr w:type="gramEnd"/>
            <w:r w:rsidRPr="00366E21">
              <w:rPr>
                <w:rFonts w:ascii="Verdana" w:eastAsia="Verdana" w:hAnsi="Verdana" w:cs="Times New Roman"/>
                <w:color w:val="000000"/>
                <w:sz w:val="16"/>
                <w:szCs w:val="28"/>
              </w:rPr>
              <w:t>"Patient Characteristic Sex": "Female"</w:t>
            </w:r>
            <w:proofErr w:type="gramStart"/>
            <w:r w:rsidRPr="00366E21">
              <w:rPr>
                <w:rFonts w:ascii="Verdana" w:eastAsia="Verdana" w:hAnsi="Verdana" w:cs="Times New Roman"/>
                <w:color w:val="000000"/>
                <w:sz w:val="16"/>
                <w:szCs w:val="28"/>
              </w:rPr>
              <w:t>] )</w:t>
            </w:r>
            <w:proofErr w:type="gramEnd"/>
          </w:p>
          <w:p w14:paraId="093FC4ED" w14:textId="244D6DAB" w:rsidR="000318CF" w:rsidRPr="00366E21" w:rsidRDefault="00366E21" w:rsidP="00366E21">
            <w:pPr>
              <w:pBdr>
                <w:top w:val="nil"/>
                <w:left w:val="nil"/>
                <w:bottom w:val="nil"/>
                <w:right w:val="nil"/>
                <w:between w:val="nil"/>
              </w:pBdr>
              <w:spacing w:after="280" w:line="240" w:lineRule="auto"/>
              <w:rPr>
                <w:rFonts w:ascii="Verdana" w:eastAsia="Verdana" w:hAnsi="Verdana" w:cs="Times New Roman"/>
                <w:color w:val="000000"/>
                <w:sz w:val="15"/>
                <w:szCs w:val="24"/>
              </w:rPr>
            </w:pPr>
            <w:r w:rsidRPr="00366E21">
              <w:rPr>
                <w:rFonts w:ascii="Verdana" w:eastAsia="Verdana" w:hAnsi="Verdana" w:cs="Times New Roman"/>
                <w:color w:val="000000"/>
                <w:sz w:val="16"/>
                <w:szCs w:val="28"/>
              </w:rPr>
              <w:tab/>
              <w:t xml:space="preserve">  and exists "Qualifying Encounters"</w:t>
            </w:r>
          </w:p>
        </w:tc>
      </w:tr>
    </w:tbl>
    <w:p w14:paraId="00000076" w14:textId="2509CEDC" w:rsidR="00D67C8C" w:rsidRDefault="0083781F" w:rsidP="0083781F">
      <w:pPr>
        <w:pStyle w:val="H3-Num"/>
      </w:pPr>
      <w:bookmarkStart w:id="48" w:name="_Toc23176737"/>
      <w:bookmarkStart w:id="49" w:name="_Toc56635363"/>
      <w:bookmarkStart w:id="50" w:name="_Toc64983047"/>
      <w:bookmarkStart w:id="51" w:name="_Toc159479982"/>
      <w:bookmarkStart w:id="52" w:name="_Toc159578363"/>
      <w:bookmarkStart w:id="53" w:name="_Toc194994737"/>
      <w:r>
        <w:t>1.2.2</w:t>
      </w:r>
      <w:r>
        <w:tab/>
      </w:r>
      <w:r w:rsidR="00C80A11" w:rsidRPr="005E64B8">
        <w:t xml:space="preserve">Episode-based </w:t>
      </w:r>
      <w:bookmarkEnd w:id="48"/>
      <w:bookmarkEnd w:id="49"/>
      <w:bookmarkEnd w:id="50"/>
      <w:r w:rsidR="00C80A11" w:rsidRPr="005E64B8">
        <w:t>eCQMs</w:t>
      </w:r>
      <w:bookmarkEnd w:id="51"/>
      <w:bookmarkEnd w:id="52"/>
      <w:bookmarkEnd w:id="53"/>
    </w:p>
    <w:p w14:paraId="00000077" w14:textId="2B340961" w:rsidR="00D67C8C" w:rsidRDefault="00C80A11" w:rsidP="0083781F">
      <w:pPr>
        <w:pStyle w:val="ParagraphContinued"/>
      </w:pPr>
      <w:r>
        <w:t>Episode-based eCQMs evaluate the</w:t>
      </w:r>
      <w:r w:rsidR="0097291D">
        <w:t xml:space="preserve"> quality of</w:t>
      </w:r>
      <w:r>
        <w:t xml:space="preserve"> care </w:t>
      </w:r>
      <w:r w:rsidR="0097291D">
        <w:t xml:space="preserve">provided </w:t>
      </w:r>
      <w:r>
        <w:t xml:space="preserve">during </w:t>
      </w:r>
      <w:r w:rsidR="0097291D">
        <w:t xml:space="preserve">a specific </w:t>
      </w:r>
      <w:r w:rsidR="00331D52">
        <w:t>episode of care, such as an encounter or hospitalization. Each episode is assessed individually and assigned to</w:t>
      </w:r>
      <w:r>
        <w:t xml:space="preserve"> one or more eCQM population</w:t>
      </w:r>
      <w:r w:rsidR="005235EE">
        <w:t>s</w:t>
      </w:r>
      <w:r>
        <w:t xml:space="preserve">. </w:t>
      </w:r>
      <w:r w:rsidR="00626499">
        <w:t xml:space="preserve">Most </w:t>
      </w:r>
      <w:r w:rsidR="003E34B9">
        <w:t>hospital</w:t>
      </w:r>
      <w:r w:rsidR="003D6770">
        <w:t xml:space="preserve"> </w:t>
      </w:r>
      <w:r w:rsidR="00672BF5">
        <w:t>-</w:t>
      </w:r>
      <w:r w:rsidR="007A5E49">
        <w:t xml:space="preserve"> </w:t>
      </w:r>
      <w:r w:rsidR="0063185B">
        <w:t>inpatient</w:t>
      </w:r>
      <w:r w:rsidR="007A5E49">
        <w:t xml:space="preserve"> </w:t>
      </w:r>
      <w:r w:rsidR="003D6770">
        <w:t xml:space="preserve">and </w:t>
      </w:r>
      <w:r w:rsidR="007A5E49">
        <w:t xml:space="preserve">hospital </w:t>
      </w:r>
      <w:r w:rsidR="00672BF5">
        <w:t>-</w:t>
      </w:r>
      <w:r w:rsidR="007A5E49">
        <w:t xml:space="preserve"> outpatient </w:t>
      </w:r>
      <w:r w:rsidR="00093261">
        <w:t>eCQMs</w:t>
      </w:r>
      <w:r w:rsidR="003D6770">
        <w:t xml:space="preserve"> are episode-based eCQMs</w:t>
      </w:r>
      <w:r w:rsidR="00093261">
        <w:t>,</w:t>
      </w:r>
      <w:r w:rsidR="003D6770">
        <w:t xml:space="preserve"> </w:t>
      </w:r>
      <w:r>
        <w:t xml:space="preserve">and </w:t>
      </w:r>
      <w:r w:rsidR="00EF4BC7">
        <w:t xml:space="preserve">a few </w:t>
      </w:r>
      <w:r w:rsidR="00382211">
        <w:t>eligible clinician</w:t>
      </w:r>
      <w:r>
        <w:t xml:space="preserve"> eCQMs are episode-based eCQMs.</w:t>
      </w:r>
      <w:r w:rsidR="00F42524">
        <w:t xml:space="preserve"> </w:t>
      </w:r>
    </w:p>
    <w:p w14:paraId="00000078" w14:textId="5166BA9C" w:rsidR="00D67C8C" w:rsidRDefault="00C80A11" w:rsidP="0083781F">
      <w:pPr>
        <w:pStyle w:val="Paragraph"/>
      </w:pPr>
      <w:r>
        <w:t>In an episode-based eCQM, the initial population identifies the episodes of care</w:t>
      </w:r>
      <w:r w:rsidR="00331D52">
        <w:t xml:space="preserve"> to be evaluated</w:t>
      </w:r>
      <w:r>
        <w:t xml:space="preserve">. </w:t>
      </w:r>
      <w:r w:rsidR="00DD54F2">
        <w:t xml:space="preserve">Each </w:t>
      </w:r>
      <w:r>
        <w:t xml:space="preserve">episode is </w:t>
      </w:r>
      <w:r w:rsidR="00DD54F2">
        <w:t>typically defined by a specific event, such as an encounter</w:t>
      </w:r>
      <w:r w:rsidR="000853E2">
        <w:t xml:space="preserve">, and is referenced in populations </w:t>
      </w:r>
      <w:r>
        <w:t>of the eCQM, such as the denominator or the numerator.</w:t>
      </w:r>
    </w:p>
    <w:p w14:paraId="5AC7300D" w14:textId="77777777" w:rsidR="00366E21" w:rsidRPr="00366E21" w:rsidRDefault="00366E21" w:rsidP="00366E21">
      <w:pPr>
        <w:spacing w:before="120" w:after="240" w:line="240" w:lineRule="auto"/>
        <w:rPr>
          <w:rFonts w:ascii="Times New Roman" w:eastAsia="Times New Roman" w:hAnsi="Times New Roman" w:cs="Times New Roman"/>
          <w:sz w:val="24"/>
          <w:szCs w:val="24"/>
        </w:rPr>
      </w:pPr>
      <w:r w:rsidRPr="00366E21">
        <w:rPr>
          <w:rFonts w:ascii="Times New Roman" w:eastAsia="Times New Roman" w:hAnsi="Times New Roman" w:cs="Times New Roman"/>
          <w:sz w:val="24"/>
          <w:szCs w:val="24"/>
        </w:rPr>
        <w:t xml:space="preserve">To identify the encounters or procedures counted in an episode-based eCQM, review the Guidance section of the header and the context of the eCQM logic section. For example, for </w:t>
      </w:r>
      <w:hyperlink r:id="rId36" w:history="1">
        <w:r w:rsidRPr="00366E21">
          <w:rPr>
            <w:rFonts w:ascii="Times New Roman" w:eastAsia="Times New Roman" w:hAnsi="Times New Roman" w:cs="Times New Roman"/>
            <w:color w:val="0563C1"/>
            <w:sz w:val="24"/>
            <w:szCs w:val="24"/>
            <w:u w:val="single"/>
          </w:rPr>
          <w:t>CMS826v3, Hospital Harm - Pressure Injury</w:t>
        </w:r>
      </w:hyperlink>
      <w:r w:rsidRPr="00366E21">
        <w:rPr>
          <w:rFonts w:ascii="Times New Roman" w:eastAsia="Times New Roman" w:hAnsi="Times New Roman" w:cs="Times New Roman"/>
          <w:sz w:val="24"/>
          <w:szCs w:val="24"/>
        </w:rPr>
        <w:t>,</w:t>
      </w:r>
      <w:r w:rsidRPr="00366E21">
        <w:rPr>
          <w:rFonts w:ascii="Times New Roman" w:eastAsia="Times New Roman" w:hAnsi="Times New Roman" w:cs="Times New Roman"/>
          <w:i/>
          <w:sz w:val="24"/>
          <w:szCs w:val="24"/>
        </w:rPr>
        <w:t xml:space="preserve"> </w:t>
      </w:r>
      <w:r w:rsidRPr="00366E21">
        <w:rPr>
          <w:rFonts w:ascii="Times New Roman" w:eastAsia="Times New Roman" w:hAnsi="Times New Roman" w:cs="Times New Roman"/>
          <w:sz w:val="24"/>
          <w:szCs w:val="24"/>
        </w:rPr>
        <w:t>the unit of analysis is an inpatient hospitalization encounter, as defined in the initial population (Figure 1.2).</w:t>
      </w:r>
    </w:p>
    <w:p w14:paraId="268B44A8" w14:textId="77777777" w:rsidR="00366E21" w:rsidRPr="00366E21" w:rsidRDefault="00366E21" w:rsidP="00366E21">
      <w:pPr>
        <w:keepNext/>
        <w:keepLines/>
        <w:spacing w:before="120" w:after="120" w:line="240" w:lineRule="auto"/>
        <w:jc w:val="center"/>
        <w:rPr>
          <w:rFonts w:ascii="Arial Narrow" w:eastAsia="Arial Narrow" w:hAnsi="Arial Narrow" w:cs="Times New Roman"/>
          <w:b/>
          <w:bCs/>
          <w:sz w:val="24"/>
          <w:szCs w:val="24"/>
        </w:rPr>
      </w:pPr>
      <w:bookmarkStart w:id="54" w:name="_Toc159578067"/>
      <w:r w:rsidRPr="00366E21">
        <w:rPr>
          <w:rFonts w:ascii="Arial Narrow" w:eastAsia="Arial Narrow" w:hAnsi="Arial Narrow" w:cs="Times New Roman"/>
          <w:b/>
          <w:bCs/>
          <w:sz w:val="24"/>
          <w:szCs w:val="24"/>
        </w:rPr>
        <w:t xml:space="preserve">Figure 1.2. Initial Population Example </w:t>
      </w:r>
      <w:bookmarkEnd w:id="54"/>
      <w:r w:rsidRPr="00366E21">
        <w:rPr>
          <w:rFonts w:ascii="Arial Narrow" w:eastAsia="Arial Narrow" w:hAnsi="Arial Narrow" w:cs="Times New Roman"/>
          <w:b/>
          <w:bCs/>
          <w:sz w:val="24"/>
          <w:szCs w:val="24"/>
        </w:rPr>
        <w:t>for an Episode-based eCQM</w:t>
      </w:r>
    </w:p>
    <w:tbl>
      <w:tblPr>
        <w:tblStyle w:val="GrayCell"/>
        <w:tblW w:w="9504"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Look w:val="04A0" w:firstRow="1" w:lastRow="0" w:firstColumn="1" w:lastColumn="0" w:noHBand="0" w:noVBand="1"/>
      </w:tblPr>
      <w:tblGrid>
        <w:gridCol w:w="9504"/>
      </w:tblGrid>
      <w:tr w:rsidR="000318CF" w14:paraId="5231439E" w14:textId="77777777" w:rsidTr="000318CF">
        <w:tc>
          <w:tcPr>
            <w:tcW w:w="5000" w:type="pct"/>
            <w:shd w:val="clear" w:color="auto" w:fill="auto"/>
          </w:tcPr>
          <w:p w14:paraId="52F278EA" w14:textId="77777777" w:rsidR="00366E21" w:rsidRPr="00366E21" w:rsidRDefault="00366E21" w:rsidP="00366E21">
            <w:pPr>
              <w:pBdr>
                <w:top w:val="nil"/>
                <w:left w:val="nil"/>
                <w:bottom w:val="nil"/>
                <w:right w:val="nil"/>
                <w:between w:val="nil"/>
              </w:pBdr>
              <w:spacing w:after="60" w:line="240" w:lineRule="auto"/>
              <w:ind w:left="274"/>
              <w:rPr>
                <w:rFonts w:ascii="Verdana" w:eastAsia="Verdana" w:hAnsi="Verdana" w:cs="Times New Roman"/>
                <w:b/>
                <w:color w:val="0000FF"/>
                <w:szCs w:val="24"/>
              </w:rPr>
            </w:pPr>
            <w:r w:rsidRPr="00366E21">
              <w:rPr>
                <w:rFonts w:ascii="Cambria Math" w:eastAsia="Cambria Math" w:hAnsi="Cambria Math" w:cs="Times New Roman"/>
                <w:b/>
                <w:color w:val="0000FF"/>
                <w:szCs w:val="24"/>
              </w:rPr>
              <w:t>◢</w:t>
            </w:r>
            <w:r w:rsidRPr="00366E21">
              <w:rPr>
                <w:rFonts w:ascii="Verdana" w:eastAsia="Verdana" w:hAnsi="Verdana" w:cs="Times New Roman"/>
                <w:b/>
                <w:color w:val="0000FF"/>
                <w:szCs w:val="24"/>
              </w:rPr>
              <w:t xml:space="preserve"> Initial Population</w:t>
            </w:r>
          </w:p>
          <w:p w14:paraId="3B158937" w14:textId="77777777" w:rsidR="00366E21" w:rsidRPr="00366E21" w:rsidRDefault="00366E21" w:rsidP="00366E21">
            <w:pPr>
              <w:spacing w:after="0" w:line="240" w:lineRule="auto"/>
              <w:ind w:left="1080" w:hanging="360"/>
              <w:rPr>
                <w:rFonts w:ascii="Verdana" w:eastAsia="Verdana" w:hAnsi="Verdana" w:cs="Verdana"/>
                <w:color w:val="1A1A1A"/>
                <w:sz w:val="16"/>
                <w:szCs w:val="16"/>
              </w:rPr>
            </w:pPr>
            <w:r w:rsidRPr="00366E21">
              <w:rPr>
                <w:rFonts w:ascii="Verdana" w:eastAsia="Verdana" w:hAnsi="Verdana" w:cs="Verdana"/>
                <w:color w:val="1A1A1A"/>
                <w:sz w:val="16"/>
                <w:szCs w:val="16"/>
              </w:rPr>
              <w:t>"Encounter with Age 18 and Older"</w:t>
            </w:r>
          </w:p>
          <w:p w14:paraId="443DE583" w14:textId="77777777" w:rsidR="00366E21" w:rsidRPr="00366E21" w:rsidRDefault="00366E21" w:rsidP="00366E21">
            <w:pPr>
              <w:spacing w:after="0" w:line="240" w:lineRule="auto"/>
              <w:rPr>
                <w:rFonts w:ascii="Verdana" w:eastAsia="Verdana" w:hAnsi="Verdana" w:cs="Verdana"/>
                <w:color w:val="1A1A1A"/>
                <w:sz w:val="15"/>
                <w:szCs w:val="15"/>
              </w:rPr>
            </w:pPr>
          </w:p>
          <w:p w14:paraId="159AA6F6" w14:textId="77777777" w:rsidR="00366E21" w:rsidRPr="00366E21" w:rsidRDefault="00366E21" w:rsidP="00366E21">
            <w:pPr>
              <w:pBdr>
                <w:top w:val="nil"/>
                <w:left w:val="nil"/>
                <w:bottom w:val="nil"/>
                <w:right w:val="nil"/>
                <w:between w:val="nil"/>
              </w:pBdr>
              <w:spacing w:after="60" w:line="240" w:lineRule="auto"/>
              <w:ind w:left="274"/>
              <w:rPr>
                <w:rFonts w:ascii="Verdana" w:eastAsia="Verdana" w:hAnsi="Verdana" w:cs="Times New Roman"/>
                <w:b/>
                <w:color w:val="0000FF"/>
                <w:szCs w:val="24"/>
              </w:rPr>
            </w:pPr>
            <w:r w:rsidRPr="00366E21">
              <w:rPr>
                <w:rFonts w:ascii="Cambria Math" w:eastAsia="Cambria Math" w:hAnsi="Cambria Math" w:cs="Times New Roman"/>
                <w:b/>
                <w:color w:val="0000FF"/>
                <w:szCs w:val="24"/>
              </w:rPr>
              <w:t>◢</w:t>
            </w:r>
            <w:r w:rsidRPr="00366E21">
              <w:rPr>
                <w:rFonts w:ascii="Verdana" w:eastAsia="Verdana" w:hAnsi="Verdana" w:cs="Times New Roman"/>
                <w:b/>
                <w:color w:val="0000FF"/>
                <w:szCs w:val="24"/>
              </w:rPr>
              <w:t xml:space="preserve"> Encounter with Age 18 and Older</w:t>
            </w:r>
          </w:p>
          <w:p w14:paraId="6903F312" w14:textId="77777777" w:rsidR="00366E21" w:rsidRPr="00366E21" w:rsidRDefault="00366E21" w:rsidP="00366E21">
            <w:pPr>
              <w:spacing w:after="0" w:line="240" w:lineRule="auto"/>
              <w:ind w:left="1080" w:hanging="360"/>
              <w:rPr>
                <w:rFonts w:ascii="Verdana" w:eastAsia="Verdana" w:hAnsi="Verdana" w:cs="Verdana"/>
                <w:color w:val="1A1A1A"/>
                <w:sz w:val="16"/>
                <w:szCs w:val="16"/>
              </w:rPr>
            </w:pPr>
            <w:r w:rsidRPr="00366E21">
              <w:rPr>
                <w:rFonts w:ascii="Verdana" w:eastAsia="Verdana" w:hAnsi="Verdana" w:cs="Verdana"/>
                <w:color w:val="1A1A1A"/>
                <w:sz w:val="16"/>
                <w:szCs w:val="16"/>
              </w:rPr>
              <w:t xml:space="preserve">  ["Encounter, Performed": "Encounter Inpatient"] </w:t>
            </w:r>
            <w:proofErr w:type="spellStart"/>
            <w:r w:rsidRPr="00366E21">
              <w:rPr>
                <w:rFonts w:ascii="Verdana" w:eastAsia="Verdana" w:hAnsi="Verdana" w:cs="Verdana"/>
                <w:color w:val="1A1A1A"/>
                <w:sz w:val="16"/>
                <w:szCs w:val="16"/>
              </w:rPr>
              <w:t>InpatientEncounter</w:t>
            </w:r>
            <w:proofErr w:type="spellEnd"/>
          </w:p>
          <w:p w14:paraId="5790F339" w14:textId="77777777" w:rsidR="00366E21" w:rsidRPr="00366E21" w:rsidRDefault="00366E21" w:rsidP="00366E21">
            <w:pPr>
              <w:spacing w:after="0" w:line="240" w:lineRule="auto"/>
              <w:ind w:left="1080" w:hanging="360"/>
              <w:rPr>
                <w:rFonts w:ascii="Verdana" w:eastAsia="Verdana" w:hAnsi="Verdana" w:cs="Verdana"/>
                <w:color w:val="1A1A1A"/>
                <w:sz w:val="16"/>
                <w:szCs w:val="16"/>
              </w:rPr>
            </w:pPr>
            <w:r w:rsidRPr="00366E21">
              <w:rPr>
                <w:rFonts w:ascii="Verdana" w:eastAsia="Verdana" w:hAnsi="Verdana" w:cs="Verdana"/>
                <w:color w:val="1A1A1A"/>
                <w:sz w:val="16"/>
                <w:szCs w:val="16"/>
              </w:rPr>
              <w:t xml:space="preserve">    where </w:t>
            </w:r>
            <w:proofErr w:type="spellStart"/>
            <w:r w:rsidRPr="00366E21">
              <w:rPr>
                <w:rFonts w:ascii="Verdana" w:eastAsia="Verdana" w:hAnsi="Verdana" w:cs="Verdana"/>
                <w:color w:val="1A1A1A"/>
                <w:sz w:val="16"/>
                <w:szCs w:val="16"/>
              </w:rPr>
              <w:t>InpatientEncounter.relevantPeriod</w:t>
            </w:r>
            <w:proofErr w:type="spellEnd"/>
            <w:r w:rsidRPr="00366E21">
              <w:rPr>
                <w:rFonts w:ascii="Verdana" w:eastAsia="Verdana" w:hAnsi="Verdana" w:cs="Verdana"/>
                <w:color w:val="1A1A1A"/>
                <w:sz w:val="16"/>
                <w:szCs w:val="16"/>
              </w:rPr>
              <w:t xml:space="preserve"> ends during day of "Measurement Period"</w:t>
            </w:r>
          </w:p>
          <w:p w14:paraId="674EB98D" w14:textId="63B03224" w:rsidR="000318CF" w:rsidRPr="00366E21" w:rsidRDefault="00366E21" w:rsidP="00366E21">
            <w:pPr>
              <w:spacing w:after="0" w:line="240" w:lineRule="auto"/>
              <w:ind w:left="1080" w:hanging="360"/>
              <w:rPr>
                <w:rFonts w:ascii="Verdana" w:eastAsia="Verdana" w:hAnsi="Verdana" w:cs="Verdana"/>
                <w:color w:val="1A1A1A"/>
                <w:sz w:val="15"/>
                <w:szCs w:val="15"/>
              </w:rPr>
            </w:pPr>
            <w:r w:rsidRPr="00366E21">
              <w:rPr>
                <w:rFonts w:ascii="Verdana" w:eastAsia="Verdana" w:hAnsi="Verdana" w:cs="Verdana"/>
                <w:color w:val="1A1A1A"/>
                <w:sz w:val="16"/>
                <w:szCs w:val="16"/>
              </w:rPr>
              <w:t xml:space="preserve">      and </w:t>
            </w:r>
            <w:proofErr w:type="spellStart"/>
            <w:proofErr w:type="gramStart"/>
            <w:r w:rsidRPr="00366E21">
              <w:rPr>
                <w:rFonts w:ascii="Verdana" w:eastAsia="Verdana" w:hAnsi="Verdana" w:cs="Verdana"/>
                <w:color w:val="1A1A1A"/>
                <w:sz w:val="16"/>
                <w:szCs w:val="16"/>
              </w:rPr>
              <w:t>AgeInYearsAt</w:t>
            </w:r>
            <w:proofErr w:type="spellEnd"/>
            <w:r w:rsidRPr="00366E21">
              <w:rPr>
                <w:rFonts w:ascii="Verdana" w:eastAsia="Verdana" w:hAnsi="Verdana" w:cs="Verdana"/>
                <w:color w:val="1A1A1A"/>
                <w:sz w:val="16"/>
                <w:szCs w:val="16"/>
              </w:rPr>
              <w:t>(</w:t>
            </w:r>
            <w:proofErr w:type="gramEnd"/>
            <w:r w:rsidRPr="00366E21">
              <w:rPr>
                <w:rFonts w:ascii="Verdana" w:eastAsia="Verdana" w:hAnsi="Verdana" w:cs="Verdana"/>
                <w:color w:val="1A1A1A"/>
                <w:sz w:val="16"/>
                <w:szCs w:val="16"/>
              </w:rPr>
              <w:t xml:space="preserve">date from start of </w:t>
            </w:r>
            <w:proofErr w:type="spellStart"/>
            <w:r w:rsidRPr="00366E21">
              <w:rPr>
                <w:rFonts w:ascii="Verdana" w:eastAsia="Verdana" w:hAnsi="Verdana" w:cs="Verdana"/>
                <w:color w:val="1A1A1A"/>
                <w:sz w:val="16"/>
                <w:szCs w:val="16"/>
              </w:rPr>
              <w:t>InpatientEncounter.relevantPeriod</w:t>
            </w:r>
            <w:proofErr w:type="spellEnd"/>
            <w:r w:rsidRPr="00366E21">
              <w:rPr>
                <w:rFonts w:ascii="Verdana" w:eastAsia="Verdana" w:hAnsi="Verdana" w:cs="Verdana"/>
                <w:color w:val="1A1A1A"/>
                <w:sz w:val="16"/>
                <w:szCs w:val="16"/>
              </w:rPr>
              <w:t>) &gt;= 18</w:t>
            </w:r>
          </w:p>
        </w:tc>
      </w:tr>
    </w:tbl>
    <w:p w14:paraId="0000007E" w14:textId="72C31FEF" w:rsidR="00D67C8C" w:rsidRDefault="00366E21" w:rsidP="000318CF">
      <w:pPr>
        <w:pStyle w:val="ParagraphContinued"/>
      </w:pPr>
      <w:bookmarkStart w:id="55" w:name="_heading=h.1baon6m" w:colFirst="0" w:colLast="0"/>
      <w:bookmarkStart w:id="56" w:name="_Toc91742220"/>
      <w:bookmarkStart w:id="57" w:name="_Toc64983048"/>
      <w:bookmarkStart w:id="58" w:name="_Toc446948745"/>
      <w:bookmarkStart w:id="59" w:name="_Toc23176738"/>
      <w:bookmarkStart w:id="60" w:name="_Toc56635364"/>
      <w:bookmarkEnd w:id="55"/>
      <w:bookmarkEnd w:id="56"/>
      <w:r w:rsidRPr="00366E21">
        <w:t>In this example, the initial population includes all inpatient hospitalization encounters that end during a day of the measurement period in which the patient was 18 years of age or older at the start of the encounter.</w:t>
      </w:r>
      <w:r w:rsidR="00C80A11">
        <w:t xml:space="preserve"> </w:t>
      </w:r>
      <w:r w:rsidR="00331D52">
        <w:t>See footnote for guidance on how to handle swing bed encounters when calculating episode-based eCQMs.</w:t>
      </w:r>
      <w:r w:rsidR="00331D52">
        <w:rPr>
          <w:rStyle w:val="FootnoteReference"/>
        </w:rPr>
        <w:footnoteReference w:id="3"/>
      </w:r>
    </w:p>
    <w:p w14:paraId="0000007F" w14:textId="367BD5D0" w:rsidR="00D67C8C" w:rsidRDefault="004162AA" w:rsidP="004162AA">
      <w:pPr>
        <w:pStyle w:val="H2-Num"/>
      </w:pPr>
      <w:bookmarkStart w:id="61" w:name="_heading=h.3vac5uf" w:colFirst="0" w:colLast="0"/>
      <w:bookmarkStart w:id="62" w:name="_Toc159578364"/>
      <w:bookmarkStart w:id="63" w:name="_Toc194958999"/>
      <w:bookmarkStart w:id="64" w:name="_Toc194994738"/>
      <w:bookmarkEnd w:id="61"/>
      <w:r>
        <w:rPr>
          <w:rFonts w:eastAsia="Arial Narrow"/>
        </w:rPr>
        <w:t>1.3</w:t>
      </w:r>
      <w:r>
        <w:rPr>
          <w:rFonts w:eastAsia="Arial Narrow"/>
        </w:rPr>
        <w:tab/>
      </w:r>
      <w:r w:rsidR="00C80A11" w:rsidRPr="005E64B8">
        <w:rPr>
          <w:rFonts w:eastAsia="Arial Narrow"/>
        </w:rPr>
        <w:t xml:space="preserve">eCQM </w:t>
      </w:r>
      <w:bookmarkEnd w:id="57"/>
      <w:r w:rsidR="00C80A11" w:rsidRPr="005E64B8">
        <w:rPr>
          <w:rFonts w:eastAsia="Arial Narrow"/>
        </w:rPr>
        <w:t>Scoring</w:t>
      </w:r>
      <w:bookmarkEnd w:id="62"/>
      <w:bookmarkEnd w:id="63"/>
      <w:bookmarkEnd w:id="64"/>
    </w:p>
    <w:p w14:paraId="00000080" w14:textId="00E39BE1" w:rsidR="00D67C8C" w:rsidRDefault="004162AA" w:rsidP="004162AA">
      <w:pPr>
        <w:pStyle w:val="H3-Num"/>
      </w:pPr>
      <w:bookmarkStart w:id="65" w:name="_heading=h.2afmg28" w:colFirst="0" w:colLast="0"/>
      <w:bookmarkStart w:id="66" w:name="_Toc64983049"/>
      <w:bookmarkStart w:id="67" w:name="_Toc159479984"/>
      <w:bookmarkStart w:id="68" w:name="_Toc159578365"/>
      <w:bookmarkStart w:id="69" w:name="_Toc194994739"/>
      <w:bookmarkStart w:id="70" w:name="_Hlk157959854"/>
      <w:bookmarkEnd w:id="58"/>
      <w:bookmarkEnd w:id="59"/>
      <w:bookmarkEnd w:id="60"/>
      <w:bookmarkEnd w:id="65"/>
      <w:r>
        <w:t>1.3.1</w:t>
      </w:r>
      <w:r>
        <w:tab/>
      </w:r>
      <w:r w:rsidR="00C80A11" w:rsidRPr="005E64B8">
        <w:t>Proportion eCQMs</w:t>
      </w:r>
      <w:bookmarkEnd w:id="66"/>
      <w:bookmarkEnd w:id="67"/>
      <w:bookmarkEnd w:id="68"/>
      <w:bookmarkEnd w:id="69"/>
    </w:p>
    <w:p w14:paraId="00000081" w14:textId="258FA710" w:rsidR="00D67C8C" w:rsidRDefault="00C80A11" w:rsidP="004162AA">
      <w:pPr>
        <w:pStyle w:val="ParagraphContinued"/>
      </w:pPr>
      <w:r>
        <w:t xml:space="preserve">Most of the eCQMs in current CMS reporting programs are proportion </w:t>
      </w:r>
      <w:r w:rsidR="00853DFD">
        <w:t>measures</w:t>
      </w:r>
      <w:r>
        <w:t xml:space="preserve">. </w:t>
      </w:r>
      <w:r w:rsidR="00F90E3A" w:rsidRPr="00F90E3A">
        <w:t>A proportion measure calculates the percentage of eligible patients or episodes that meet a criterion for quality (numerator) by the number of eligible cases within a given time frame (denominator) where the numerator cases are a subset of the denominator cases.</w:t>
      </w:r>
      <w:r w:rsidR="009E08F5">
        <w:t xml:space="preserve"> A complete list of proportion eCQMs by reporting/performance period can be found on the </w:t>
      </w:r>
      <w:hyperlink r:id="rId37" w:history="1">
        <w:r w:rsidR="009E08F5" w:rsidRPr="009E08F5">
          <w:rPr>
            <w:rStyle w:val="Hyperlink"/>
          </w:rPr>
          <w:t>eCQI Resource Center</w:t>
        </w:r>
      </w:hyperlink>
      <w:r w:rsidR="009E08F5">
        <w:t>.</w:t>
      </w:r>
    </w:p>
    <w:p w14:paraId="00000082" w14:textId="02339630" w:rsidR="00D67C8C" w:rsidRDefault="00C80A11" w:rsidP="004162AA">
      <w:pPr>
        <w:pStyle w:val="Paragraph"/>
      </w:pPr>
      <w:r>
        <w:t>The populations defined by a proportion measure include</w:t>
      </w:r>
      <w:r w:rsidR="002266A4">
        <w:t xml:space="preserve"> the following</w:t>
      </w:r>
      <w:r>
        <w:t>:</w:t>
      </w:r>
      <w:r>
        <w:rPr>
          <w:vertAlign w:val="superscript"/>
        </w:rPr>
        <w:footnoteReference w:id="4"/>
      </w:r>
      <w:r>
        <w:t xml:space="preserve"> </w:t>
      </w:r>
    </w:p>
    <w:p w14:paraId="00000083" w14:textId="28C7F930" w:rsidR="00D67C8C" w:rsidRDefault="00C80A11" w:rsidP="004162AA">
      <w:pPr>
        <w:pStyle w:val="ListBullet"/>
      </w:pPr>
      <w:r w:rsidRPr="004162AA">
        <w:rPr>
          <w:rStyle w:val="RunIn"/>
        </w:rPr>
        <w:t xml:space="preserve">Initial </w:t>
      </w:r>
      <w:r w:rsidR="007F083A" w:rsidRPr="004162AA">
        <w:rPr>
          <w:rStyle w:val="RunIn"/>
        </w:rPr>
        <w:t xml:space="preserve">population </w:t>
      </w:r>
      <w:r w:rsidRPr="004162AA">
        <w:rPr>
          <w:rStyle w:val="RunIn"/>
        </w:rPr>
        <w:t xml:space="preserve">(IP): </w:t>
      </w:r>
      <w:r w:rsidR="005F7859" w:rsidRPr="005F7859">
        <w:t xml:space="preserve">The starting group of patients or care episodes </w:t>
      </w:r>
      <w:r w:rsidR="006B3BA1" w:rsidRPr="006B3BA1">
        <w:t xml:space="preserve">eligible for inclusion in a measure before denominator and numerator criteria are applied. It establishes the scope of evaluation based on characteristics such as age, diagnoses, procedures, or encounter types occurring during the measurement period. </w:t>
      </w:r>
    </w:p>
    <w:p w14:paraId="00000084" w14:textId="3FA470C9" w:rsidR="00D67C8C" w:rsidRDefault="00C80A11" w:rsidP="004162AA">
      <w:pPr>
        <w:pStyle w:val="ListBullet"/>
      </w:pPr>
      <w:r w:rsidRPr="004162AA">
        <w:rPr>
          <w:rStyle w:val="RunIn"/>
        </w:rPr>
        <w:t xml:space="preserve">Denominator (DENOM): </w:t>
      </w:r>
      <w:r w:rsidR="003E1B2E">
        <w:t>T</w:t>
      </w:r>
      <w:r w:rsidR="005F7859" w:rsidRPr="005F7859">
        <w:t xml:space="preserve">he group of patients or episodes used as the </w:t>
      </w:r>
      <w:r w:rsidR="003E1B2E">
        <w:t>lower</w:t>
      </w:r>
      <w:r w:rsidR="005F7859" w:rsidRPr="005F7859">
        <w:t xml:space="preserve"> part of the </w:t>
      </w:r>
      <w:r w:rsidR="00451133">
        <w:t xml:space="preserve">fraction for </w:t>
      </w:r>
      <w:r w:rsidR="005F7859" w:rsidRPr="005F7859">
        <w:t>rate calculation. It may be the same as the initial population or a smaller subset, depending on the specific goals of the measure.</w:t>
      </w:r>
    </w:p>
    <w:p w14:paraId="00000085" w14:textId="56A9764B" w:rsidR="00D67C8C" w:rsidRDefault="00C80A11" w:rsidP="000853E2">
      <w:pPr>
        <w:pStyle w:val="ListBullet"/>
      </w:pPr>
      <w:r w:rsidRPr="004162AA">
        <w:rPr>
          <w:rStyle w:val="RunIn"/>
        </w:rPr>
        <w:t xml:space="preserve">Denominator </w:t>
      </w:r>
      <w:r w:rsidR="007F083A" w:rsidRPr="004162AA">
        <w:rPr>
          <w:rStyle w:val="RunIn"/>
        </w:rPr>
        <w:t xml:space="preserve">exclusions </w:t>
      </w:r>
      <w:r w:rsidRPr="004162AA">
        <w:rPr>
          <w:rStyle w:val="RunIn"/>
        </w:rPr>
        <w:t xml:space="preserve">(DENEX): </w:t>
      </w:r>
      <w:r w:rsidR="000853E2" w:rsidRPr="000853E2">
        <w:rPr>
          <w:rStyle w:val="RunIn"/>
          <w:b w:val="0"/>
          <w:bCs/>
        </w:rPr>
        <w:t>The group of patients or episodes that should be removed from the denominator before checking if they meet the quality criteria of the numerator.</w:t>
      </w:r>
      <w:r w:rsidR="000853E2">
        <w:rPr>
          <w:rStyle w:val="RunIn"/>
          <w:b w:val="0"/>
          <w:bCs/>
        </w:rPr>
        <w:t xml:space="preserve"> Example: A patient with both legs amputated would be excluded from a measure about foot exams.</w:t>
      </w:r>
    </w:p>
    <w:p w14:paraId="00000086" w14:textId="4F7B6BFB" w:rsidR="00D67C8C" w:rsidRDefault="00C80A11" w:rsidP="00DA33BC">
      <w:pPr>
        <w:pStyle w:val="ListBullet"/>
        <w:numPr>
          <w:ilvl w:val="0"/>
          <w:numId w:val="53"/>
        </w:numPr>
        <w:ind w:left="720"/>
      </w:pPr>
      <w:r w:rsidRPr="004162AA">
        <w:rPr>
          <w:rStyle w:val="RunIn"/>
        </w:rPr>
        <w:t xml:space="preserve">Numerator (NUMER): </w:t>
      </w:r>
      <w:bookmarkStart w:id="71" w:name="_Hlk214286011"/>
      <w:r w:rsidR="003E1B2E">
        <w:t>The</w:t>
      </w:r>
      <w:r w:rsidR="005F7859">
        <w:t xml:space="preserve"> group of patients or episodes </w:t>
      </w:r>
      <w:r w:rsidR="005F4E20">
        <w:t xml:space="preserve">that meet the measure’s quality criterion, such as receiving a specific treatment or experiencing a defined </w:t>
      </w:r>
      <w:r w:rsidR="005F4E20">
        <w:lastRenderedPageBreak/>
        <w:t>outcome</w:t>
      </w:r>
      <w:bookmarkEnd w:id="71"/>
      <w:r w:rsidR="005F7859">
        <w:t xml:space="preserve">. It makes up the </w:t>
      </w:r>
      <w:r w:rsidR="003E1B2E">
        <w:t>upper</w:t>
      </w:r>
      <w:r w:rsidR="005F7859">
        <w:t xml:space="preserve"> part of the </w:t>
      </w:r>
      <w:r w:rsidR="00451133">
        <w:t xml:space="preserve">fraction for </w:t>
      </w:r>
      <w:r w:rsidR="005F7859">
        <w:t>rate</w:t>
      </w:r>
      <w:r w:rsidR="00451133">
        <w:t xml:space="preserve"> calculation</w:t>
      </w:r>
      <w:r w:rsidR="00E9012B">
        <w:t xml:space="preserve"> and</w:t>
      </w:r>
      <w:r w:rsidR="005F7859">
        <w:t xml:space="preserve"> describes the clinical action or outcome being measured.</w:t>
      </w:r>
    </w:p>
    <w:p w14:paraId="2256F616" w14:textId="02B4624A" w:rsidR="005F7859" w:rsidRDefault="00C80A11" w:rsidP="005F7859">
      <w:pPr>
        <w:pStyle w:val="ListBullet"/>
      </w:pPr>
      <w:r w:rsidRPr="004162AA">
        <w:rPr>
          <w:rStyle w:val="RunIn"/>
        </w:rPr>
        <w:t xml:space="preserve">Denominator </w:t>
      </w:r>
      <w:r w:rsidR="007F083A" w:rsidRPr="004162AA">
        <w:rPr>
          <w:rStyle w:val="RunIn"/>
        </w:rPr>
        <w:t>e</w:t>
      </w:r>
      <w:r w:rsidRPr="004162AA">
        <w:rPr>
          <w:rStyle w:val="RunIn"/>
        </w:rPr>
        <w:t xml:space="preserve">xceptions (DEXCEP): </w:t>
      </w:r>
      <w:bookmarkStart w:id="72" w:name="_Hlk214286193"/>
      <w:r w:rsidR="003E1B2E">
        <w:t>The group of patients or episodes that should be removed</w:t>
      </w:r>
      <w:r w:rsidR="005F7859">
        <w:t xml:space="preserve"> from the denominator only if they did</w:t>
      </w:r>
      <w:r w:rsidR="00FE78AE">
        <w:t xml:space="preserve"> not</w:t>
      </w:r>
      <w:r w:rsidR="005F7859">
        <w:t xml:space="preserve"> meet the numerator</w:t>
      </w:r>
      <w:r w:rsidR="00FE78AE">
        <w:t xml:space="preserve"> criteria</w:t>
      </w:r>
      <w:r w:rsidR="005F7859">
        <w:t xml:space="preserve"> and had a valid reason</w:t>
      </w:r>
      <w:r w:rsidR="00BD3AB1">
        <w:t xml:space="preserve"> for not meeting the numerator criteria</w:t>
      </w:r>
      <w:r w:rsidR="005F7859">
        <w:t>.</w:t>
      </w:r>
      <w:r w:rsidR="003E1B2E">
        <w:t xml:space="preserve"> Used only in proportion measures</w:t>
      </w:r>
      <w:r w:rsidR="00BD3AB1">
        <w:t xml:space="preserve">, </w:t>
      </w:r>
      <w:r w:rsidR="00BD3AB1" w:rsidRPr="00BD3AB1">
        <w:t>these exceptions reflect clinical judgement when care was considered b</w:t>
      </w:r>
      <w:r w:rsidR="00BD3AB1">
        <w:t>ut</w:t>
      </w:r>
      <w:r w:rsidR="00BD3AB1" w:rsidRPr="00BD3AB1">
        <w:t xml:space="preserve"> not provided for an appropriate reason</w:t>
      </w:r>
      <w:r w:rsidR="003E1B2E">
        <w:t xml:space="preserve">. </w:t>
      </w:r>
      <w:bookmarkEnd w:id="72"/>
    </w:p>
    <w:p w14:paraId="7D2B737E" w14:textId="77777777" w:rsidR="005F7859" w:rsidRDefault="005F7859" w:rsidP="00E346E5">
      <w:pPr>
        <w:pStyle w:val="ListBullet"/>
        <w:numPr>
          <w:ilvl w:val="0"/>
          <w:numId w:val="0"/>
        </w:numPr>
        <w:ind w:left="720"/>
      </w:pPr>
      <w:r>
        <w:t>Valid reasons include:</w:t>
      </w:r>
    </w:p>
    <w:p w14:paraId="06FAB03F" w14:textId="019A250D" w:rsidR="005F7859" w:rsidRDefault="005F7859" w:rsidP="00DA33BC">
      <w:pPr>
        <w:pStyle w:val="ListBullet"/>
        <w:numPr>
          <w:ilvl w:val="0"/>
          <w:numId w:val="51"/>
        </w:numPr>
      </w:pPr>
      <w:r>
        <w:t>Medical (e.g., allergy or contraindication)</w:t>
      </w:r>
    </w:p>
    <w:p w14:paraId="5A4823F2" w14:textId="04B61F90" w:rsidR="005F7859" w:rsidRDefault="005F7859" w:rsidP="00DA33BC">
      <w:pPr>
        <w:pStyle w:val="ListBullet"/>
        <w:numPr>
          <w:ilvl w:val="0"/>
          <w:numId w:val="51"/>
        </w:numPr>
      </w:pPr>
      <w:r>
        <w:t>Patient (e.g., refusal)</w:t>
      </w:r>
    </w:p>
    <w:p w14:paraId="1C97EA8F" w14:textId="31A9DF42" w:rsidR="005F7859" w:rsidRDefault="005F7859" w:rsidP="00DA33BC">
      <w:pPr>
        <w:pStyle w:val="ListBullet"/>
        <w:numPr>
          <w:ilvl w:val="0"/>
          <w:numId w:val="51"/>
        </w:numPr>
      </w:pPr>
      <w:r>
        <w:t>System (e.g., unavailable services)</w:t>
      </w:r>
    </w:p>
    <w:p w14:paraId="2902CF09" w14:textId="26A64956" w:rsidR="00BD3AB1" w:rsidRDefault="00BD3AB1" w:rsidP="006E4951">
      <w:pPr>
        <w:pStyle w:val="ListBullet"/>
        <w:numPr>
          <w:ilvl w:val="0"/>
          <w:numId w:val="0"/>
        </w:numPr>
        <w:ind w:left="720"/>
      </w:pPr>
      <w:r>
        <w:rPr>
          <w:rStyle w:val="RunIn"/>
          <w:b w:val="0"/>
          <w:bCs/>
        </w:rPr>
        <w:t>These exceptions prevent unfair scoring when care was not provided for acceptable reasons.</w:t>
      </w:r>
    </w:p>
    <w:p w14:paraId="7601E640" w14:textId="573C198C" w:rsidR="005F7859" w:rsidRPr="00E346E5" w:rsidRDefault="00C80A11" w:rsidP="005F7859">
      <w:pPr>
        <w:pStyle w:val="ListBullet"/>
        <w:rPr>
          <w:rStyle w:val="RunIn"/>
          <w:b w:val="0"/>
          <w:bCs/>
        </w:rPr>
      </w:pPr>
      <w:r w:rsidRPr="004162AA">
        <w:rPr>
          <w:rStyle w:val="RunIn"/>
        </w:rPr>
        <w:t xml:space="preserve">Numerator </w:t>
      </w:r>
      <w:r w:rsidR="007F083A" w:rsidRPr="004162AA">
        <w:rPr>
          <w:rStyle w:val="RunIn"/>
        </w:rPr>
        <w:t>e</w:t>
      </w:r>
      <w:r w:rsidRPr="004162AA">
        <w:rPr>
          <w:rStyle w:val="RunIn"/>
        </w:rPr>
        <w:t>xclusion</w:t>
      </w:r>
      <w:r w:rsidR="007F083A" w:rsidRPr="004162AA">
        <w:rPr>
          <w:rStyle w:val="RunIn"/>
        </w:rPr>
        <w:t>s</w:t>
      </w:r>
      <w:r w:rsidRPr="004162AA">
        <w:rPr>
          <w:rStyle w:val="RunIn"/>
        </w:rPr>
        <w:t xml:space="preserve"> (NUMEX): </w:t>
      </w:r>
      <w:bookmarkStart w:id="73" w:name="_Hlk214286338"/>
      <w:bookmarkStart w:id="74" w:name="_Hlk194478691"/>
      <w:r w:rsidR="003E1B2E">
        <w:rPr>
          <w:rStyle w:val="RunIn"/>
          <w:b w:val="0"/>
          <w:bCs/>
        </w:rPr>
        <w:t xml:space="preserve">The group of patients or episodes that </w:t>
      </w:r>
      <w:r w:rsidR="00BD3AB1">
        <w:rPr>
          <w:rStyle w:val="RunIn"/>
          <w:b w:val="0"/>
          <w:bCs/>
        </w:rPr>
        <w:t>meet the numerator criteria but should be removed due to specific exclusion rules defined in the measure.</w:t>
      </w:r>
      <w:bookmarkEnd w:id="73"/>
      <w:r w:rsidR="00BD3AB1">
        <w:rPr>
          <w:rStyle w:val="RunIn"/>
          <w:b w:val="0"/>
          <w:bCs/>
        </w:rPr>
        <w:t xml:space="preserve"> </w:t>
      </w:r>
      <w:r w:rsidR="003E1B2E">
        <w:rPr>
          <w:rStyle w:val="RunIn"/>
          <w:b w:val="0"/>
          <w:bCs/>
        </w:rPr>
        <w:t>Used in proportion and ratio measures.</w:t>
      </w:r>
    </w:p>
    <w:p w14:paraId="00000088" w14:textId="5CDB82D7" w:rsidR="00D67C8C" w:rsidRDefault="005F7859" w:rsidP="00E346E5">
      <w:pPr>
        <w:pStyle w:val="ListBullet"/>
        <w:numPr>
          <w:ilvl w:val="0"/>
          <w:numId w:val="0"/>
        </w:numPr>
        <w:ind w:left="720"/>
      </w:pPr>
      <w:r w:rsidRPr="00E346E5">
        <w:rPr>
          <w:rStyle w:val="RunIn"/>
          <w:b w:val="0"/>
          <w:bCs/>
        </w:rPr>
        <w:t>Example: A planned hospital readmission might be excluded from a measure tracking unplanned readmissions.</w:t>
      </w:r>
      <w:bookmarkEnd w:id="74"/>
    </w:p>
    <w:p w14:paraId="00000089" w14:textId="77777777" w:rsidR="00D67C8C" w:rsidRDefault="00C80A11" w:rsidP="00FE4E10">
      <w:pPr>
        <w:pStyle w:val="ParagraphContinued"/>
      </w:pPr>
      <w:bookmarkStart w:id="75" w:name="_heading=h.pkwqa1" w:colFirst="0" w:colLast="0"/>
      <w:bookmarkStart w:id="76" w:name="_Hlk157957858"/>
      <w:bookmarkEnd w:id="70"/>
      <w:bookmarkEnd w:id="75"/>
      <w:r>
        <w:t>To compute a proportion measure:</w:t>
      </w:r>
    </w:p>
    <w:p w14:paraId="0000008A" w14:textId="1729C8B4" w:rsidR="00D67C8C" w:rsidRDefault="00C80A11" w:rsidP="00FE4E10">
      <w:pPr>
        <w:pStyle w:val="ListBullet"/>
      </w:pPr>
      <w:r w:rsidRPr="005E64B8">
        <w:rPr>
          <w:color w:val="000000"/>
        </w:rPr>
        <w:t xml:space="preserve">Identify the patients or episodes of care in the </w:t>
      </w:r>
      <w:r w:rsidR="000B5335">
        <w:rPr>
          <w:color w:val="000000"/>
        </w:rPr>
        <w:t>IP</w:t>
      </w:r>
      <w:r w:rsidRPr="005E64B8">
        <w:rPr>
          <w:color w:val="000000"/>
        </w:rPr>
        <w:t xml:space="preserve"> using the initial population criteria.</w:t>
      </w:r>
    </w:p>
    <w:p w14:paraId="0000008B" w14:textId="65DE2B37" w:rsidR="00D67C8C" w:rsidRDefault="00C80A11" w:rsidP="00FE4E10">
      <w:pPr>
        <w:pStyle w:val="ListBullet"/>
      </w:pPr>
      <w:r w:rsidRPr="005E64B8">
        <w:rPr>
          <w:color w:val="000000"/>
        </w:rPr>
        <w:t xml:space="preserve">Refine the </w:t>
      </w:r>
      <w:r w:rsidR="0085645E">
        <w:rPr>
          <w:color w:val="000000"/>
        </w:rPr>
        <w:t>IP</w:t>
      </w:r>
      <w:r w:rsidRPr="005E64B8">
        <w:rPr>
          <w:color w:val="000000"/>
        </w:rPr>
        <w:t xml:space="preserve"> by applying denominator criteria to identify the </w:t>
      </w:r>
      <w:r w:rsidR="000B5335">
        <w:rPr>
          <w:color w:val="000000"/>
        </w:rPr>
        <w:t>DENOM cases</w:t>
      </w:r>
      <w:r w:rsidRPr="005E64B8">
        <w:rPr>
          <w:color w:val="000000"/>
        </w:rPr>
        <w:t>.</w:t>
      </w:r>
    </w:p>
    <w:p w14:paraId="0000008C" w14:textId="5DC0ACC3" w:rsidR="00D67C8C" w:rsidRDefault="00C80A11" w:rsidP="00FE4E10">
      <w:pPr>
        <w:pStyle w:val="ListBullet"/>
      </w:pPr>
      <w:r w:rsidRPr="005E64B8">
        <w:rPr>
          <w:color w:val="000000"/>
        </w:rPr>
        <w:t xml:space="preserve">Review </w:t>
      </w:r>
      <w:r w:rsidR="000B5335">
        <w:rPr>
          <w:color w:val="000000"/>
        </w:rPr>
        <w:t>DENOM</w:t>
      </w:r>
      <w:r w:rsidRPr="005E64B8">
        <w:rPr>
          <w:color w:val="000000"/>
        </w:rPr>
        <w:t xml:space="preserve"> cases against denominator exclusion criteria. If a case meets denominator exclusion criteria, label it as DENEX and remove it from consideration for the </w:t>
      </w:r>
      <w:r w:rsidR="0085645E">
        <w:rPr>
          <w:color w:val="000000"/>
        </w:rPr>
        <w:t>NUMER</w:t>
      </w:r>
      <w:r w:rsidRPr="005E64B8">
        <w:rPr>
          <w:color w:val="000000"/>
        </w:rPr>
        <w:t>.</w:t>
      </w:r>
    </w:p>
    <w:p w14:paraId="0000008D" w14:textId="3DDE2B00" w:rsidR="00D67C8C" w:rsidRDefault="00C80A11" w:rsidP="00FE4E10">
      <w:pPr>
        <w:pStyle w:val="ListBullet"/>
      </w:pPr>
      <w:r>
        <w:rPr>
          <w:color w:val="000000"/>
        </w:rPr>
        <w:t>Assess all remaining cases</w:t>
      </w:r>
      <w:r w:rsidR="00D839D5">
        <w:rPr>
          <w:color w:val="000000"/>
        </w:rPr>
        <w:t>—</w:t>
      </w:r>
      <w:r>
        <w:rPr>
          <w:color w:val="000000"/>
        </w:rPr>
        <w:t xml:space="preserve">all </w:t>
      </w:r>
      <w:r w:rsidR="000B5335">
        <w:rPr>
          <w:color w:val="000000"/>
        </w:rPr>
        <w:t>DENOM</w:t>
      </w:r>
      <w:r>
        <w:rPr>
          <w:color w:val="000000"/>
        </w:rPr>
        <w:t xml:space="preserve"> cases that do not meet denominator exclusion criteria</w:t>
      </w:r>
      <w:r w:rsidR="00D839D5">
        <w:rPr>
          <w:color w:val="000000"/>
        </w:rPr>
        <w:t>—</w:t>
      </w:r>
      <w:r>
        <w:rPr>
          <w:color w:val="000000"/>
        </w:rPr>
        <w:t>against the numerator criteria. Label all cases meeting the numerator requirements as NUMER.</w:t>
      </w:r>
    </w:p>
    <w:p w14:paraId="0000008E" w14:textId="2FD41A75" w:rsidR="00D67C8C" w:rsidRDefault="00C80A11" w:rsidP="00FE4E10">
      <w:pPr>
        <w:pStyle w:val="ListBullet"/>
      </w:pPr>
      <w:r>
        <w:rPr>
          <w:color w:val="000000"/>
        </w:rPr>
        <w:t>Identify cases that do not meet numerator requirements and assess them against denominator exception requirements. If a case meets denominator exception requirements, then label the case as DEXCEP.</w:t>
      </w:r>
    </w:p>
    <w:p w14:paraId="0000008F" w14:textId="33DE64E5" w:rsidR="00D67C8C" w:rsidRDefault="00C80A11" w:rsidP="00FE4E10">
      <w:pPr>
        <w:pStyle w:val="ListBullet"/>
        <w:rPr>
          <w:color w:val="000000"/>
        </w:rPr>
      </w:pPr>
      <w:r>
        <w:rPr>
          <w:color w:val="000000"/>
        </w:rPr>
        <w:t>Identify cases meeting numerator requirements and evaluate them against the numerator exclusion requirements. If a case meets the numerator exclusions, then label the case as NUMEX.</w:t>
      </w:r>
      <w:r>
        <w:t xml:space="preserve">     </w:t>
      </w:r>
    </w:p>
    <w:p w14:paraId="00000091" w14:textId="3BABED9C" w:rsidR="00D67C8C" w:rsidRPr="00C135DF" w:rsidRDefault="00FE4E10" w:rsidP="00C135DF">
      <w:pPr>
        <w:pStyle w:val="H4-Num"/>
      </w:pPr>
      <w:bookmarkStart w:id="77" w:name="_Toc188366450"/>
      <w:bookmarkEnd w:id="76"/>
      <w:r w:rsidRPr="00C135DF">
        <w:t>1.3.1.1</w:t>
      </w:r>
      <w:r w:rsidRPr="00C135DF">
        <w:tab/>
      </w:r>
      <w:r w:rsidR="00C80A11" w:rsidRPr="00C135DF">
        <w:t>Reporting Stratification</w:t>
      </w:r>
      <w:bookmarkEnd w:id="77"/>
    </w:p>
    <w:p w14:paraId="00000092" w14:textId="6C374D4A" w:rsidR="00D67C8C" w:rsidRDefault="00C80A11" w:rsidP="00FE4E10">
      <w:pPr>
        <w:pStyle w:val="ParagraphContinued"/>
      </w:pPr>
      <w:r>
        <w:t xml:space="preserve">Proportion eCQMs might also have reporting strata defined for an eCQM. Strata are variables defining a subdivision of the eCQM </w:t>
      </w:r>
      <w:r w:rsidR="00E3379D">
        <w:t xml:space="preserve">populations </w:t>
      </w:r>
      <w:r>
        <w:t xml:space="preserve">for reporting, </w:t>
      </w:r>
      <w:r w:rsidR="009A2F99">
        <w:t>such as</w:t>
      </w:r>
      <w:r>
        <w:t xml:space="preserve"> reporting separately by age group</w:t>
      </w:r>
      <w:r w:rsidR="009A2F99">
        <w:t xml:space="preserve"> (</w:t>
      </w:r>
      <w:r w:rsidR="00042323">
        <w:t>for example</w:t>
      </w:r>
      <w:r w:rsidR="009A2F99">
        <w:t xml:space="preserve">, </w:t>
      </w:r>
      <w:r>
        <w:t>14-19, 20-25</w:t>
      </w:r>
      <w:r w:rsidR="009A2F99">
        <w:t>)</w:t>
      </w:r>
      <w:r>
        <w:t xml:space="preserve">. For eCQMs, the human-readable document includes a </w:t>
      </w:r>
      <w:r w:rsidR="0085645E">
        <w:t>S</w:t>
      </w:r>
      <w:r>
        <w:t xml:space="preserve">tratification </w:t>
      </w:r>
      <w:r w:rsidR="008E02FA">
        <w:t xml:space="preserve">narrative </w:t>
      </w:r>
      <w:r>
        <w:t>section</w:t>
      </w:r>
      <w:r w:rsidR="00682288">
        <w:t xml:space="preserve"> in the measure header</w:t>
      </w:r>
      <w:r>
        <w:t xml:space="preserve">. If an eCQM does not have reporting strata defined, it displays “None” as the default. If an eCQM contains reporting stratification data, the </w:t>
      </w:r>
      <w:r>
        <w:lastRenderedPageBreak/>
        <w:t xml:space="preserve">measure developer lists each stratum separately. For example, </w:t>
      </w:r>
      <w:hyperlink r:id="rId38" w:history="1">
        <w:r w:rsidR="00544D18" w:rsidRPr="00544D18">
          <w:rPr>
            <w:rStyle w:val="Hyperlink"/>
          </w:rPr>
          <w:t>CMS153v14, Chlamydia Screening in Women</w:t>
        </w:r>
      </w:hyperlink>
      <w:r>
        <w:rPr>
          <w:i/>
        </w:rPr>
        <w:t>,</w:t>
      </w:r>
      <w:r>
        <w:t xml:space="preserve"> contains two strata as stated in the header and noted in Figure 1.3.</w:t>
      </w:r>
    </w:p>
    <w:p w14:paraId="00000093" w14:textId="77777777" w:rsidR="00D67C8C" w:rsidRPr="00FE4E10" w:rsidRDefault="00C80A11" w:rsidP="00DC5BA2">
      <w:pPr>
        <w:pStyle w:val="FigureTitle"/>
      </w:pPr>
      <w:bookmarkStart w:id="78" w:name="_Toc159578068"/>
      <w:bookmarkStart w:id="79" w:name="_Toc195001994"/>
      <w:r w:rsidRPr="00FE4E10">
        <w:t>Figure 1.3. Reporting Stratification</w:t>
      </w:r>
      <w:bookmarkEnd w:id="78"/>
      <w:bookmarkEnd w:id="79"/>
      <w:r w:rsidRPr="00FE4E10">
        <w:t xml:space="preserve"> </w:t>
      </w:r>
    </w:p>
    <w:tbl>
      <w:tblPr>
        <w:tblW w:w="936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ayout w:type="fixed"/>
        <w:tblCellMar>
          <w:top w:w="15" w:type="dxa"/>
          <w:left w:w="15" w:type="dxa"/>
          <w:bottom w:w="15" w:type="dxa"/>
          <w:right w:w="15" w:type="dxa"/>
        </w:tblCellMar>
        <w:tblLook w:val="0400" w:firstRow="0" w:lastRow="0" w:firstColumn="0" w:lastColumn="0" w:noHBand="0" w:noVBand="1"/>
      </w:tblPr>
      <w:tblGrid>
        <w:gridCol w:w="1584"/>
        <w:gridCol w:w="7776"/>
      </w:tblGrid>
      <w:tr w:rsidR="005E64B8" w14:paraId="7B145449" w14:textId="77777777" w:rsidTr="00420150">
        <w:tc>
          <w:tcPr>
            <w:tcW w:w="1584" w:type="dxa"/>
            <w:shd w:val="clear" w:color="auto" w:fill="656565"/>
            <w:tcMar>
              <w:top w:w="57" w:type="dxa"/>
              <w:left w:w="113" w:type="dxa"/>
              <w:bottom w:w="57" w:type="dxa"/>
              <w:right w:w="113" w:type="dxa"/>
            </w:tcMar>
            <w:vAlign w:val="center"/>
          </w:tcPr>
          <w:p w14:paraId="00000094" w14:textId="77777777" w:rsidR="00D67C8C" w:rsidRPr="00C135DF" w:rsidRDefault="00C80A11" w:rsidP="00DC5BA2">
            <w:pPr>
              <w:pStyle w:val="FigureHeader"/>
              <w:keepNext/>
              <w:keepLines/>
              <w:ind w:left="0"/>
              <w:rPr>
                <w:color w:val="FFFFFF" w:themeColor="background1"/>
              </w:rPr>
            </w:pPr>
            <w:r w:rsidRPr="00C135DF">
              <w:rPr>
                <w:color w:val="FFFFFF" w:themeColor="background1"/>
              </w:rPr>
              <w:t>Stratification</w:t>
            </w:r>
          </w:p>
        </w:tc>
        <w:tc>
          <w:tcPr>
            <w:tcW w:w="7776" w:type="dxa"/>
            <w:shd w:val="clear" w:color="auto" w:fill="E0E0E0"/>
            <w:tcMar>
              <w:top w:w="57" w:type="dxa"/>
              <w:left w:w="113" w:type="dxa"/>
              <w:bottom w:w="57" w:type="dxa"/>
              <w:right w:w="113" w:type="dxa"/>
            </w:tcMar>
          </w:tcPr>
          <w:p w14:paraId="4A1CAA66" w14:textId="77777777" w:rsidR="00544D18" w:rsidRDefault="00544D18" w:rsidP="00544D18">
            <w:pPr>
              <w:pStyle w:val="Figure"/>
              <w:keepNext/>
              <w:keepLines/>
              <w:shd w:val="clear" w:color="auto" w:fill="DDE0E3" w:themeFill="accent3" w:themeFillTint="33"/>
            </w:pPr>
            <w:r>
              <w:t>Report a total score, and each of the following strata:</w:t>
            </w:r>
          </w:p>
          <w:p w14:paraId="48C1F5D4" w14:textId="77777777" w:rsidR="00544D18" w:rsidRDefault="00544D18" w:rsidP="00544D18">
            <w:pPr>
              <w:pStyle w:val="Figure"/>
              <w:keepNext/>
              <w:keepLines/>
              <w:shd w:val="clear" w:color="auto" w:fill="DDE0E3" w:themeFill="accent3" w:themeFillTint="33"/>
            </w:pPr>
            <w:r>
              <w:t>Stratum 1: Patients age 16-20 by the end of the measurement period.</w:t>
            </w:r>
          </w:p>
          <w:p w14:paraId="00000096" w14:textId="526A6AFA" w:rsidR="00D67C8C" w:rsidRPr="00A84666" w:rsidRDefault="00544D18" w:rsidP="00DC5BA2">
            <w:pPr>
              <w:pStyle w:val="Figure"/>
              <w:keepNext/>
              <w:keepLines/>
            </w:pPr>
            <w:r>
              <w:t>Stratum 2: Patients age 21-24 by the end of the measurement period.</w:t>
            </w:r>
          </w:p>
        </w:tc>
      </w:tr>
    </w:tbl>
    <w:p w14:paraId="00000097" w14:textId="57B1F9C2" w:rsidR="00D67C8C" w:rsidRDefault="00C80A11" w:rsidP="003C1D89">
      <w:pPr>
        <w:pStyle w:val="ParagraphContinued"/>
        <w:spacing w:before="240"/>
      </w:pPr>
      <w:r>
        <w:t xml:space="preserve">In addition, the strata are defined </w:t>
      </w:r>
      <w:r w:rsidR="002B3E0E">
        <w:t xml:space="preserve">under the </w:t>
      </w:r>
      <w:r w:rsidR="0085645E">
        <w:t>P</w:t>
      </w:r>
      <w:r w:rsidR="002B3E0E">
        <w:t xml:space="preserve">opulation </w:t>
      </w:r>
      <w:r w:rsidR="0085645E">
        <w:t>C</w:t>
      </w:r>
      <w:r w:rsidR="002B3E0E">
        <w:t xml:space="preserve">riteria and </w:t>
      </w:r>
      <w:r w:rsidR="0085645E">
        <w:t>D</w:t>
      </w:r>
      <w:r w:rsidR="002B3E0E">
        <w:t>efinition sections of the logic</w:t>
      </w:r>
      <w:r>
        <w:t>.</w:t>
      </w:r>
      <w:r w:rsidR="00D839D5">
        <w:t xml:space="preserve"> </w:t>
      </w:r>
      <w:r>
        <w:t>For brevity, only one is shown below in Figure 1.4</w:t>
      </w:r>
      <w:r w:rsidR="00042323">
        <w:t>.</w:t>
      </w:r>
    </w:p>
    <w:p w14:paraId="00000099" w14:textId="4073C492" w:rsidR="00D67C8C" w:rsidRDefault="00C80A11" w:rsidP="00C135DF">
      <w:pPr>
        <w:pStyle w:val="FigureTitle"/>
      </w:pPr>
      <w:bookmarkStart w:id="80" w:name="_Toc159578069"/>
      <w:bookmarkStart w:id="81" w:name="_Toc195001995"/>
      <w:r w:rsidRPr="00C135DF">
        <w:t>Figure 1.4. Stratification</w:t>
      </w:r>
      <w:bookmarkEnd w:id="80"/>
      <w:bookmarkEnd w:id="81"/>
    </w:p>
    <w:tbl>
      <w:tblPr>
        <w:tblStyle w:val="GrayCell"/>
        <w:tblW w:w="936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Look w:val="04A0" w:firstRow="1" w:lastRow="0" w:firstColumn="1" w:lastColumn="0" w:noHBand="0" w:noVBand="1"/>
      </w:tblPr>
      <w:tblGrid>
        <w:gridCol w:w="9360"/>
      </w:tblGrid>
      <w:tr w:rsidR="000318CF" w14:paraId="343C9521" w14:textId="77777777" w:rsidTr="008454BB">
        <w:trPr>
          <w:trHeight w:val="1123"/>
        </w:trPr>
        <w:tc>
          <w:tcPr>
            <w:tcW w:w="5000" w:type="pct"/>
            <w:shd w:val="clear" w:color="auto" w:fill="auto"/>
          </w:tcPr>
          <w:p w14:paraId="5B5D8E4D" w14:textId="2607B70D" w:rsidR="00366E21" w:rsidRPr="00366E21" w:rsidRDefault="00366E21" w:rsidP="00366E21">
            <w:pPr>
              <w:pBdr>
                <w:top w:val="nil"/>
                <w:left w:val="nil"/>
                <w:bottom w:val="nil"/>
                <w:right w:val="nil"/>
                <w:between w:val="nil"/>
              </w:pBdr>
              <w:spacing w:after="60"/>
              <w:rPr>
                <w:rFonts w:ascii="Verdana" w:eastAsia="Verdana" w:hAnsi="Verdana"/>
                <w:b/>
                <w:color w:val="0000FF"/>
              </w:rPr>
            </w:pPr>
            <w:r w:rsidRPr="005E64B8">
              <w:rPr>
                <w:rFonts w:ascii="Cambria Math" w:eastAsia="Cambria Math" w:hAnsi="Cambria Math"/>
                <w:b/>
                <w:color w:val="0000FF"/>
              </w:rPr>
              <w:t>◢</w:t>
            </w:r>
            <w:r w:rsidRPr="005E64B8">
              <w:rPr>
                <w:rFonts w:ascii="Verdana" w:eastAsia="Verdana" w:hAnsi="Verdana"/>
                <w:b/>
                <w:color w:val="0000FF"/>
              </w:rPr>
              <w:t xml:space="preserve"> </w:t>
            </w:r>
            <w:r>
              <w:rPr>
                <w:rFonts w:ascii="Verdana" w:eastAsia="Verdana" w:hAnsi="Verdana"/>
                <w:b/>
                <w:color w:val="0000FF"/>
              </w:rPr>
              <w:t>Stratification 1</w:t>
            </w:r>
          </w:p>
          <w:p w14:paraId="1407486A" w14:textId="77777777" w:rsidR="00544D18" w:rsidRDefault="00544D18" w:rsidP="00544D18">
            <w:pPr>
              <w:pStyle w:val="Figure"/>
              <w:ind w:left="360"/>
            </w:pPr>
            <w:proofErr w:type="spellStart"/>
            <w:proofErr w:type="gramStart"/>
            <w:r>
              <w:t>AgeInYearsAt</w:t>
            </w:r>
            <w:proofErr w:type="spellEnd"/>
            <w:r>
              <w:t>(</w:t>
            </w:r>
            <w:proofErr w:type="gramEnd"/>
            <w:r>
              <w:t xml:space="preserve">date from </w:t>
            </w:r>
          </w:p>
          <w:p w14:paraId="7671CA0B" w14:textId="77777777" w:rsidR="00544D18" w:rsidRDefault="00544D18" w:rsidP="00544D18">
            <w:pPr>
              <w:pStyle w:val="Figure"/>
              <w:ind w:left="360"/>
            </w:pPr>
            <w:r>
              <w:t xml:space="preserve">    end of "Measurement Period"</w:t>
            </w:r>
          </w:p>
          <w:p w14:paraId="06610967" w14:textId="77777777" w:rsidR="00544D18" w:rsidRDefault="00544D18" w:rsidP="00544D18">
            <w:pPr>
              <w:pStyle w:val="Figure"/>
              <w:ind w:left="360"/>
            </w:pPr>
            <w:r>
              <w:t xml:space="preserve">  ) </w:t>
            </w:r>
            <w:proofErr w:type="gramStart"/>
            <w:r>
              <w:t>in</w:t>
            </w:r>
            <w:proofErr w:type="gramEnd"/>
            <w:r>
              <w:t xml:space="preserve"> </w:t>
            </w:r>
            <w:proofErr w:type="gramStart"/>
            <w:r>
              <w:t>Interval[</w:t>
            </w:r>
            <w:proofErr w:type="gramEnd"/>
            <w:r>
              <w:t>16, 20]</w:t>
            </w:r>
          </w:p>
          <w:p w14:paraId="71E689AD" w14:textId="4D033EDF" w:rsidR="000318CF" w:rsidRPr="002267A4" w:rsidRDefault="000318CF" w:rsidP="008454BB">
            <w:pPr>
              <w:pStyle w:val="Figure"/>
            </w:pPr>
          </w:p>
        </w:tc>
      </w:tr>
    </w:tbl>
    <w:p w14:paraId="0000009E" w14:textId="3F236ED0" w:rsidR="00D67C8C" w:rsidRPr="00E50131" w:rsidRDefault="00C135DF" w:rsidP="00C135DF">
      <w:pPr>
        <w:pStyle w:val="H4-Num"/>
      </w:pPr>
      <w:bookmarkStart w:id="82" w:name="_Toc188366451"/>
      <w:r>
        <w:t>1.3.1.2</w:t>
      </w:r>
      <w:r>
        <w:tab/>
      </w:r>
      <w:r w:rsidR="00C80A11" w:rsidRPr="00E50131">
        <w:t>Performance Rate Aggregation</w:t>
      </w:r>
      <w:bookmarkEnd w:id="82"/>
      <w:r w:rsidR="00C80A11" w:rsidRPr="00E50131">
        <w:t xml:space="preserve"> </w:t>
      </w:r>
    </w:p>
    <w:p w14:paraId="0000009F" w14:textId="39E2030A" w:rsidR="00D67C8C" w:rsidRDefault="00C80A11" w:rsidP="00C135DF">
      <w:pPr>
        <w:pStyle w:val="ParagraphContinued"/>
      </w:pPr>
      <w:bookmarkStart w:id="83" w:name="_heading=h.48pi1tg" w:colFirst="0" w:colLast="0"/>
      <w:bookmarkStart w:id="84" w:name="_Ref509396831"/>
      <w:bookmarkStart w:id="85" w:name="_Toc23176780"/>
      <w:bookmarkEnd w:id="83"/>
      <w:r>
        <w:t xml:space="preserve">Specific programs may require reporting of performance rates. The performance rate is the number of patients or episodes </w:t>
      </w:r>
      <w:r w:rsidR="0085645E">
        <w:t>in the</w:t>
      </w:r>
      <w:r>
        <w:t xml:space="preserve"> NUMER, accounting for </w:t>
      </w:r>
      <w:r w:rsidR="002B3E0E">
        <w:t>NUMEX</w:t>
      </w:r>
      <w:r>
        <w:t>, divided by the number of patients or episodes in the DENOM,</w:t>
      </w:r>
      <w:r w:rsidR="00A84666">
        <w:t xml:space="preserve"> </w:t>
      </w:r>
      <w:r>
        <w:t xml:space="preserve">accounting for </w:t>
      </w:r>
      <w:r w:rsidR="002B3E0E">
        <w:t>DENEX</w:t>
      </w:r>
      <w:r>
        <w:t xml:space="preserve"> and </w:t>
      </w:r>
      <w:r w:rsidR="002B3E0E">
        <w:t>DEXCEP</w:t>
      </w:r>
      <w:r>
        <w:t xml:space="preserve">. Calculate </w:t>
      </w:r>
      <w:r w:rsidR="00E3379D">
        <w:t xml:space="preserve">the </w:t>
      </w:r>
      <w:r>
        <w:t>performance rate using the formula:</w:t>
      </w:r>
    </w:p>
    <w:p w14:paraId="000000A0" w14:textId="77777777" w:rsidR="00D67C8C" w:rsidRDefault="00C80A11" w:rsidP="003C1D89">
      <w:pPr>
        <w:pStyle w:val="Paragraph"/>
        <w:spacing w:before="240" w:after="240"/>
        <w:jc w:val="center"/>
      </w:pPr>
      <w:r>
        <w:t>Performance Rate = (NUMER – NUMEX) / (DENOM – DENEX – DEXCEP)</w:t>
      </w:r>
    </w:p>
    <w:p w14:paraId="000000A1" w14:textId="5FB8668C" w:rsidR="00D67C8C" w:rsidRPr="005E64B8" w:rsidRDefault="00C80A11" w:rsidP="00C135DF">
      <w:pPr>
        <w:pStyle w:val="Paragraph"/>
      </w:pPr>
      <w:r>
        <w:t xml:space="preserve">Some eCQMs have more than one population that are components of the overall calculation of a single performance rate. In this instance, the header specifies the performance rate calculation. Figure 1.5 provides an example of a defined rate aggregation for </w:t>
      </w:r>
      <w:hyperlink r:id="rId39" w:history="1">
        <w:r w:rsidR="00366E21" w:rsidRPr="00E92243">
          <w:rPr>
            <w:rStyle w:val="Hyperlink"/>
          </w:rPr>
          <w:t>CMS145v14, Coronary Artery Disease (CAD): Beta-Blocker Therapy-Prior Myocardial Infarction (MI) or Left Ventricular Systolic Dysfunction (LVEF less than or equal to 40%)</w:t>
        </w:r>
      </w:hyperlink>
      <w:r>
        <w:rPr>
          <w:color w:val="1A1A1A"/>
        </w:rPr>
        <w:t>.</w:t>
      </w:r>
    </w:p>
    <w:p w14:paraId="000000A2" w14:textId="41778010" w:rsidR="00D67C8C" w:rsidRPr="0029452B" w:rsidRDefault="00C80A11" w:rsidP="00A60B83">
      <w:pPr>
        <w:pStyle w:val="FigureTitle"/>
      </w:pPr>
      <w:bookmarkStart w:id="86" w:name="_Toc159578070"/>
      <w:bookmarkStart w:id="87" w:name="_Toc195001996"/>
      <w:r w:rsidRPr="0029452B">
        <w:t xml:space="preserve">Figure </w:t>
      </w:r>
      <w:bookmarkEnd w:id="84"/>
      <w:r w:rsidRPr="0029452B">
        <w:rPr>
          <w:rFonts w:cs="Arial Narrow"/>
        </w:rPr>
        <w:t>1.</w:t>
      </w:r>
      <w:r w:rsidRPr="0029452B">
        <w:t>5. Performance Rate Calculation Defined in Header for Multiple Populations</w:t>
      </w:r>
      <w:bookmarkEnd w:id="85"/>
      <w:bookmarkEnd w:id="86"/>
      <w:bookmarkEnd w:id="87"/>
    </w:p>
    <w:tbl>
      <w:tblPr>
        <w:tblW w:w="936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ayout w:type="fixed"/>
        <w:tblCellMar>
          <w:top w:w="15" w:type="dxa"/>
          <w:left w:w="15" w:type="dxa"/>
          <w:bottom w:w="15" w:type="dxa"/>
          <w:right w:w="15" w:type="dxa"/>
        </w:tblCellMar>
        <w:tblLook w:val="0400" w:firstRow="0" w:lastRow="0" w:firstColumn="0" w:lastColumn="0" w:noHBand="0" w:noVBand="1"/>
      </w:tblPr>
      <w:tblGrid>
        <w:gridCol w:w="1584"/>
        <w:gridCol w:w="7776"/>
      </w:tblGrid>
      <w:tr w:rsidR="005E64B8" w14:paraId="34DB0211" w14:textId="77777777" w:rsidTr="00420150">
        <w:trPr>
          <w:trHeight w:val="20"/>
        </w:trPr>
        <w:tc>
          <w:tcPr>
            <w:tcW w:w="1584" w:type="dxa"/>
            <w:shd w:val="clear" w:color="auto" w:fill="656565"/>
            <w:tcMar>
              <w:top w:w="57" w:type="dxa"/>
              <w:left w:w="113" w:type="dxa"/>
              <w:bottom w:w="57" w:type="dxa"/>
              <w:right w:w="113" w:type="dxa"/>
            </w:tcMar>
          </w:tcPr>
          <w:p w14:paraId="000000A3" w14:textId="77777777" w:rsidR="00D67C8C" w:rsidRPr="00A06ADD" w:rsidRDefault="00C80A11" w:rsidP="00366E21">
            <w:pPr>
              <w:pStyle w:val="FigureHeader"/>
              <w:spacing w:before="840" w:after="120"/>
              <w:ind w:left="0"/>
              <w:rPr>
                <w:rFonts w:cs="Verdana"/>
                <w:color w:val="FFFFFF" w:themeColor="background1"/>
                <w:szCs w:val="17"/>
              </w:rPr>
            </w:pPr>
            <w:bookmarkStart w:id="88" w:name="_heading=h.1302m92" w:colFirst="0" w:colLast="0"/>
            <w:bookmarkStart w:id="89" w:name="_Toc446948746"/>
            <w:bookmarkEnd w:id="88"/>
            <w:r w:rsidRPr="00A06ADD">
              <w:rPr>
                <w:color w:val="FFFFFF" w:themeColor="background1"/>
              </w:rPr>
              <w:t>Rate Aggregation</w:t>
            </w:r>
          </w:p>
        </w:tc>
        <w:tc>
          <w:tcPr>
            <w:tcW w:w="7776" w:type="dxa"/>
            <w:shd w:val="clear" w:color="auto" w:fill="E0E0E0"/>
            <w:tcMar>
              <w:top w:w="57" w:type="dxa"/>
              <w:left w:w="113" w:type="dxa"/>
              <w:bottom w:w="57" w:type="dxa"/>
              <w:right w:w="113" w:type="dxa"/>
            </w:tcMar>
          </w:tcPr>
          <w:p w14:paraId="4AEA8F9A" w14:textId="77777777" w:rsidR="00366E21" w:rsidRPr="00366E21" w:rsidRDefault="00366E21" w:rsidP="00366E21">
            <w:pPr>
              <w:keepNext/>
              <w:keepLines/>
              <w:spacing w:after="0" w:line="240" w:lineRule="auto"/>
              <w:rPr>
                <w:rFonts w:ascii="Verdana" w:eastAsia="Verdana" w:hAnsi="Verdana" w:cs="Verdana"/>
                <w:color w:val="000000"/>
                <w:sz w:val="16"/>
                <w:szCs w:val="16"/>
              </w:rPr>
            </w:pPr>
            <w:r w:rsidRPr="00366E21">
              <w:rPr>
                <w:rFonts w:ascii="Verdana" w:eastAsia="Verdana" w:hAnsi="Verdana" w:cs="Verdana"/>
                <w:color w:val="000000"/>
                <w:sz w:val="16"/>
                <w:szCs w:val="16"/>
              </w:rPr>
              <w:t xml:space="preserve">This measure is intended to have one reporting rate, which aggregates the following populations into a single performance rate for reporting purposes: </w:t>
            </w:r>
          </w:p>
          <w:p w14:paraId="2393E7AE" w14:textId="77777777" w:rsidR="00366E21" w:rsidRPr="00366E21" w:rsidRDefault="00366E21" w:rsidP="00366E21">
            <w:pPr>
              <w:keepNext/>
              <w:keepLines/>
              <w:spacing w:after="0" w:line="240" w:lineRule="auto"/>
              <w:rPr>
                <w:rFonts w:ascii="Verdana" w:eastAsia="Verdana" w:hAnsi="Verdana" w:cs="Verdana"/>
                <w:color w:val="000000"/>
                <w:sz w:val="16"/>
                <w:szCs w:val="16"/>
              </w:rPr>
            </w:pPr>
          </w:p>
          <w:p w14:paraId="7C2BC4CA" w14:textId="77777777" w:rsidR="00366E21" w:rsidRPr="00366E21" w:rsidRDefault="00366E21" w:rsidP="00DA33BC">
            <w:pPr>
              <w:keepNext/>
              <w:keepLines/>
              <w:numPr>
                <w:ilvl w:val="0"/>
                <w:numId w:val="49"/>
              </w:numPr>
              <w:spacing w:after="0" w:line="240" w:lineRule="auto"/>
              <w:rPr>
                <w:rFonts w:ascii="Verdana" w:eastAsia="Verdana" w:hAnsi="Verdana" w:cs="Verdana"/>
                <w:color w:val="000000"/>
                <w:sz w:val="16"/>
                <w:szCs w:val="16"/>
              </w:rPr>
            </w:pPr>
            <w:r w:rsidRPr="00366E21">
              <w:rPr>
                <w:rFonts w:ascii="Verdana" w:eastAsia="Verdana" w:hAnsi="Verdana" w:cs="Verdana"/>
                <w:color w:val="000000"/>
                <w:sz w:val="16"/>
                <w:szCs w:val="16"/>
              </w:rPr>
              <w:t xml:space="preserve">Population 1: Patients with left ventricular systolic dysfunction (LVEF &lt;=40%) </w:t>
            </w:r>
          </w:p>
          <w:p w14:paraId="36297DA2" w14:textId="77777777" w:rsidR="00366E21" w:rsidRPr="00366E21" w:rsidRDefault="00366E21" w:rsidP="00DA33BC">
            <w:pPr>
              <w:keepNext/>
              <w:keepLines/>
              <w:numPr>
                <w:ilvl w:val="0"/>
                <w:numId w:val="49"/>
              </w:numPr>
              <w:spacing w:before="120" w:after="65" w:line="240" w:lineRule="auto"/>
              <w:rPr>
                <w:rFonts w:ascii="Verdana" w:eastAsia="Verdana" w:hAnsi="Verdana" w:cs="Verdana"/>
                <w:color w:val="000000"/>
                <w:sz w:val="16"/>
                <w:szCs w:val="16"/>
              </w:rPr>
            </w:pPr>
            <w:r w:rsidRPr="00366E21">
              <w:rPr>
                <w:rFonts w:ascii="Verdana" w:eastAsia="Verdana" w:hAnsi="Verdana" w:cs="Verdana"/>
                <w:color w:val="000000"/>
                <w:sz w:val="16"/>
                <w:szCs w:val="16"/>
              </w:rPr>
              <w:t xml:space="preserve">Population 2: Patients with a prior (within the past 3 years) myocardial infarction </w:t>
            </w:r>
          </w:p>
          <w:p w14:paraId="70C57A41" w14:textId="77777777" w:rsidR="00366E21" w:rsidRPr="00366E21" w:rsidRDefault="00366E21" w:rsidP="00366E21">
            <w:pPr>
              <w:keepNext/>
              <w:keepLines/>
              <w:spacing w:after="0" w:line="240" w:lineRule="auto"/>
              <w:rPr>
                <w:rFonts w:ascii="Verdana" w:eastAsia="Verdana" w:hAnsi="Verdana" w:cs="Verdana"/>
                <w:color w:val="000000"/>
                <w:sz w:val="16"/>
                <w:szCs w:val="16"/>
              </w:rPr>
            </w:pPr>
          </w:p>
          <w:p w14:paraId="62EFF79D" w14:textId="77777777" w:rsidR="00366E21" w:rsidRPr="00366E21" w:rsidRDefault="00366E21" w:rsidP="00366E21">
            <w:pPr>
              <w:keepNext/>
              <w:keepLines/>
              <w:spacing w:after="0" w:line="240" w:lineRule="auto"/>
              <w:rPr>
                <w:rFonts w:ascii="Verdana" w:eastAsia="Verdana" w:hAnsi="Verdana" w:cs="Verdana"/>
                <w:color w:val="000000"/>
                <w:sz w:val="16"/>
                <w:szCs w:val="16"/>
              </w:rPr>
            </w:pPr>
            <w:r w:rsidRPr="00366E21">
              <w:rPr>
                <w:rFonts w:ascii="Verdana" w:eastAsia="Verdana" w:hAnsi="Verdana" w:cs="Verdana"/>
                <w:color w:val="000000"/>
                <w:sz w:val="16"/>
                <w:szCs w:val="16"/>
              </w:rPr>
              <w:t xml:space="preserve">For the purposes of this measure, a single performance rate can be calculated as follows: </w:t>
            </w:r>
          </w:p>
          <w:p w14:paraId="000000AA" w14:textId="2AFB205F" w:rsidR="00D67C8C" w:rsidRPr="005E64B8" w:rsidRDefault="00366E21" w:rsidP="00366E21">
            <w:pPr>
              <w:pStyle w:val="Figure"/>
              <w:rPr>
                <w:color w:val="1A1A1A"/>
              </w:rPr>
            </w:pPr>
            <w:r w:rsidRPr="00754EE7">
              <w:rPr>
                <w:rFonts w:cs="Times New Roman"/>
              </w:rPr>
              <w:t>Performance Rate = (Numerator 1 + Numerator 2)/ [(Denominator 1 – Denominator Exceptions 1) + (Denominator 2 – Denominator Exceptions 2)]</w:t>
            </w:r>
          </w:p>
        </w:tc>
      </w:tr>
    </w:tbl>
    <w:p w14:paraId="000000AB" w14:textId="0496ABD3" w:rsidR="00D67C8C" w:rsidRPr="00E50131" w:rsidRDefault="00A06ADD" w:rsidP="00A06ADD">
      <w:pPr>
        <w:pStyle w:val="H4-Num"/>
      </w:pPr>
      <w:bookmarkStart w:id="90" w:name="_Toc188366452"/>
      <w:r>
        <w:t>1.3.1.3</w:t>
      </w:r>
      <w:r>
        <w:tab/>
      </w:r>
      <w:r w:rsidR="00C80A11" w:rsidRPr="00E50131">
        <w:t>Multiple Numerators</w:t>
      </w:r>
      <w:bookmarkEnd w:id="90"/>
    </w:p>
    <w:p w14:paraId="000000AC" w14:textId="348AF655" w:rsidR="00D67C8C" w:rsidRDefault="00F90E3A" w:rsidP="00A06ADD">
      <w:pPr>
        <w:pStyle w:val="ParagraphContinued"/>
      </w:pPr>
      <w:r w:rsidRPr="00F90E3A">
        <w:t xml:space="preserve">Some eCQMs include multiple numerators to measure different levels or durations of care for the same population. In these cases, the same patients or episodes in the denominator are evaluated for </w:t>
      </w:r>
      <w:r w:rsidR="002B3F88">
        <w:t xml:space="preserve">potential </w:t>
      </w:r>
      <w:r w:rsidRPr="00F90E3A">
        <w:t xml:space="preserve">inclusion in each numerator population separately. </w:t>
      </w:r>
      <w:r w:rsidR="00C80A11">
        <w:t xml:space="preserve"> Figure 1.6 provides an example </w:t>
      </w:r>
      <w:r w:rsidR="00C80A11">
        <w:lastRenderedPageBreak/>
        <w:t>of an eCQ</w:t>
      </w:r>
      <w:r w:rsidR="00B962C9">
        <w:t xml:space="preserve">M, </w:t>
      </w:r>
      <w:hyperlink r:id="rId40" w:history="1">
        <w:r w:rsidR="00366E21" w:rsidRPr="00E92243">
          <w:rPr>
            <w:rStyle w:val="Hyperlink"/>
          </w:rPr>
          <w:t>CMS128v14, Antidepressant Medication Management</w:t>
        </w:r>
      </w:hyperlink>
      <w:r w:rsidR="00C80A11">
        <w:t xml:space="preserve">, with multiple numerators. </w:t>
      </w:r>
      <w:proofErr w:type="gramStart"/>
      <w:r w:rsidR="00E3379D">
        <w:t>Regardless</w:t>
      </w:r>
      <w:proofErr w:type="gramEnd"/>
      <w:r w:rsidR="00E3379D">
        <w:t xml:space="preserve"> i</w:t>
      </w:r>
      <w:r w:rsidR="00C80A11">
        <w:t>f any patients in this eCQM meet the conditions for Numerator 1, the measured entity should also evaluate these patients to determine if they also meet the conditions for Numerator 2.</w:t>
      </w:r>
    </w:p>
    <w:p w14:paraId="000000AD" w14:textId="77777777" w:rsidR="00D67C8C" w:rsidRPr="0029452B" w:rsidRDefault="00C80A11" w:rsidP="00A06ADD">
      <w:pPr>
        <w:pStyle w:val="FigureTitle"/>
      </w:pPr>
      <w:bookmarkStart w:id="91" w:name="_Toc159578071"/>
      <w:bookmarkStart w:id="92" w:name="_Toc195001997"/>
      <w:r w:rsidRPr="0029452B">
        <w:t>Figure 1.6. Multiple Numerators</w:t>
      </w:r>
      <w:bookmarkEnd w:id="91"/>
      <w:bookmarkEnd w:id="92"/>
      <w:r w:rsidRPr="0029452B">
        <w:t xml:space="preserve"> </w:t>
      </w:r>
    </w:p>
    <w:tbl>
      <w:tblPr>
        <w:tblW w:w="9270" w:type="dxa"/>
        <w:tblInd w:w="-1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ayout w:type="fixed"/>
        <w:tblCellMar>
          <w:top w:w="15" w:type="dxa"/>
          <w:left w:w="15" w:type="dxa"/>
          <w:bottom w:w="15" w:type="dxa"/>
          <w:right w:w="15" w:type="dxa"/>
        </w:tblCellMar>
        <w:tblLook w:val="0400" w:firstRow="0" w:lastRow="0" w:firstColumn="0" w:lastColumn="0" w:noHBand="0" w:noVBand="1"/>
      </w:tblPr>
      <w:tblGrid>
        <w:gridCol w:w="1340"/>
        <w:gridCol w:w="7930"/>
      </w:tblGrid>
      <w:tr w:rsidR="005E64B8" w14:paraId="1C99C328" w14:textId="77777777" w:rsidTr="00420150">
        <w:tc>
          <w:tcPr>
            <w:tcW w:w="1340" w:type="dxa"/>
            <w:shd w:val="clear" w:color="auto" w:fill="656565"/>
            <w:tcMar>
              <w:top w:w="57" w:type="dxa"/>
              <w:left w:w="113" w:type="dxa"/>
              <w:bottom w:w="57" w:type="dxa"/>
              <w:right w:w="113" w:type="dxa"/>
            </w:tcMar>
            <w:vAlign w:val="center"/>
          </w:tcPr>
          <w:p w14:paraId="000000AE" w14:textId="77777777" w:rsidR="00D67C8C" w:rsidRPr="00AB6BE8" w:rsidRDefault="00C80A11" w:rsidP="00420150">
            <w:pPr>
              <w:pStyle w:val="FigureHeader"/>
              <w:shd w:val="clear" w:color="auto" w:fill="656565"/>
              <w:ind w:left="0"/>
              <w:rPr>
                <w:color w:val="FFFFFF" w:themeColor="background1"/>
              </w:rPr>
            </w:pPr>
            <w:r w:rsidRPr="00AB6BE8">
              <w:rPr>
                <w:color w:val="FFFFFF" w:themeColor="background1"/>
              </w:rPr>
              <w:t>Numerator</w:t>
            </w:r>
          </w:p>
        </w:tc>
        <w:tc>
          <w:tcPr>
            <w:tcW w:w="7930" w:type="dxa"/>
            <w:shd w:val="clear" w:color="auto" w:fill="E0E0E0"/>
            <w:tcMar>
              <w:top w:w="57" w:type="dxa"/>
              <w:left w:w="113" w:type="dxa"/>
              <w:bottom w:w="57" w:type="dxa"/>
              <w:right w:w="113" w:type="dxa"/>
            </w:tcMar>
          </w:tcPr>
          <w:p w14:paraId="000000AF" w14:textId="77777777" w:rsidR="00D67C8C" w:rsidRPr="00682288" w:rsidRDefault="00C80A11" w:rsidP="00AB6BE8">
            <w:pPr>
              <w:pStyle w:val="Figure"/>
            </w:pPr>
            <w:r w:rsidRPr="00682288">
              <w:t>Numerator 1: Patients who have received antidepressant medication for at least 84 days (12 weeks) of continuous treatment beginning on the IPSD through 114 days after the IPSD (115 total days).</w:t>
            </w:r>
          </w:p>
          <w:p w14:paraId="000000B0" w14:textId="77777777" w:rsidR="00D67C8C" w:rsidRPr="00A84666" w:rsidRDefault="00C80A11" w:rsidP="00AB6BE8">
            <w:pPr>
              <w:pStyle w:val="Figure"/>
              <w:spacing w:before="120"/>
            </w:pPr>
            <w:r w:rsidRPr="00682288">
              <w:t>Numerator 2:</w:t>
            </w:r>
            <w:r w:rsidRPr="00AB6BE8">
              <w:rPr>
                <w:b/>
                <w:bCs/>
              </w:rPr>
              <w:t xml:space="preserve"> </w:t>
            </w:r>
            <w:r w:rsidRPr="00A84666">
              <w:t>Patients who have received antidepressant medications for at least 180 days (6 months) of continuous treatment beginning on the IPSD through 231 days after the IPSD (232 total days).</w:t>
            </w:r>
          </w:p>
        </w:tc>
      </w:tr>
    </w:tbl>
    <w:p w14:paraId="000000B1" w14:textId="77777777" w:rsidR="00D67C8C" w:rsidRDefault="00C80A11" w:rsidP="003C1D89">
      <w:pPr>
        <w:pStyle w:val="ParagraphContinued"/>
        <w:spacing w:before="240"/>
      </w:pPr>
      <w:bookmarkStart w:id="93" w:name="_heading=h.2250f4o" w:colFirst="0" w:colLast="0"/>
      <w:bookmarkStart w:id="94" w:name="_Toc91742223"/>
      <w:bookmarkStart w:id="95" w:name="_Toc23176739"/>
      <w:bookmarkStart w:id="96" w:name="_Toc56635365"/>
      <w:bookmarkStart w:id="97" w:name="_Toc64983050"/>
      <w:bookmarkEnd w:id="93"/>
      <w:bookmarkEnd w:id="94"/>
      <w:r>
        <w:t xml:space="preserve">When the eCQM definition includes stratification, the measured entity should report each population in the eCQM definition both without stratification and stratified by each stratification criterion. </w:t>
      </w:r>
    </w:p>
    <w:p w14:paraId="000000B2" w14:textId="62CA60F7" w:rsidR="00D67C8C" w:rsidRDefault="007B65E9" w:rsidP="007B65E9">
      <w:pPr>
        <w:pStyle w:val="H3-Num"/>
      </w:pPr>
      <w:bookmarkStart w:id="98" w:name="_heading=h.haapch" w:colFirst="0" w:colLast="0"/>
      <w:bookmarkStart w:id="99" w:name="_Toc159479985"/>
      <w:bookmarkStart w:id="100" w:name="_Toc159578366"/>
      <w:bookmarkStart w:id="101" w:name="_Toc194994740"/>
      <w:bookmarkEnd w:id="98"/>
      <w:r>
        <w:t>1.3.2</w:t>
      </w:r>
      <w:r>
        <w:tab/>
      </w:r>
      <w:r w:rsidR="00C80A11" w:rsidRPr="005E64B8">
        <w:t xml:space="preserve">Continuous Variable </w:t>
      </w:r>
      <w:bookmarkEnd w:id="89"/>
      <w:bookmarkEnd w:id="95"/>
      <w:bookmarkEnd w:id="96"/>
      <w:bookmarkEnd w:id="97"/>
      <w:r w:rsidR="00C80A11" w:rsidRPr="005E64B8">
        <w:t>Measures</w:t>
      </w:r>
      <w:bookmarkEnd w:id="99"/>
      <w:bookmarkEnd w:id="100"/>
      <w:bookmarkEnd w:id="101"/>
    </w:p>
    <w:p w14:paraId="052E5F11" w14:textId="5218F34B" w:rsidR="009E08F5" w:rsidRDefault="00C80A11" w:rsidP="009E08F5">
      <w:pPr>
        <w:pStyle w:val="ParagraphContinued"/>
      </w:pPr>
      <w:r>
        <w:t xml:space="preserve">Continuous variable </w:t>
      </w:r>
      <w:r w:rsidR="00853DFD">
        <w:t>measures</w:t>
      </w:r>
      <w:r>
        <w:t xml:space="preserve"> can be patient-based or episode-</w:t>
      </w:r>
      <w:r w:rsidR="001D06EC">
        <w:t>based</w:t>
      </w:r>
      <w:r>
        <w:t xml:space="preserve"> </w:t>
      </w:r>
      <w:r w:rsidR="00853DFD">
        <w:t>measures</w:t>
      </w:r>
      <w:r>
        <w:t>. A continuous variable is a measure score in which each individual value for the measure can fall anywhere along a continuous scale</w:t>
      </w:r>
      <w:r w:rsidR="00F90E3A">
        <w:t xml:space="preserve">, </w:t>
      </w:r>
      <w:r w:rsidR="00F90E3A" w:rsidRPr="00F90E3A">
        <w:t xml:space="preserve">rather than just a binary result. These measures show </w:t>
      </w:r>
      <w:r w:rsidR="004D2C76">
        <w:t>the extent or duration of care or an outcome,</w:t>
      </w:r>
      <w:r w:rsidR="00F90E3A" w:rsidRPr="00F90E3A">
        <w:t xml:space="preserve"> providing more precise and detailed insights into health care quality</w:t>
      </w:r>
      <w:r>
        <w:t>.</w:t>
      </w:r>
      <w:r w:rsidR="00853DFD">
        <w:t xml:space="preserve"> </w:t>
      </w:r>
      <w:r w:rsidR="00853DFD" w:rsidRPr="00853DFD">
        <w:t xml:space="preserve">Continuous variable </w:t>
      </w:r>
      <w:r w:rsidR="00853DFD">
        <w:t>measures</w:t>
      </w:r>
      <w:r w:rsidR="00853DFD" w:rsidRPr="00853DFD">
        <w:t xml:space="preserve"> provide more precise and granular insights into health</w:t>
      </w:r>
      <w:r w:rsidR="00853DFD">
        <w:t xml:space="preserve"> </w:t>
      </w:r>
      <w:r w:rsidR="00853DFD" w:rsidRPr="00853DFD">
        <w:t xml:space="preserve">care quality by capturing a full range of patient outcomes or performance levels, rather than just a binary result. </w:t>
      </w:r>
      <w:r w:rsidR="00423E74">
        <w:t>Continuous variable scores can facilitate clearer</w:t>
      </w:r>
      <w:r w:rsidR="00853DFD" w:rsidRPr="00853DFD">
        <w:t xml:space="preserve"> identification of variations in care</w:t>
      </w:r>
      <w:r w:rsidR="00423E74">
        <w:t>.</w:t>
      </w:r>
      <w:r>
        <w:t xml:space="preserve"> </w:t>
      </w:r>
      <w:r w:rsidR="009E08F5">
        <w:t xml:space="preserve">A complete list of continuous variable eCQMs by reporting/performance period can be found on the </w:t>
      </w:r>
      <w:hyperlink r:id="rId41" w:history="1">
        <w:r w:rsidR="009E08F5" w:rsidRPr="009E08F5">
          <w:rPr>
            <w:rStyle w:val="Hyperlink"/>
          </w:rPr>
          <w:t>eCQI Resource Center</w:t>
        </w:r>
      </w:hyperlink>
      <w:r w:rsidR="009E08F5">
        <w:t>.</w:t>
      </w:r>
    </w:p>
    <w:p w14:paraId="000000B3" w14:textId="5F01BB4F" w:rsidR="00D67C8C" w:rsidRDefault="00C80A11" w:rsidP="007B65E9">
      <w:pPr>
        <w:pStyle w:val="ParagraphContinued"/>
      </w:pPr>
      <w:r>
        <w:t>The</w:t>
      </w:r>
      <w:r w:rsidR="00CA12CE">
        <w:t>se measures</w:t>
      </w:r>
      <w:r>
        <w:t xml:space="preserve"> include the</w:t>
      </w:r>
      <w:r w:rsidR="007F60F1">
        <w:t xml:space="preserve"> following</w:t>
      </w:r>
      <w:r>
        <w:t xml:space="preserve"> elements:</w:t>
      </w:r>
      <w:r w:rsidR="00F53380">
        <w:rPr>
          <w:rStyle w:val="FootnoteReference"/>
        </w:rPr>
        <w:footnoteReference w:id="5"/>
      </w:r>
    </w:p>
    <w:p w14:paraId="000000B4" w14:textId="0B5732F7" w:rsidR="00D67C8C" w:rsidRDefault="00C80A11" w:rsidP="007B65E9">
      <w:pPr>
        <w:pStyle w:val="ListBullet"/>
      </w:pPr>
      <w:r w:rsidRPr="007B65E9">
        <w:rPr>
          <w:rStyle w:val="RunIn"/>
        </w:rPr>
        <w:t xml:space="preserve">Initial </w:t>
      </w:r>
      <w:r w:rsidR="003E354D" w:rsidRPr="007B65E9">
        <w:rPr>
          <w:rStyle w:val="RunIn"/>
        </w:rPr>
        <w:t>p</w:t>
      </w:r>
      <w:r w:rsidRPr="007B65E9">
        <w:rPr>
          <w:rStyle w:val="RunIn"/>
        </w:rPr>
        <w:t xml:space="preserve">opulation (IP): </w:t>
      </w:r>
      <w:r w:rsidR="006B3BA1" w:rsidRPr="006E4951">
        <w:rPr>
          <w:rStyle w:val="RunIn"/>
          <w:b w:val="0"/>
          <w:bCs/>
        </w:rPr>
        <w:t>The starting group of patients or care episodes eligible for inclusion in a measure before measure population criteria are applied. It establishes the scope of evaluation based on characteristics such as age, diagnoses, procedures, or encounter types occurring during the measurement period</w:t>
      </w:r>
      <w:r w:rsidR="006B3BA1" w:rsidRPr="006B3BA1">
        <w:rPr>
          <w:rStyle w:val="RunIn"/>
        </w:rPr>
        <w:t xml:space="preserve">. </w:t>
      </w:r>
    </w:p>
    <w:p w14:paraId="635DEF20" w14:textId="2B4ADDFC" w:rsidR="00DF01A0" w:rsidRDefault="00C80A11" w:rsidP="00DF01A0">
      <w:pPr>
        <w:pStyle w:val="ListBullet"/>
      </w:pPr>
      <w:bookmarkStart w:id="102" w:name="_Hlk185594433"/>
      <w:r w:rsidRPr="007B65E9">
        <w:rPr>
          <w:rStyle w:val="RunIn"/>
        </w:rPr>
        <w:t xml:space="preserve">Measure </w:t>
      </w:r>
      <w:r w:rsidR="003E354D" w:rsidRPr="007B65E9">
        <w:rPr>
          <w:rStyle w:val="RunIn"/>
        </w:rPr>
        <w:t>p</w:t>
      </w:r>
      <w:r w:rsidRPr="007B65E9">
        <w:rPr>
          <w:rStyle w:val="RunIn"/>
        </w:rPr>
        <w:t>opulation (MSRPOPL):</w:t>
      </w:r>
    </w:p>
    <w:p w14:paraId="000000B5" w14:textId="6E4D61F6" w:rsidR="00D67C8C" w:rsidRDefault="00474BD8" w:rsidP="00E346E5">
      <w:pPr>
        <w:pStyle w:val="ListBullet"/>
        <w:numPr>
          <w:ilvl w:val="0"/>
          <w:numId w:val="0"/>
        </w:numPr>
        <w:ind w:left="720"/>
      </w:pPr>
      <w:r w:rsidRPr="00474BD8">
        <w:t>The group of patients or episodes from the initial population that qualify to be assessed by the measure. This may be the same as the initial population or a smaller subset, depending on the specific goals of the measure</w:t>
      </w:r>
      <w:r>
        <w:t xml:space="preserve">. </w:t>
      </w:r>
      <w:r w:rsidR="00DF01A0">
        <w:t>Example: All patients who visited the emergency department during the measurement period.</w:t>
      </w:r>
    </w:p>
    <w:p w14:paraId="000000B6" w14:textId="52A08E0A" w:rsidR="00D67C8C" w:rsidRDefault="00C80A11" w:rsidP="007B65E9">
      <w:pPr>
        <w:pStyle w:val="ListBullet"/>
      </w:pPr>
      <w:r w:rsidRPr="007B65E9">
        <w:rPr>
          <w:rStyle w:val="RunIn"/>
        </w:rPr>
        <w:t xml:space="preserve">Measure </w:t>
      </w:r>
      <w:r w:rsidR="003E354D" w:rsidRPr="007B65E9">
        <w:rPr>
          <w:rStyle w:val="RunIn"/>
        </w:rPr>
        <w:t>p</w:t>
      </w:r>
      <w:r w:rsidRPr="007B65E9">
        <w:rPr>
          <w:rStyle w:val="RunIn"/>
        </w:rPr>
        <w:t xml:space="preserve">opulation </w:t>
      </w:r>
      <w:r w:rsidR="003E354D" w:rsidRPr="007B65E9">
        <w:rPr>
          <w:rStyle w:val="RunIn"/>
        </w:rPr>
        <w:t>e</w:t>
      </w:r>
      <w:r w:rsidRPr="007B65E9">
        <w:rPr>
          <w:rStyle w:val="RunIn"/>
        </w:rPr>
        <w:t xml:space="preserve">xclusions (MSRPOPLEX): </w:t>
      </w:r>
      <w:r w:rsidR="007C3272" w:rsidRPr="007C3272">
        <w:rPr>
          <w:rStyle w:val="RunIn"/>
          <w:b w:val="0"/>
          <w:bCs/>
        </w:rPr>
        <w:t>The group of patients or episodes that should be removed from the measure population before calculating the measure observations</w:t>
      </w:r>
      <w:r w:rsidR="007C3272">
        <w:rPr>
          <w:rStyle w:val="RunIn"/>
          <w:b w:val="0"/>
          <w:bCs/>
        </w:rPr>
        <w:t>.</w:t>
      </w:r>
    </w:p>
    <w:bookmarkEnd w:id="102"/>
    <w:p w14:paraId="54839FF0" w14:textId="12E7FD8B" w:rsidR="003A4675" w:rsidRPr="00FE78AE" w:rsidRDefault="00C80A11" w:rsidP="007B65E9">
      <w:pPr>
        <w:pStyle w:val="ListBullet"/>
      </w:pPr>
      <w:r w:rsidRPr="007B65E9">
        <w:rPr>
          <w:rStyle w:val="RunIn"/>
        </w:rPr>
        <w:lastRenderedPageBreak/>
        <w:t xml:space="preserve">Measure </w:t>
      </w:r>
      <w:r w:rsidR="003E354D" w:rsidRPr="007B65E9">
        <w:rPr>
          <w:rStyle w:val="RunIn"/>
        </w:rPr>
        <w:t>o</w:t>
      </w:r>
      <w:r w:rsidRPr="007B65E9">
        <w:rPr>
          <w:rStyle w:val="RunIn"/>
        </w:rPr>
        <w:t xml:space="preserve">bservations: </w:t>
      </w:r>
      <w:r w:rsidR="007C3272">
        <w:rPr>
          <w:color w:val="000000"/>
        </w:rPr>
        <w:t>The</w:t>
      </w:r>
      <w:r w:rsidR="003A4675" w:rsidRPr="003A4675">
        <w:rPr>
          <w:color w:val="000000"/>
        </w:rPr>
        <w:t xml:space="preserve"> specific calculations performed on each patient or episode in the final measure population (after exclusions).</w:t>
      </w:r>
    </w:p>
    <w:p w14:paraId="000000B7" w14:textId="1B636FAE" w:rsidR="00D67C8C" w:rsidRDefault="003A4675" w:rsidP="00FE78AE">
      <w:pPr>
        <w:pStyle w:val="ListBullet"/>
        <w:numPr>
          <w:ilvl w:val="0"/>
          <w:numId w:val="0"/>
        </w:numPr>
        <w:ind w:left="720"/>
      </w:pPr>
      <w:r>
        <w:rPr>
          <w:color w:val="000000"/>
        </w:rPr>
        <w:t>Example: In</w:t>
      </w:r>
      <w:r w:rsidR="00366E21">
        <w:rPr>
          <w:color w:val="000000"/>
        </w:rPr>
        <w:t xml:space="preserve"> </w:t>
      </w:r>
      <w:hyperlink r:id="rId42" w:history="1">
        <w:r w:rsidR="00366E21" w:rsidRPr="00830185">
          <w:rPr>
            <w:rStyle w:val="Hyperlink"/>
          </w:rPr>
          <w:t>CMS986v5, Malnutrition Care Score</w:t>
        </w:r>
      </w:hyperlink>
      <w:r w:rsidR="00366E21">
        <w:rPr>
          <w:color w:val="000000"/>
        </w:rPr>
        <w:t>,</w:t>
      </w:r>
      <w:r w:rsidR="00366E21" w:rsidRPr="005E64B8">
        <w:rPr>
          <w:color w:val="000000"/>
        </w:rPr>
        <w:t xml:space="preserve"> </w:t>
      </w:r>
      <w:r w:rsidRPr="003A4675">
        <w:rPr>
          <w:color w:val="000000"/>
        </w:rPr>
        <w:t>the observation calculates whether each eligible adult inpatient received the right malnutrition care based on their risk level and diagnosis.</w:t>
      </w:r>
    </w:p>
    <w:p w14:paraId="000000B8" w14:textId="77777777" w:rsidR="00D67C8C" w:rsidRPr="005E64B8" w:rsidRDefault="00C80A11" w:rsidP="007B65E9">
      <w:pPr>
        <w:pStyle w:val="ParagraphContinued"/>
      </w:pPr>
      <w:r w:rsidRPr="005E64B8">
        <w:t>To compute a continuous variable eCQM, take the following steps:</w:t>
      </w:r>
    </w:p>
    <w:p w14:paraId="000000B9" w14:textId="2C7F1706" w:rsidR="00D67C8C" w:rsidRDefault="00C80A11" w:rsidP="007B65E9">
      <w:pPr>
        <w:pStyle w:val="ListBullet"/>
      </w:pPr>
      <w:r w:rsidRPr="005E64B8">
        <w:t xml:space="preserve">Identify the patients or episodes of care in the IP using the </w:t>
      </w:r>
      <w:r w:rsidR="00D34454">
        <w:t>initial population</w:t>
      </w:r>
      <w:r w:rsidRPr="005E64B8">
        <w:t xml:space="preserve"> criteria.</w:t>
      </w:r>
    </w:p>
    <w:p w14:paraId="000000BA" w14:textId="354E8F02" w:rsidR="00D67C8C" w:rsidRDefault="00C80A11" w:rsidP="007B65E9">
      <w:pPr>
        <w:pStyle w:val="ListBullet"/>
      </w:pPr>
      <w:r w:rsidRPr="005E64B8">
        <w:t xml:space="preserve">Refine the </w:t>
      </w:r>
      <w:r w:rsidR="00245468">
        <w:t>IP</w:t>
      </w:r>
      <w:r w:rsidRPr="005E64B8">
        <w:t xml:space="preserve"> by applying measure population criteria to identify the </w:t>
      </w:r>
      <w:r w:rsidR="00CA12CE">
        <w:t>MSRPOPL</w:t>
      </w:r>
      <w:r w:rsidRPr="005E64B8">
        <w:t xml:space="preserve"> cases.</w:t>
      </w:r>
    </w:p>
    <w:p w14:paraId="000000BB" w14:textId="6E3EBC4D" w:rsidR="00D67C8C" w:rsidRDefault="00C80A11" w:rsidP="007B65E9">
      <w:pPr>
        <w:pStyle w:val="ListBullet"/>
      </w:pPr>
      <w:r w:rsidRPr="005E64B8">
        <w:t xml:space="preserve">Review </w:t>
      </w:r>
      <w:r w:rsidR="00D34454">
        <w:t>MSRPOPL</w:t>
      </w:r>
      <w:r w:rsidRPr="005E64B8">
        <w:t xml:space="preserve"> cases against measure population exclusion criteria. If a case meets measure population exclusion criteria, label it as a MSRPOPLEX and remove it from consideration for the </w:t>
      </w:r>
      <w:r>
        <w:t>measure</w:t>
      </w:r>
      <w:r w:rsidRPr="005E64B8">
        <w:t xml:space="preserve"> observations.</w:t>
      </w:r>
    </w:p>
    <w:p w14:paraId="000000BC" w14:textId="5F7004AA" w:rsidR="00D67C8C" w:rsidRDefault="00C80A11" w:rsidP="007B65E9">
      <w:pPr>
        <w:pStyle w:val="ListBullet"/>
      </w:pPr>
      <w:r>
        <w:t xml:space="preserve">Evaluate each remaining member of the </w:t>
      </w:r>
      <w:r w:rsidR="00D34454">
        <w:t>MSRPOPL</w:t>
      </w:r>
      <w:r>
        <w:t xml:space="preserve"> against the defined measure observation criteria and aggregate the results using the specified operator.</w:t>
      </w:r>
    </w:p>
    <w:p w14:paraId="000000BD" w14:textId="50C01D48" w:rsidR="00D67C8C" w:rsidRDefault="00C80A11" w:rsidP="007B65E9">
      <w:pPr>
        <w:pStyle w:val="ParagraphContinued"/>
      </w:pPr>
      <w:r>
        <w:t xml:space="preserve">As with proportion eCQMs, continuous variable eCQMs might have stratification requirements. Report performance results without stratification and for each defined stratum separately. The </w:t>
      </w:r>
      <w:r w:rsidR="00CA12CE">
        <w:t>initial population</w:t>
      </w:r>
      <w:r>
        <w:t xml:space="preserve"> and </w:t>
      </w:r>
      <w:r w:rsidR="00CA12CE">
        <w:t>measure population</w:t>
      </w:r>
      <w:r>
        <w:t xml:space="preserve"> require specifying the number of patients or episodes falling into each of these populations without stratification as well as those populations stratified by any defined strata. </w:t>
      </w:r>
    </w:p>
    <w:p w14:paraId="000000BE" w14:textId="36ECCD58" w:rsidR="00D67C8C" w:rsidRDefault="007B65E9" w:rsidP="007B65E9">
      <w:pPr>
        <w:pStyle w:val="H3-Num"/>
      </w:pPr>
      <w:bookmarkStart w:id="103" w:name="_heading=h.319y80a" w:colFirst="0" w:colLast="0"/>
      <w:bookmarkStart w:id="104" w:name="_Toc159479986"/>
      <w:bookmarkStart w:id="105" w:name="_Toc159578367"/>
      <w:bookmarkStart w:id="106" w:name="_Toc194994741"/>
      <w:bookmarkStart w:id="107" w:name="_Toc56635366"/>
      <w:bookmarkStart w:id="108" w:name="_Toc64983051"/>
      <w:bookmarkStart w:id="109" w:name="_Hlk98222750"/>
      <w:bookmarkEnd w:id="103"/>
      <w:r>
        <w:t>1.3.3</w:t>
      </w:r>
      <w:r>
        <w:tab/>
      </w:r>
      <w:r w:rsidR="00C80A11" w:rsidRPr="005E64B8">
        <w:t>Ratio Measures</w:t>
      </w:r>
      <w:bookmarkEnd w:id="104"/>
      <w:bookmarkEnd w:id="105"/>
      <w:bookmarkEnd w:id="106"/>
    </w:p>
    <w:p w14:paraId="52DD49A5" w14:textId="085E45D9" w:rsidR="009E08F5" w:rsidRDefault="00C80A11" w:rsidP="007B65E9">
      <w:pPr>
        <w:pStyle w:val="ParagraphContinued"/>
      </w:pPr>
      <w:r>
        <w:t xml:space="preserve">Ratio </w:t>
      </w:r>
      <w:r w:rsidR="00853DFD">
        <w:t>measures</w:t>
      </w:r>
      <w:r>
        <w:t xml:space="preserve"> can be either patient-based or episode-</w:t>
      </w:r>
      <w:r w:rsidR="001D06EC">
        <w:t>based</w:t>
      </w:r>
      <w:r>
        <w:t xml:space="preserve"> measures. </w:t>
      </w:r>
      <w:r w:rsidR="00853DFD" w:rsidRPr="00853DFD">
        <w:t xml:space="preserve">Ratio </w:t>
      </w:r>
      <w:r w:rsidR="00853DFD">
        <w:t>measures</w:t>
      </w:r>
      <w:r w:rsidR="00853DFD" w:rsidRPr="00853DFD">
        <w:t xml:space="preserve"> are used to compare two distinct but related sets of data</w:t>
      </w:r>
      <w:r w:rsidR="0012208D">
        <w:t xml:space="preserve"> (for example, days with a hyperglycemic event compared to all eligible hospital days)</w:t>
      </w:r>
      <w:r w:rsidR="006A771B">
        <w:t>. U</w:t>
      </w:r>
      <w:r w:rsidR="00853DFD" w:rsidRPr="00853DFD">
        <w:t>nlike proportion measures where the numerator is a subset of the denominator</w:t>
      </w:r>
      <w:r w:rsidR="007C6369">
        <w:t>, ratio measures use different but related counts to show how often an event occurs in relation to another</w:t>
      </w:r>
      <w:r w:rsidR="00853DFD" w:rsidRPr="00853DFD">
        <w:t>. This distinction makes ratio measures ideal for assessing the quality of care in ways that can</w:t>
      </w:r>
      <w:r w:rsidR="00853DFD">
        <w:t>not</w:t>
      </w:r>
      <w:r w:rsidR="00853DFD" w:rsidRPr="00853DFD">
        <w:t xml:space="preserve"> be captured by a simple </w:t>
      </w:r>
      <w:r w:rsidR="00853DFD">
        <w:t>proportion</w:t>
      </w:r>
      <w:r w:rsidR="00853DFD" w:rsidRPr="00853DFD">
        <w:t xml:space="preserve">. </w:t>
      </w:r>
      <w:r w:rsidR="009E08F5">
        <w:t xml:space="preserve">A complete list of ratio eCQMs by reporting/performance period can be found on the </w:t>
      </w:r>
      <w:hyperlink r:id="rId43" w:history="1">
        <w:r w:rsidR="009E08F5" w:rsidRPr="009E08F5">
          <w:rPr>
            <w:rStyle w:val="Hyperlink"/>
          </w:rPr>
          <w:t>eCQI Resource Center</w:t>
        </w:r>
      </w:hyperlink>
      <w:r w:rsidR="009E08F5">
        <w:t xml:space="preserve">. </w:t>
      </w:r>
    </w:p>
    <w:p w14:paraId="000000BF" w14:textId="1A232F61" w:rsidR="00D67C8C" w:rsidRDefault="00C80A11" w:rsidP="007B65E9">
      <w:pPr>
        <w:pStyle w:val="ParagraphContinued"/>
      </w:pPr>
      <w:r>
        <w:t>The</w:t>
      </w:r>
      <w:r w:rsidR="009E08F5">
        <w:t>se measures</w:t>
      </w:r>
      <w:r>
        <w:t xml:space="preserve"> include the following elements:</w:t>
      </w:r>
    </w:p>
    <w:p w14:paraId="1A14A6EB" w14:textId="5314E20D" w:rsidR="00AA5B20" w:rsidRDefault="00C80A11" w:rsidP="00AA5B20">
      <w:pPr>
        <w:pStyle w:val="ListBullet"/>
      </w:pPr>
      <w:r w:rsidRPr="007B65E9">
        <w:rPr>
          <w:rStyle w:val="RunIn"/>
        </w:rPr>
        <w:t>Initial</w:t>
      </w:r>
      <w:r w:rsidR="003E354D" w:rsidRPr="007B65E9">
        <w:rPr>
          <w:rStyle w:val="RunIn"/>
        </w:rPr>
        <w:t xml:space="preserve"> p</w:t>
      </w:r>
      <w:r w:rsidRPr="007B65E9">
        <w:rPr>
          <w:rStyle w:val="RunIn"/>
        </w:rPr>
        <w:t xml:space="preserve">opulation (IP): </w:t>
      </w:r>
      <w:r w:rsidR="006B3BA1" w:rsidRPr="005F7859">
        <w:t xml:space="preserve">The starting group of patients or care episodes </w:t>
      </w:r>
      <w:r w:rsidR="006B3BA1" w:rsidRPr="006B3BA1">
        <w:t>eligible for inclusion in a measure</w:t>
      </w:r>
      <w:r w:rsidR="006B3BA1">
        <w:t>.</w:t>
      </w:r>
      <w:r w:rsidR="006B3BA1" w:rsidRPr="006B3BA1">
        <w:t xml:space="preserve"> It establishes the scope of evaluation based on characteristics such as age, diagnoses, procedures, or encounter types occurring during the measurement period. </w:t>
      </w:r>
    </w:p>
    <w:p w14:paraId="000000C0" w14:textId="0C14DB59" w:rsidR="00D67C8C" w:rsidRDefault="007C6369" w:rsidP="00FE78AE">
      <w:pPr>
        <w:pStyle w:val="ListBullet"/>
        <w:numPr>
          <w:ilvl w:val="0"/>
          <w:numId w:val="0"/>
        </w:numPr>
        <w:ind w:left="720"/>
      </w:pPr>
      <w:r>
        <w:t xml:space="preserve">Other measure </w:t>
      </w:r>
      <w:r w:rsidR="00AA5B20">
        <w:t>groups (like the numerator and denominator) are selected from this group. In ratio measures, the numerator and denominator can each have their own separate initial population.</w:t>
      </w:r>
    </w:p>
    <w:p w14:paraId="5D34D4C3" w14:textId="172F991C" w:rsidR="00AA5B20" w:rsidRDefault="00C80A11" w:rsidP="00AA5B20">
      <w:pPr>
        <w:pStyle w:val="ListBullet"/>
      </w:pPr>
      <w:r w:rsidRPr="007B65E9">
        <w:rPr>
          <w:rStyle w:val="RunIn"/>
        </w:rPr>
        <w:t xml:space="preserve">Denominator (DENOM): </w:t>
      </w:r>
      <w:r w:rsidR="00AA5B20">
        <w:t>The group used</w:t>
      </w:r>
      <w:r w:rsidR="005F4E20">
        <w:t xml:space="preserve"> to determine</w:t>
      </w:r>
      <w:r w:rsidR="00AA5B20">
        <w:t xml:space="preserve"> the </w:t>
      </w:r>
      <w:r w:rsidR="00FD73B5">
        <w:t>lower</w:t>
      </w:r>
      <w:r w:rsidR="00AA5B20">
        <w:t xml:space="preserve"> part of a ratio.</w:t>
      </w:r>
    </w:p>
    <w:p w14:paraId="000000C1" w14:textId="2D4B3075" w:rsidR="00D67C8C" w:rsidRDefault="00AA5B20" w:rsidP="00C05216">
      <w:pPr>
        <w:pStyle w:val="ListBullet"/>
        <w:numPr>
          <w:ilvl w:val="0"/>
          <w:numId w:val="0"/>
        </w:numPr>
        <w:ind w:left="720"/>
      </w:pPr>
      <w:r>
        <w:t>It can be the same as the initial population or a smaller group based on specific rules. In ratio measures, this is usually a count of opportunities or units of risk, not just patients.</w:t>
      </w:r>
    </w:p>
    <w:p w14:paraId="000000C2" w14:textId="4458DE3E" w:rsidR="00D67C8C" w:rsidRDefault="00C80A11" w:rsidP="007B65E9">
      <w:pPr>
        <w:pStyle w:val="ListBullet"/>
      </w:pPr>
      <w:r w:rsidRPr="007B65E9">
        <w:rPr>
          <w:rStyle w:val="RunIn"/>
        </w:rPr>
        <w:t xml:space="preserve">Denominator </w:t>
      </w:r>
      <w:r w:rsidR="003E354D" w:rsidRPr="007B65E9">
        <w:rPr>
          <w:rStyle w:val="RunIn"/>
        </w:rPr>
        <w:t>e</w:t>
      </w:r>
      <w:r w:rsidRPr="007B65E9">
        <w:rPr>
          <w:rStyle w:val="RunIn"/>
        </w:rPr>
        <w:t>xclusion</w:t>
      </w:r>
      <w:r w:rsidR="00CA12CE" w:rsidRPr="007B65E9">
        <w:rPr>
          <w:rStyle w:val="RunIn"/>
        </w:rPr>
        <w:t>s</w:t>
      </w:r>
      <w:r w:rsidRPr="007B65E9">
        <w:rPr>
          <w:rStyle w:val="RunIn"/>
        </w:rPr>
        <w:t xml:space="preserve"> (DENEX): </w:t>
      </w:r>
      <w:r w:rsidR="004D2C76">
        <w:t>The group of p</w:t>
      </w:r>
      <w:r w:rsidR="00AA5B20" w:rsidRPr="00AA5B20">
        <w:t xml:space="preserve">atients or </w:t>
      </w:r>
      <w:r w:rsidR="00FD73B5">
        <w:t>episodes</w:t>
      </w:r>
      <w:r w:rsidR="00AA5B20" w:rsidRPr="00AA5B20">
        <w:t xml:space="preserve"> that are removed from the denominator based on specific criteria (e.g., clinical appropriateness). In ratio </w:t>
      </w:r>
      <w:r w:rsidR="00AA5B20" w:rsidRPr="00AA5B20">
        <w:lastRenderedPageBreak/>
        <w:t>measures, exclusions only apply to the denominator — they do</w:t>
      </w:r>
      <w:r w:rsidR="00C05216">
        <w:t xml:space="preserve"> no</w:t>
      </w:r>
      <w:r w:rsidR="00AA5B20" w:rsidRPr="00AA5B20">
        <w:t xml:space="preserve">t remove the case </w:t>
      </w:r>
      <w:r w:rsidR="00FD73B5">
        <w:t xml:space="preserve">from consideration for the numerator population. </w:t>
      </w:r>
    </w:p>
    <w:p w14:paraId="73484613" w14:textId="7C458FE1" w:rsidR="00AA5B20" w:rsidRPr="00AA5B20" w:rsidRDefault="00C80A11" w:rsidP="00AA5B20">
      <w:pPr>
        <w:pStyle w:val="ListBullet"/>
        <w:rPr>
          <w:color w:val="242424"/>
        </w:rPr>
      </w:pPr>
      <w:r w:rsidRPr="007B65E9">
        <w:rPr>
          <w:rStyle w:val="RunIn"/>
        </w:rPr>
        <w:t xml:space="preserve">Numerator (NUMER): </w:t>
      </w:r>
      <w:r w:rsidR="00AA5B20" w:rsidRPr="00AA5B20">
        <w:rPr>
          <w:color w:val="242424"/>
        </w:rPr>
        <w:t>The</w:t>
      </w:r>
      <w:r w:rsidR="00FD73B5">
        <w:rPr>
          <w:color w:val="242424"/>
        </w:rPr>
        <w:t xml:space="preserve"> </w:t>
      </w:r>
      <w:r w:rsidR="005F4E20">
        <w:rPr>
          <w:color w:val="242424"/>
        </w:rPr>
        <w:t xml:space="preserve">group used to determine the </w:t>
      </w:r>
      <w:r w:rsidR="00FD73B5">
        <w:rPr>
          <w:color w:val="242424"/>
        </w:rPr>
        <w:t>upper</w:t>
      </w:r>
      <w:r w:rsidR="00AA5B20" w:rsidRPr="00AA5B20">
        <w:rPr>
          <w:color w:val="242424"/>
        </w:rPr>
        <w:t xml:space="preserve"> part of a ratio.</w:t>
      </w:r>
    </w:p>
    <w:p w14:paraId="5F6D31FE" w14:textId="20C01F44" w:rsidR="005F4E20" w:rsidRPr="00AA5B20" w:rsidRDefault="005F4E20" w:rsidP="00C05216">
      <w:pPr>
        <w:pStyle w:val="ListBullet"/>
        <w:numPr>
          <w:ilvl w:val="0"/>
          <w:numId w:val="0"/>
        </w:numPr>
        <w:ind w:left="720"/>
        <w:rPr>
          <w:color w:val="242424"/>
        </w:rPr>
      </w:pPr>
      <w:r>
        <w:t>It is the group of patients or episodes that meet the measure’s quality criterion, such as receiving a specific treatment or experiencing a defined outcome.</w:t>
      </w:r>
    </w:p>
    <w:p w14:paraId="000000C3" w14:textId="3273CC38" w:rsidR="00D67C8C" w:rsidRPr="00FB4AA9" w:rsidRDefault="00AA5B20" w:rsidP="00C05216">
      <w:pPr>
        <w:pStyle w:val="ListBullet"/>
        <w:numPr>
          <w:ilvl w:val="0"/>
          <w:numId w:val="0"/>
        </w:numPr>
        <w:ind w:left="720"/>
      </w:pPr>
      <w:r w:rsidRPr="00AA5B20">
        <w:rPr>
          <w:color w:val="242424"/>
        </w:rPr>
        <w:t>In ratio measures, the numerator is not a subset of the denominator — it comes directly from its own initial population.</w:t>
      </w:r>
    </w:p>
    <w:p w14:paraId="000000C4" w14:textId="43C7A24F" w:rsidR="00D67C8C" w:rsidRDefault="00C80A11" w:rsidP="007B65E9">
      <w:pPr>
        <w:pStyle w:val="ListBullet"/>
      </w:pPr>
      <w:r w:rsidRPr="007B65E9">
        <w:rPr>
          <w:rStyle w:val="RunIn"/>
        </w:rPr>
        <w:t xml:space="preserve">Numerator </w:t>
      </w:r>
      <w:r w:rsidR="003E354D" w:rsidRPr="007B65E9">
        <w:rPr>
          <w:rStyle w:val="RunIn"/>
        </w:rPr>
        <w:t>e</w:t>
      </w:r>
      <w:r w:rsidRPr="007B65E9">
        <w:rPr>
          <w:rStyle w:val="RunIn"/>
        </w:rPr>
        <w:t>xclusion</w:t>
      </w:r>
      <w:r w:rsidR="003E354D" w:rsidRPr="007B65E9">
        <w:rPr>
          <w:rStyle w:val="RunIn"/>
        </w:rPr>
        <w:t>s</w:t>
      </w:r>
      <w:r w:rsidRPr="007B65E9">
        <w:rPr>
          <w:rStyle w:val="RunIn"/>
        </w:rPr>
        <w:t xml:space="preserve"> (NUMEX): </w:t>
      </w:r>
      <w:bookmarkStart w:id="110" w:name="_Hlk214286379"/>
      <w:r w:rsidR="00BD3AB1" w:rsidRPr="006E4951">
        <w:rPr>
          <w:rStyle w:val="RunIn"/>
          <w:b w:val="0"/>
          <w:bCs/>
        </w:rPr>
        <w:t xml:space="preserve">The group of patients or episodes that meet the numerator criteria but should be removed due to specific exclusion rules defined in the measure. </w:t>
      </w:r>
      <w:r w:rsidR="00AA5B20" w:rsidRPr="00C05216">
        <w:rPr>
          <w:rStyle w:val="RunIn"/>
          <w:b w:val="0"/>
          <w:bCs/>
        </w:rPr>
        <w:t>Used only in proportion and ratio measures.</w:t>
      </w:r>
      <w:bookmarkEnd w:id="110"/>
    </w:p>
    <w:p w14:paraId="000000C5" w14:textId="5CAA87C4" w:rsidR="00D67C8C" w:rsidRPr="00C05216" w:rsidRDefault="00C80A11" w:rsidP="00C05216">
      <w:pPr>
        <w:pStyle w:val="ListBullet"/>
        <w:numPr>
          <w:ilvl w:val="0"/>
          <w:numId w:val="0"/>
        </w:numPr>
        <w:ind w:left="720" w:hanging="360"/>
        <w:rPr>
          <w:color w:val="000000" w:themeColor="text1"/>
        </w:rPr>
      </w:pPr>
      <w:r w:rsidRPr="007B65E9">
        <w:rPr>
          <w:rStyle w:val="RunIn"/>
        </w:rPr>
        <w:t xml:space="preserve">Measure </w:t>
      </w:r>
      <w:r w:rsidR="003E354D" w:rsidRPr="007B65E9">
        <w:rPr>
          <w:rStyle w:val="RunIn"/>
        </w:rPr>
        <w:t>o</w:t>
      </w:r>
      <w:r w:rsidRPr="007B65E9">
        <w:rPr>
          <w:rStyle w:val="RunIn"/>
        </w:rPr>
        <w:t xml:space="preserve">bservations: </w:t>
      </w:r>
      <w:r w:rsidR="00514112" w:rsidRPr="00C05216">
        <w:rPr>
          <w:rStyle w:val="RunIn"/>
          <w:b w:val="0"/>
          <w:bCs/>
        </w:rPr>
        <w:t>The calculations performed on the numerator and/or denominator after exclusions are applied.</w:t>
      </w:r>
      <w:r w:rsidR="00514112">
        <w:rPr>
          <w:rStyle w:val="RunIn"/>
        </w:rPr>
        <w:t xml:space="preserve"> </w:t>
      </w:r>
      <w:r w:rsidR="00366E21">
        <w:t xml:space="preserve">For example, </w:t>
      </w:r>
      <w:r w:rsidR="00514112">
        <w:t>in</w:t>
      </w:r>
      <w:r w:rsidR="00366E21">
        <w:t xml:space="preserve"> </w:t>
      </w:r>
      <w:hyperlink r:id="rId44" w:history="1">
        <w:r w:rsidR="00366E21" w:rsidRPr="00F74A5C">
          <w:rPr>
            <w:rStyle w:val="Hyperlink"/>
          </w:rPr>
          <w:t>CMS871v5, Hospital Harm - Severe Hyperglycemia</w:t>
        </w:r>
      </w:hyperlink>
      <w:r w:rsidR="00366E21" w:rsidRPr="00C05216">
        <w:rPr>
          <w:i/>
        </w:rPr>
        <w:t xml:space="preserve">, </w:t>
      </w:r>
      <w:r w:rsidR="00C05216" w:rsidRPr="00C05216">
        <w:rPr>
          <w:iCs/>
        </w:rPr>
        <w:t xml:space="preserve">the </w:t>
      </w:r>
      <w:r w:rsidR="00FD73B5" w:rsidRPr="00C05216">
        <w:rPr>
          <w:i/>
        </w:rPr>
        <w:t>“</w:t>
      </w:r>
      <w:proofErr w:type="spellStart"/>
      <w:r w:rsidR="00C05216">
        <w:rPr>
          <w:rStyle w:val="RunIn"/>
          <w:b w:val="0"/>
        </w:rPr>
        <w:t>DenominatorObservations</w:t>
      </w:r>
      <w:proofErr w:type="spellEnd"/>
      <w:r w:rsidR="00FD73B5" w:rsidRPr="00C05216">
        <w:rPr>
          <w:rStyle w:val="RunIn"/>
          <w:b w:val="0"/>
        </w:rPr>
        <w:t>”</w:t>
      </w:r>
      <w:r w:rsidR="00C05216" w:rsidRPr="00C05216">
        <w:rPr>
          <w:rStyle w:val="RunIn"/>
          <w:b w:val="0"/>
        </w:rPr>
        <w:t xml:space="preserve"> function</w:t>
      </w:r>
      <w:r w:rsidR="00514112" w:rsidRPr="00C05216">
        <w:rPr>
          <w:rStyle w:val="RunIn"/>
          <w:b w:val="0"/>
        </w:rPr>
        <w:t xml:space="preserve"> </w:t>
      </w:r>
      <w:r w:rsidR="00C05216" w:rsidRPr="00C05216">
        <w:rPr>
          <w:rStyle w:val="RunIn"/>
          <w:b w:val="0"/>
        </w:rPr>
        <w:t>computes the number eligible days of the inpatient hospitalizations for patients that meet the initial population/denominator criteria and do not meet denominator exclusion criteria.</w:t>
      </w:r>
      <w:r w:rsidR="00C05216">
        <w:rPr>
          <w:rStyle w:val="RunIn"/>
          <w:b w:val="0"/>
        </w:rPr>
        <w:t xml:space="preserve"> </w:t>
      </w:r>
      <w:r w:rsidR="00C05216" w:rsidRPr="00C05216">
        <w:rPr>
          <w:rStyle w:val="RunIn"/>
          <w:b w:val="0"/>
        </w:rPr>
        <w:t>These are used to produce the final value for reporting. Measure observations may be associated with the denominator or numerator.</w:t>
      </w:r>
      <w:r w:rsidR="00C05216">
        <w:rPr>
          <w:rStyle w:val="RunIn"/>
          <w:b w:val="0"/>
        </w:rPr>
        <w:t xml:space="preserve"> </w:t>
      </w:r>
    </w:p>
    <w:p w14:paraId="000000C6" w14:textId="77777777" w:rsidR="00D67C8C" w:rsidRPr="005E64B8" w:rsidRDefault="00C80A11" w:rsidP="006A5CCC">
      <w:pPr>
        <w:pStyle w:val="ParagraphContinued"/>
      </w:pPr>
      <w:r w:rsidRPr="005E64B8">
        <w:t>The following steps are used to compute a ratio measure denominator:</w:t>
      </w:r>
    </w:p>
    <w:p w14:paraId="000000C7" w14:textId="18FA2B61" w:rsidR="00D67C8C" w:rsidRDefault="00C80A11" w:rsidP="006A5CCC">
      <w:pPr>
        <w:pStyle w:val="ListNumber"/>
      </w:pPr>
      <w:r w:rsidRPr="005E64B8">
        <w:t xml:space="preserve">Identify the patients or episodes of care in the </w:t>
      </w:r>
      <w:r w:rsidR="000B5335">
        <w:t>IP</w:t>
      </w:r>
      <w:r w:rsidRPr="005E64B8">
        <w:t xml:space="preserve"> using the </w:t>
      </w:r>
      <w:r w:rsidR="000B5335">
        <w:t>initial population</w:t>
      </w:r>
      <w:r w:rsidRPr="005E64B8">
        <w:t xml:space="preserve"> criteria. </w:t>
      </w:r>
    </w:p>
    <w:p w14:paraId="000000C8" w14:textId="6CEF3AC9" w:rsidR="00D67C8C" w:rsidRDefault="00C80A11" w:rsidP="006A5CCC">
      <w:pPr>
        <w:pStyle w:val="ListNumber"/>
      </w:pPr>
      <w:r w:rsidRPr="005E64B8">
        <w:t xml:space="preserve">Refine the </w:t>
      </w:r>
      <w:r w:rsidR="00D237EF">
        <w:t>IP</w:t>
      </w:r>
      <w:r w:rsidRPr="005E64B8">
        <w:t xml:space="preserve"> by applying denominator criteria to identify the </w:t>
      </w:r>
      <w:r w:rsidR="00740963">
        <w:t>DENOM</w:t>
      </w:r>
      <w:r w:rsidRPr="005E64B8">
        <w:t xml:space="preserve"> cases. The </w:t>
      </w:r>
      <w:r w:rsidR="00740963">
        <w:t>DENOM</w:t>
      </w:r>
      <w:r w:rsidR="00740963" w:rsidRPr="005E64B8">
        <w:t xml:space="preserve"> </w:t>
      </w:r>
      <w:r w:rsidRPr="005E64B8">
        <w:t xml:space="preserve">may equal the </w:t>
      </w:r>
      <w:r w:rsidR="000B5335">
        <w:t>I</w:t>
      </w:r>
      <w:r w:rsidRPr="005E64B8">
        <w:t>P.</w:t>
      </w:r>
    </w:p>
    <w:p w14:paraId="30E0303E" w14:textId="3B8E31D4" w:rsidR="00540355" w:rsidRDefault="00C80A11" w:rsidP="006A5CCC">
      <w:pPr>
        <w:pStyle w:val="ListNumber"/>
      </w:pPr>
      <w:r w:rsidRPr="00540355">
        <w:t xml:space="preserve">Review </w:t>
      </w:r>
      <w:r w:rsidR="00D237EF">
        <w:t>DENOM</w:t>
      </w:r>
      <w:r w:rsidRPr="00540355">
        <w:t xml:space="preserve"> cases against denominator exclusion criteria. If a case meets denominator exclusion criteria, label it as a </w:t>
      </w:r>
      <w:r w:rsidR="000B5335">
        <w:t xml:space="preserve">DENEX </w:t>
      </w:r>
      <w:r w:rsidRPr="00540355">
        <w:t xml:space="preserve">and remove it from the </w:t>
      </w:r>
      <w:r w:rsidR="00D237EF">
        <w:t>DENOM</w:t>
      </w:r>
      <w:r w:rsidRPr="00540355">
        <w:t>.</w:t>
      </w:r>
    </w:p>
    <w:p w14:paraId="2AA99CB7" w14:textId="18696FC2" w:rsidR="00540355" w:rsidRDefault="00C80A11" w:rsidP="006A5CCC">
      <w:pPr>
        <w:pStyle w:val="ListNumber"/>
      </w:pPr>
      <w:r w:rsidRPr="005E64B8">
        <w:t xml:space="preserve">Evaluate each remaining member of the </w:t>
      </w:r>
      <w:r w:rsidR="00800CF0">
        <w:t>DENOM</w:t>
      </w:r>
      <w:r w:rsidRPr="005E64B8">
        <w:t xml:space="preserve"> (</w:t>
      </w:r>
      <w:r w:rsidR="00042323">
        <w:t>for example</w:t>
      </w:r>
      <w:r w:rsidRPr="005E64B8">
        <w:t xml:space="preserve">, all cases that meet the DENOM and </w:t>
      </w:r>
      <w:r w:rsidRPr="00540355">
        <w:rPr>
          <w:i/>
        </w:rPr>
        <w:t xml:space="preserve">not </w:t>
      </w:r>
      <w:r w:rsidRPr="005E64B8">
        <w:t>DENEX</w:t>
      </w:r>
      <w:r w:rsidRPr="00540355">
        <w:rPr>
          <w:i/>
        </w:rPr>
        <w:t xml:space="preserve">) </w:t>
      </w:r>
      <w:r w:rsidRPr="005E64B8">
        <w:t xml:space="preserve">against the defined measure observations criteria and aggregate the results using the specified operator. </w:t>
      </w:r>
    </w:p>
    <w:p w14:paraId="000000CB" w14:textId="60795B1F" w:rsidR="00D67C8C" w:rsidRPr="005E64B8" w:rsidRDefault="00C80A11" w:rsidP="006A5CCC">
      <w:pPr>
        <w:pStyle w:val="ParagraphContinued"/>
      </w:pPr>
      <w:r>
        <w:t>The following steps are used to compute a ratio measure numerator:</w:t>
      </w:r>
    </w:p>
    <w:p w14:paraId="000000CC" w14:textId="09BF373E" w:rsidR="00D67C8C" w:rsidRDefault="00C80A11" w:rsidP="00DA33BC">
      <w:pPr>
        <w:pStyle w:val="ListNumber"/>
        <w:numPr>
          <w:ilvl w:val="0"/>
          <w:numId w:val="48"/>
        </w:numPr>
      </w:pPr>
      <w:r w:rsidRPr="005E64B8">
        <w:t xml:space="preserve">Identify the patients or episodes of care in the </w:t>
      </w:r>
      <w:r w:rsidR="002D75F1">
        <w:t>IP</w:t>
      </w:r>
      <w:r w:rsidRPr="005E64B8">
        <w:t xml:space="preserve"> using the </w:t>
      </w:r>
      <w:r w:rsidR="002D75F1">
        <w:t>initial population</w:t>
      </w:r>
      <w:r w:rsidRPr="005E64B8">
        <w:t xml:space="preserve"> criteria. </w:t>
      </w:r>
    </w:p>
    <w:p w14:paraId="000000CD" w14:textId="22769DBD" w:rsidR="00D67C8C" w:rsidRDefault="00C80A11" w:rsidP="00DA33BC">
      <w:pPr>
        <w:pStyle w:val="ListNumber"/>
        <w:numPr>
          <w:ilvl w:val="0"/>
          <w:numId w:val="48"/>
        </w:numPr>
      </w:pPr>
      <w:r w:rsidRPr="005E64B8">
        <w:t xml:space="preserve">Refine the </w:t>
      </w:r>
      <w:r w:rsidR="00D237EF">
        <w:t>IP</w:t>
      </w:r>
      <w:r w:rsidRPr="005E64B8">
        <w:t xml:space="preserve"> by applying numerator criteria to identify the </w:t>
      </w:r>
      <w:r w:rsidR="002D75F1">
        <w:t>NUMER cases</w:t>
      </w:r>
      <w:r w:rsidRPr="005E64B8">
        <w:t xml:space="preserve">. </w:t>
      </w:r>
    </w:p>
    <w:p w14:paraId="000000CE" w14:textId="0AA79A75" w:rsidR="00D67C8C" w:rsidRDefault="00C80A11" w:rsidP="00DA33BC">
      <w:pPr>
        <w:pStyle w:val="ListNumber"/>
        <w:numPr>
          <w:ilvl w:val="0"/>
          <w:numId w:val="48"/>
        </w:numPr>
      </w:pPr>
      <w:r w:rsidRPr="005E64B8">
        <w:t xml:space="preserve">Review </w:t>
      </w:r>
      <w:r w:rsidR="002D75F1">
        <w:t>NUMER</w:t>
      </w:r>
      <w:r w:rsidRPr="005E64B8">
        <w:t xml:space="preserve"> cases against numerator exclusion criteria. If a case meets numerator exclusion criteria, label it as a NUMEX and remove it from the </w:t>
      </w:r>
      <w:r w:rsidR="002D75F1">
        <w:t>NUMER</w:t>
      </w:r>
      <w:r w:rsidRPr="005E64B8">
        <w:t>.</w:t>
      </w:r>
    </w:p>
    <w:p w14:paraId="000000D0" w14:textId="56A4CAE5" w:rsidR="00D67C8C" w:rsidRDefault="00C80A11" w:rsidP="00DA33BC">
      <w:pPr>
        <w:pStyle w:val="ListNumber"/>
        <w:numPr>
          <w:ilvl w:val="0"/>
          <w:numId w:val="48"/>
        </w:numPr>
      </w:pPr>
      <w:r w:rsidRPr="005E64B8">
        <w:t xml:space="preserve">Evaluate each remaining member of the </w:t>
      </w:r>
      <w:r w:rsidR="00800CF0">
        <w:t>NUMER</w:t>
      </w:r>
      <w:r w:rsidRPr="005E64B8">
        <w:t xml:space="preserve"> (</w:t>
      </w:r>
      <w:r w:rsidR="00042323">
        <w:t>for example</w:t>
      </w:r>
      <w:r w:rsidRPr="005E64B8">
        <w:t xml:space="preserve">, all cases that meet the NUMER and </w:t>
      </w:r>
      <w:r w:rsidRPr="006A5CCC">
        <w:rPr>
          <w:i/>
        </w:rPr>
        <w:t xml:space="preserve">not </w:t>
      </w:r>
      <w:r w:rsidRPr="005E64B8">
        <w:t>NUMEX</w:t>
      </w:r>
      <w:r w:rsidRPr="006A5CCC">
        <w:rPr>
          <w:i/>
        </w:rPr>
        <w:t xml:space="preserve">) </w:t>
      </w:r>
      <w:r w:rsidRPr="005E64B8">
        <w:t xml:space="preserve">against the defined measure observations criteria and aggregate the results using the specified operator. </w:t>
      </w:r>
    </w:p>
    <w:p w14:paraId="000000D1" w14:textId="44B57A2D" w:rsidR="00D67C8C" w:rsidRDefault="00D237EF" w:rsidP="006A5CCC">
      <w:pPr>
        <w:pStyle w:val="ParagraphContinued"/>
      </w:pPr>
      <w:r>
        <w:t>A</w:t>
      </w:r>
      <w:r w:rsidR="00C80A11">
        <w:t xml:space="preserve">ggregate scores for ratio measures </w:t>
      </w:r>
      <w:r w:rsidR="00E040C9">
        <w:t xml:space="preserve">can be </w:t>
      </w:r>
      <w:r w:rsidR="00C80A11">
        <w:t xml:space="preserve">more than just the counts of cases in each population. In addition to the identification of measure population(s), ratio measures </w:t>
      </w:r>
      <w:r w:rsidR="00CF2836">
        <w:t xml:space="preserve">can </w:t>
      </w:r>
      <w:r w:rsidR="00C80A11">
        <w:t>define observations on cases falling into various populations and then aggregate these individual observations according to aggregation rules specific to each measure.</w:t>
      </w:r>
    </w:p>
    <w:p w14:paraId="000000D2" w14:textId="4E5E78F8" w:rsidR="00D67C8C" w:rsidRDefault="00C80A11" w:rsidP="003C1D89">
      <w:pPr>
        <w:pStyle w:val="Paragraph"/>
      </w:pPr>
      <w:r>
        <w:t>In ratio measures, for each population, the measure developer should use individual observations (</w:t>
      </w:r>
      <w:r w:rsidR="00042323">
        <w:t>for example</w:t>
      </w:r>
      <w:r>
        <w:t>, measurements or calculations) for denominator and numerator cases, and then use them to calculate the aggregate ratio:</w:t>
      </w:r>
    </w:p>
    <w:p w14:paraId="000000D3" w14:textId="351B1618" w:rsidR="00D67C8C" w:rsidRDefault="00C80A11" w:rsidP="003C1D89">
      <w:pPr>
        <w:pStyle w:val="Paragraph"/>
        <w:spacing w:before="240" w:after="240"/>
        <w:jc w:val="center"/>
      </w:pPr>
      <w:r>
        <w:lastRenderedPageBreak/>
        <w:t>Ratio: Aggregate NUMER / Aggregate DENOM</w:t>
      </w:r>
    </w:p>
    <w:p w14:paraId="000000D4" w14:textId="011CF7AE" w:rsidR="00D67C8C" w:rsidRDefault="00C80A11" w:rsidP="003C1D89">
      <w:pPr>
        <w:pStyle w:val="Paragraph"/>
      </w:pPr>
      <w:r>
        <w:t>Calculate the aggregate DENOM using individual observations for all cases in the DENOM and not in the DENEX and calculate the aggregate NUMER using individual observations for all cases in the NUMER and not in the NUMEX.</w:t>
      </w:r>
      <w:r w:rsidR="00EB6A9A">
        <w:t xml:space="preserve"> For more detailed examples of ratio measure calculations, please reference the MMS Hub Measure Calculations guide, saved as a supplemental material on the </w:t>
      </w:r>
      <w:hyperlink r:id="rId45" w:history="1">
        <w:r w:rsidR="00EB6A9A" w:rsidRPr="00D404CB">
          <w:rPr>
            <w:rStyle w:val="Hyperlink"/>
          </w:rPr>
          <w:t>MMS Resources and Templates</w:t>
        </w:r>
      </w:hyperlink>
      <w:r w:rsidR="00EB6A9A">
        <w:t xml:space="preserve"> page.</w:t>
      </w:r>
    </w:p>
    <w:p w14:paraId="000000D5" w14:textId="7CA6AE53" w:rsidR="00D67C8C" w:rsidRDefault="00C80A11" w:rsidP="003C1D89">
      <w:pPr>
        <w:pStyle w:val="Paragraph"/>
      </w:pPr>
      <w:r>
        <w:t>Unlike proportion and continuous variable measures, ratio measures cannot apply stratification requirements</w:t>
      </w:r>
      <w:r w:rsidR="00320541">
        <w:t xml:space="preserve"> unless the </w:t>
      </w:r>
      <w:r w:rsidR="00E30F3C">
        <w:t>numerator</w:t>
      </w:r>
      <w:r w:rsidR="00DE0CEC">
        <w:t xml:space="preserve"> and </w:t>
      </w:r>
      <w:r w:rsidR="00E30F3C">
        <w:t>denominator are pulled from the same initial population</w:t>
      </w:r>
      <w:r>
        <w:t xml:space="preserve">. </w:t>
      </w:r>
    </w:p>
    <w:p w14:paraId="000000D6" w14:textId="61127E38" w:rsidR="00D67C8C" w:rsidRDefault="003C1D89" w:rsidP="003C1D89">
      <w:pPr>
        <w:pStyle w:val="H2-Num"/>
      </w:pPr>
      <w:bookmarkStart w:id="111" w:name="_heading=h.1gf8i83" w:colFirst="0" w:colLast="0"/>
      <w:bookmarkStart w:id="112" w:name="_Toc159578368"/>
      <w:bookmarkStart w:id="113" w:name="_Toc194959000"/>
      <w:bookmarkStart w:id="114" w:name="_Toc194994742"/>
      <w:bookmarkEnd w:id="111"/>
      <w:r>
        <w:rPr>
          <w:rFonts w:eastAsia="Arial Narrow"/>
        </w:rPr>
        <w:t>1.4</w:t>
      </w:r>
      <w:r>
        <w:rPr>
          <w:rFonts w:eastAsia="Arial Narrow"/>
        </w:rPr>
        <w:tab/>
      </w:r>
      <w:r w:rsidR="00C80A11" w:rsidRPr="005E64B8">
        <w:rPr>
          <w:rFonts w:eastAsia="Arial Narrow"/>
        </w:rPr>
        <w:t xml:space="preserve">Hybrid </w:t>
      </w:r>
      <w:bookmarkEnd w:id="107"/>
      <w:bookmarkEnd w:id="108"/>
      <w:r w:rsidR="00C80A11" w:rsidRPr="005E64B8">
        <w:rPr>
          <w:rFonts w:eastAsia="Arial Narrow"/>
        </w:rPr>
        <w:t>Measures</w:t>
      </w:r>
      <w:bookmarkEnd w:id="112"/>
      <w:bookmarkEnd w:id="113"/>
      <w:bookmarkEnd w:id="114"/>
    </w:p>
    <w:p w14:paraId="000000D7" w14:textId="0E05318C" w:rsidR="00D67C8C" w:rsidRPr="005E64B8" w:rsidRDefault="00C80A11" w:rsidP="003C1D89">
      <w:pPr>
        <w:pStyle w:val="ParagraphContinued"/>
        <w:rPr>
          <w:b/>
          <w:color w:val="0563C1"/>
          <w:highlight w:val="white"/>
          <w:u w:val="single"/>
        </w:rPr>
      </w:pPr>
      <w:r>
        <w:t>Hybrid measures are quality measures merging data elements from two or more sources to calculate measure results</w:t>
      </w:r>
      <w:r w:rsidR="00343C6A">
        <w:t xml:space="preserve"> (</w:t>
      </w:r>
      <w:r>
        <w:t xml:space="preserve">for example, </w:t>
      </w:r>
      <w:r w:rsidR="0077280C">
        <w:t>EHR</w:t>
      </w:r>
      <w:r>
        <w:t xml:space="preserve"> and claims data</w:t>
      </w:r>
      <w:r w:rsidR="00343C6A">
        <w:t>)</w:t>
      </w:r>
      <w:r>
        <w:t xml:space="preserve">. These measures require updates to both the electronic specifications and claims-based specifications, available on </w:t>
      </w:r>
      <w:hyperlink r:id="rId46">
        <w:proofErr w:type="spellStart"/>
        <w:r>
          <w:rPr>
            <w:color w:val="0563C1"/>
            <w:u w:val="single"/>
          </w:rPr>
          <w:t>QualityNet</w:t>
        </w:r>
        <w:proofErr w:type="spellEnd"/>
      </w:hyperlink>
      <w:r>
        <w:t xml:space="preserve">. For more information on hybrid measures, please see the </w:t>
      </w:r>
      <w:hyperlink r:id="rId47" w:history="1">
        <w:r w:rsidR="00C725A8" w:rsidRPr="00C725A8">
          <w:rPr>
            <w:rStyle w:val="Hyperlink"/>
          </w:rPr>
          <w:t>h</w:t>
        </w:r>
        <w:r w:rsidRPr="00C725A8">
          <w:rPr>
            <w:rStyle w:val="Hyperlink"/>
          </w:rPr>
          <w:t>y</w:t>
        </w:r>
        <w:r w:rsidRPr="00C725A8">
          <w:rPr>
            <w:rStyle w:val="Hyperlink"/>
            <w:highlight w:val="white"/>
          </w:rPr>
          <w:t xml:space="preserve">brid </w:t>
        </w:r>
        <w:r w:rsidR="00C725A8" w:rsidRPr="00C725A8">
          <w:rPr>
            <w:rStyle w:val="Hyperlink"/>
            <w:highlight w:val="white"/>
          </w:rPr>
          <w:t>m</w:t>
        </w:r>
        <w:r w:rsidRPr="00C725A8">
          <w:rPr>
            <w:rStyle w:val="Hyperlink"/>
            <w:highlight w:val="white"/>
          </w:rPr>
          <w:t xml:space="preserve">easures </w:t>
        </w:r>
        <w:r w:rsidR="00C725A8" w:rsidRPr="00C725A8">
          <w:rPr>
            <w:rStyle w:val="Hyperlink"/>
            <w:highlight w:val="white"/>
          </w:rPr>
          <w:t>sub</w:t>
        </w:r>
        <w:r w:rsidRPr="00C725A8">
          <w:rPr>
            <w:rStyle w:val="Hyperlink"/>
            <w:highlight w:val="white"/>
          </w:rPr>
          <w:t>section</w:t>
        </w:r>
      </w:hyperlink>
      <w:r>
        <w:rPr>
          <w:color w:val="333333"/>
          <w:highlight w:val="white"/>
        </w:rPr>
        <w:t xml:space="preserve"> of the </w:t>
      </w:r>
      <w:r w:rsidRPr="00C725A8">
        <w:rPr>
          <w:highlight w:val="white"/>
        </w:rPr>
        <w:t>eCQI Resource Center</w:t>
      </w:r>
      <w:r>
        <w:t>.</w:t>
      </w:r>
    </w:p>
    <w:p w14:paraId="000000D8" w14:textId="2B508CC8" w:rsidR="00D67C8C" w:rsidRPr="005E64B8" w:rsidRDefault="003C1D89" w:rsidP="003C1D89">
      <w:pPr>
        <w:pStyle w:val="H2-Num"/>
        <w:rPr>
          <w:rFonts w:eastAsia="Arial Narrow"/>
        </w:rPr>
      </w:pPr>
      <w:bookmarkStart w:id="115" w:name="_heading=h.40ew0vw" w:colFirst="0" w:colLast="0"/>
      <w:bookmarkStart w:id="116" w:name="_Toc159578369"/>
      <w:bookmarkStart w:id="117" w:name="_Toc194959001"/>
      <w:bookmarkStart w:id="118" w:name="_Toc194994743"/>
      <w:bookmarkStart w:id="119" w:name="_Toc64983052"/>
      <w:bookmarkEnd w:id="109"/>
      <w:bookmarkEnd w:id="115"/>
      <w:r>
        <w:rPr>
          <w:rFonts w:eastAsia="Arial Narrow"/>
        </w:rPr>
        <w:t>1.5</w:t>
      </w:r>
      <w:r>
        <w:rPr>
          <w:rFonts w:eastAsia="Arial Narrow"/>
        </w:rPr>
        <w:tab/>
      </w:r>
      <w:r w:rsidR="00C80A11" w:rsidRPr="005E64B8">
        <w:rPr>
          <w:rFonts w:eastAsia="Arial Narrow"/>
        </w:rPr>
        <w:t>Program Candidate eCQMs</w:t>
      </w:r>
      <w:bookmarkEnd w:id="116"/>
      <w:bookmarkEnd w:id="117"/>
      <w:bookmarkEnd w:id="118"/>
      <w:r w:rsidR="00C80A11" w:rsidRPr="005E64B8">
        <w:rPr>
          <w:rFonts w:eastAsia="Arial Narrow"/>
        </w:rPr>
        <w:t xml:space="preserve"> </w:t>
      </w:r>
      <w:bookmarkEnd w:id="119"/>
    </w:p>
    <w:p w14:paraId="000000D9" w14:textId="086B0636" w:rsidR="00D67C8C" w:rsidRDefault="00C80A11" w:rsidP="003C1D89">
      <w:pPr>
        <w:pStyle w:val="ParagraphContinued"/>
        <w:rPr>
          <w:b/>
          <w:color w:val="242424"/>
          <w:highlight w:val="white"/>
        </w:rPr>
        <w:sectPr w:rsidR="00D67C8C">
          <w:headerReference w:type="even" r:id="rId48"/>
          <w:headerReference w:type="default" r:id="rId49"/>
          <w:footerReference w:type="default" r:id="rId50"/>
          <w:headerReference w:type="first" r:id="rId51"/>
          <w:footerReference w:type="first" r:id="rId52"/>
          <w:pgSz w:w="12240" w:h="15840"/>
          <w:pgMar w:top="1440" w:right="1440" w:bottom="1440" w:left="1440" w:header="504" w:footer="504" w:gutter="0"/>
          <w:cols w:space="720"/>
          <w:titlePg/>
        </w:sectPr>
      </w:pPr>
      <w:bookmarkStart w:id="120" w:name="_heading=h.2fk6b3p" w:colFirst="0" w:colLast="0"/>
      <w:bookmarkStart w:id="121" w:name="_Toc56635367"/>
      <w:bookmarkStart w:id="122" w:name="_Toc64983053"/>
      <w:bookmarkEnd w:id="120"/>
      <w:r>
        <w:t xml:space="preserve">Program candidate eCQMs are not eligible for CMS quality reporting until CMS proposes and finalizes them through notice-and-comment rulemaking for each applicable program. Program candidate measures can be found on the eCQI Resource Center website in designated </w:t>
      </w:r>
      <w:hyperlink r:id="rId53" w:history="1">
        <w:r w:rsidR="003E34B9" w:rsidRPr="003E34B9">
          <w:rPr>
            <w:rStyle w:val="Hyperlink"/>
          </w:rPr>
          <w:t>Hospital</w:t>
        </w:r>
        <w:r w:rsidR="0063185B" w:rsidRPr="003E34B9">
          <w:rPr>
            <w:rStyle w:val="Hyperlink"/>
          </w:rPr>
          <w:t xml:space="preserve"> </w:t>
        </w:r>
        <w:r w:rsidR="00672BF5">
          <w:rPr>
            <w:rStyle w:val="Hyperlink"/>
          </w:rPr>
          <w:t>-</w:t>
        </w:r>
        <w:r w:rsidR="00F56868" w:rsidRPr="003E34B9">
          <w:rPr>
            <w:rStyle w:val="Hyperlink"/>
          </w:rPr>
          <w:t xml:space="preserve"> </w:t>
        </w:r>
        <w:r w:rsidR="003E34B9" w:rsidRPr="003E34B9">
          <w:rPr>
            <w:rStyle w:val="Hyperlink"/>
          </w:rPr>
          <w:t>I</w:t>
        </w:r>
        <w:r w:rsidR="0063185B" w:rsidRPr="003E34B9">
          <w:rPr>
            <w:rStyle w:val="Hyperlink"/>
          </w:rPr>
          <w:t>npatient</w:t>
        </w:r>
      </w:hyperlink>
      <w:r>
        <w:t xml:space="preserve">, </w:t>
      </w:r>
      <w:hyperlink r:id="rId54" w:history="1">
        <w:r w:rsidR="003E34B9" w:rsidRPr="003E34B9">
          <w:rPr>
            <w:rStyle w:val="Hyperlink"/>
          </w:rPr>
          <w:t>H</w:t>
        </w:r>
        <w:r w:rsidR="007A5E49" w:rsidRPr="003E34B9">
          <w:rPr>
            <w:rStyle w:val="Hyperlink"/>
          </w:rPr>
          <w:t xml:space="preserve">ospital </w:t>
        </w:r>
        <w:r w:rsidR="00672BF5">
          <w:rPr>
            <w:rStyle w:val="Hyperlink"/>
          </w:rPr>
          <w:t>-</w:t>
        </w:r>
        <w:r w:rsidR="007A5E49" w:rsidRPr="003E34B9">
          <w:rPr>
            <w:rStyle w:val="Hyperlink"/>
          </w:rPr>
          <w:t xml:space="preserve"> </w:t>
        </w:r>
        <w:r w:rsidR="003E34B9" w:rsidRPr="003E34B9">
          <w:rPr>
            <w:rStyle w:val="Hyperlink"/>
          </w:rPr>
          <w:t>O</w:t>
        </w:r>
        <w:r w:rsidR="0063185B" w:rsidRPr="003E34B9">
          <w:rPr>
            <w:rStyle w:val="Hyperlink"/>
          </w:rPr>
          <w:t>utpatient</w:t>
        </w:r>
      </w:hyperlink>
      <w:r w:rsidR="0063185B">
        <w:t xml:space="preserve">, and </w:t>
      </w:r>
      <w:hyperlink r:id="rId55" w:history="1">
        <w:r w:rsidR="003E34B9" w:rsidRPr="003E34B9">
          <w:rPr>
            <w:rStyle w:val="Hyperlink"/>
          </w:rPr>
          <w:t>E</w:t>
        </w:r>
        <w:r w:rsidR="0063185B" w:rsidRPr="003E34B9">
          <w:rPr>
            <w:rStyle w:val="Hyperlink"/>
          </w:rPr>
          <w:t xml:space="preserve">ligible </w:t>
        </w:r>
        <w:r w:rsidR="003E34B9" w:rsidRPr="003E34B9">
          <w:rPr>
            <w:rStyle w:val="Hyperlink"/>
          </w:rPr>
          <w:t>C</w:t>
        </w:r>
        <w:r w:rsidR="0063185B" w:rsidRPr="003E34B9">
          <w:rPr>
            <w:rStyle w:val="Hyperlink"/>
          </w:rPr>
          <w:t>linician</w:t>
        </w:r>
      </w:hyperlink>
      <w:r>
        <w:t xml:space="preserve"> subsections by filtering on the reporting/performance </w:t>
      </w:r>
      <w:r w:rsidR="000F62B9">
        <w:t>period</w:t>
      </w:r>
      <w:r>
        <w:t xml:space="preserve"> </w:t>
      </w:r>
      <w:r w:rsidR="00EB6A9A">
        <w:t>and</w:t>
      </w:r>
      <w:r>
        <w:t xml:space="preserve"> </w:t>
      </w:r>
      <w:r w:rsidR="00343C6A">
        <w:t>“</w:t>
      </w:r>
      <w:r>
        <w:t>Program Candidate eCQMs.</w:t>
      </w:r>
      <w:r w:rsidR="00343C6A">
        <w:t>”</w:t>
      </w:r>
    </w:p>
    <w:p w14:paraId="000000DE" w14:textId="05F192D5" w:rsidR="00D67C8C" w:rsidRDefault="003C1D89" w:rsidP="003C1D89">
      <w:pPr>
        <w:pStyle w:val="H1-Num"/>
      </w:pPr>
      <w:bookmarkStart w:id="123" w:name="_heading=h.upglbi" w:colFirst="0" w:colLast="0"/>
      <w:bookmarkStart w:id="124" w:name="_heading=h.3ep43zb" w:colFirst="0" w:colLast="0"/>
      <w:bookmarkStart w:id="125" w:name="_heading=h.1tuee74" w:colFirst="0" w:colLast="0"/>
      <w:bookmarkStart w:id="126" w:name="_heading=h.4du1wux" w:colFirst="0" w:colLast="0"/>
      <w:bookmarkStart w:id="127" w:name="_heading=h.2szc72q" w:colFirst="0" w:colLast="0"/>
      <w:bookmarkStart w:id="128" w:name="_Toc388957381"/>
      <w:bookmarkStart w:id="129" w:name="_Toc23176741"/>
      <w:bookmarkStart w:id="130" w:name="_Toc446948747"/>
      <w:bookmarkStart w:id="131" w:name="_Toc56635368"/>
      <w:bookmarkStart w:id="132" w:name="_Toc64983060"/>
      <w:bookmarkStart w:id="133" w:name="_Toc159578372"/>
      <w:bookmarkStart w:id="134" w:name="_Toc194959002"/>
      <w:bookmarkStart w:id="135" w:name="_Toc194994744"/>
      <w:bookmarkEnd w:id="121"/>
      <w:bookmarkEnd w:id="122"/>
      <w:bookmarkEnd w:id="123"/>
      <w:bookmarkEnd w:id="124"/>
      <w:bookmarkEnd w:id="125"/>
      <w:bookmarkEnd w:id="126"/>
      <w:bookmarkEnd w:id="127"/>
      <w:bookmarkEnd w:id="128"/>
      <w:r>
        <w:lastRenderedPageBreak/>
        <w:t>2.</w:t>
      </w:r>
      <w:r>
        <w:tab/>
      </w:r>
      <w:r w:rsidR="00C80A11" w:rsidRPr="005E64B8">
        <w:t>Clinical Quality Language Measure Logic</w:t>
      </w:r>
      <w:bookmarkEnd w:id="129"/>
      <w:bookmarkEnd w:id="130"/>
      <w:bookmarkEnd w:id="131"/>
      <w:bookmarkEnd w:id="132"/>
      <w:bookmarkEnd w:id="133"/>
      <w:bookmarkEnd w:id="134"/>
      <w:bookmarkEnd w:id="135"/>
    </w:p>
    <w:p w14:paraId="000000DF" w14:textId="59950202" w:rsidR="00D67C8C" w:rsidRDefault="00C80A11" w:rsidP="003C1D89">
      <w:pPr>
        <w:pStyle w:val="ParagraphContinued"/>
      </w:pPr>
      <w:r>
        <w:t xml:space="preserve">eCQMs use </w:t>
      </w:r>
      <w:r w:rsidR="00FD24C3">
        <w:t>Clinical Quality Language (</w:t>
      </w:r>
      <w:r>
        <w:t>CQL</w:t>
      </w:r>
      <w:r w:rsidR="00FD24C3">
        <w:t>)</w:t>
      </w:r>
      <w:r>
        <w:t xml:space="preserve"> logic and the QDM to harmonize standards between clinical decision support and eCQM reporting. CQL is a clinically focused</w:t>
      </w:r>
      <w:r w:rsidR="009048E9">
        <w:t>,</w:t>
      </w:r>
      <w:r>
        <w:t xml:space="preserve"> high-level query language that can express sophisticated eCQM logic. A significant feature of CQL is its use of libraries, which are collections of CQL definitions or function statements that eCQM and clinical decision support artifact developers can share across and between eCQMs and decision support rules. The use of shared functions and definitions results in greater consistency across eCQMs and enables developers to reuse the same statements. </w:t>
      </w:r>
    </w:p>
    <w:p w14:paraId="5E7CC18E" w14:textId="41E61DEC" w:rsidR="0010556B" w:rsidRPr="0010556B" w:rsidRDefault="00C80A11" w:rsidP="003C1D89">
      <w:pPr>
        <w:pStyle w:val="Paragraph"/>
      </w:pPr>
      <w:r>
        <w:t>Several Health Level Seven International (HL7</w:t>
      </w:r>
      <w:r>
        <w:rPr>
          <w:vertAlign w:val="superscript"/>
        </w:rPr>
        <w:t>®</w:t>
      </w:r>
      <w:r>
        <w:t xml:space="preserve">) </w:t>
      </w:r>
      <w:proofErr w:type="gramStart"/>
      <w:r>
        <w:t>implementation</w:t>
      </w:r>
      <w:proofErr w:type="gramEnd"/>
      <w:r>
        <w:t xml:space="preserve"> guides (IG</w:t>
      </w:r>
      <w:r w:rsidR="000F62B9">
        <w:t>s</w:t>
      </w:r>
      <w:r>
        <w:t>) and related resources provide direction on using CQL expressions and QDM data elements in the eCQM via the Health Quality Measures Format (HQMF). The</w:t>
      </w:r>
      <w:r w:rsidR="0010556B">
        <w:t xml:space="preserve"> following resources are primary sources for interpr</w:t>
      </w:r>
      <w:r w:rsidR="0010556B" w:rsidRPr="0010556B">
        <w:t>eting eCQM representation:</w:t>
      </w:r>
      <w:r w:rsidRPr="0010556B">
        <w:t xml:space="preserve"> </w:t>
      </w:r>
    </w:p>
    <w:p w14:paraId="4036379A" w14:textId="77777777" w:rsidR="0010556B" w:rsidRPr="003C1D89" w:rsidRDefault="00C80A11" w:rsidP="003C1D89">
      <w:pPr>
        <w:pStyle w:val="ListBullet"/>
        <w:rPr>
          <w:rStyle w:val="Hyperlink"/>
        </w:rPr>
      </w:pPr>
      <w:hyperlink r:id="rId56">
        <w:r w:rsidRPr="003C1D89">
          <w:rPr>
            <w:rStyle w:val="Hyperlink"/>
            <w:highlight w:val="white"/>
          </w:rPr>
          <w:t>HL7 Version 3 Implementation Guide: Clinical Quality Language (CQL)-based Health Quality Measure Format (HQMF), Release 1, Standard for Trial Use 4.1—US Realm</w:t>
        </w:r>
      </w:hyperlink>
    </w:p>
    <w:p w14:paraId="69851E4F" w14:textId="77777777" w:rsidR="0010556B" w:rsidRPr="003C1D89" w:rsidRDefault="00C80A11" w:rsidP="003C1D89">
      <w:pPr>
        <w:pStyle w:val="ListBullet"/>
        <w:rPr>
          <w:rStyle w:val="Hyperlink"/>
        </w:rPr>
      </w:pPr>
      <w:hyperlink r:id="rId57">
        <w:r w:rsidRPr="003C1D89">
          <w:rPr>
            <w:rStyle w:val="Hyperlink"/>
          </w:rPr>
          <w:t>Clinical Quality Language Specification, Release 1 Mixed Normative/Trial-Use (CQL 1.5)</w:t>
        </w:r>
      </w:hyperlink>
    </w:p>
    <w:p w14:paraId="667A9149" w14:textId="01385798" w:rsidR="0010556B" w:rsidRPr="003C1D89" w:rsidRDefault="00C80A11" w:rsidP="003C1D89">
      <w:pPr>
        <w:pStyle w:val="ListBullet"/>
        <w:rPr>
          <w:rStyle w:val="Hyperlink"/>
        </w:rPr>
      </w:pPr>
      <w:hyperlink r:id="rId58">
        <w:r w:rsidRPr="003C1D89">
          <w:rPr>
            <w:rStyle w:val="Hyperlink"/>
          </w:rPr>
          <w:t>CQL Formatting and Usage Wiki</w:t>
        </w:r>
      </w:hyperlink>
    </w:p>
    <w:p w14:paraId="24473DC3" w14:textId="77777777" w:rsidR="0010556B" w:rsidRDefault="00C80A11" w:rsidP="003C1D89">
      <w:pPr>
        <w:pStyle w:val="ListBullet"/>
        <w:rPr>
          <w:rStyle w:val="Hyperlink"/>
        </w:rPr>
      </w:pPr>
      <w:hyperlink r:id="rId59">
        <w:r w:rsidRPr="003C1D89">
          <w:rPr>
            <w:rStyle w:val="Hyperlink"/>
          </w:rPr>
          <w:t>QDM v5.6</w:t>
        </w:r>
      </w:hyperlink>
      <w:r w:rsidRPr="003C1D89">
        <w:rPr>
          <w:rStyle w:val="Hyperlink"/>
        </w:rPr>
        <w:t xml:space="preserve"> </w:t>
      </w:r>
    </w:p>
    <w:p w14:paraId="04363796" w14:textId="755DE32E" w:rsidR="00FD73B5" w:rsidRPr="003C1D89" w:rsidRDefault="00FD73B5" w:rsidP="003C1D89">
      <w:pPr>
        <w:pStyle w:val="ListBullet"/>
        <w:rPr>
          <w:rStyle w:val="Hyperlink"/>
        </w:rPr>
      </w:pPr>
      <w:commentRangeStart w:id="136"/>
      <w:r>
        <w:rPr>
          <w:rStyle w:val="Hyperlink"/>
        </w:rPr>
        <w:t>QDM-based CQL Style Guide</w:t>
      </w:r>
      <w:commentRangeEnd w:id="136"/>
      <w:r w:rsidR="00D4789B">
        <w:rPr>
          <w:rStyle w:val="CommentReference"/>
          <w:rFonts w:asciiTheme="minorHAnsi" w:hAnsiTheme="minorHAnsi"/>
        </w:rPr>
        <w:commentReference w:id="136"/>
      </w:r>
    </w:p>
    <w:p w14:paraId="000000E0" w14:textId="432F1A22" w:rsidR="00D67C8C" w:rsidRDefault="00C80A11" w:rsidP="003C1D89">
      <w:pPr>
        <w:pStyle w:val="ParagraphContinued"/>
      </w:pPr>
      <w:r w:rsidRPr="0010556B">
        <w:t xml:space="preserve">Subsections </w:t>
      </w:r>
      <w:r w:rsidR="00B17223" w:rsidRPr="0010556B">
        <w:t>2</w:t>
      </w:r>
      <w:r w:rsidRPr="0010556B">
        <w:t>.1</w:t>
      </w:r>
      <w:r w:rsidR="00E27B0C" w:rsidRPr="0010556B">
        <w:t xml:space="preserve"> t</w:t>
      </w:r>
      <w:r w:rsidR="0010556B" w:rsidRPr="0010556B">
        <w:t>hrough</w:t>
      </w:r>
      <w:r w:rsidR="00E27B0C" w:rsidRPr="0010556B">
        <w:t xml:space="preserve"> </w:t>
      </w:r>
      <w:r w:rsidR="00B17223" w:rsidRPr="0010556B">
        <w:t>2</w:t>
      </w:r>
      <w:r w:rsidRPr="0010556B">
        <w:t>.6 p</w:t>
      </w:r>
      <w:r>
        <w:t>rovide an overview of this material, including common logic expressions and proper usage.</w:t>
      </w:r>
    </w:p>
    <w:p w14:paraId="000000E1" w14:textId="1709F138" w:rsidR="00D67C8C" w:rsidRDefault="00C80A11" w:rsidP="003C1D89">
      <w:pPr>
        <w:pStyle w:val="Paragraph"/>
      </w:pPr>
      <w:r>
        <w:t xml:space="preserve">Visit the </w:t>
      </w:r>
      <w:hyperlink r:id="rId64">
        <w:r>
          <w:rPr>
            <w:color w:val="0563C1"/>
            <w:u w:val="single"/>
          </w:rPr>
          <w:t>CQL page</w:t>
        </w:r>
      </w:hyperlink>
      <w:r>
        <w:t xml:space="preserve"> on the eCQI Resource Center for additional information and education.</w:t>
      </w:r>
    </w:p>
    <w:p w14:paraId="000000E2" w14:textId="223FBC11" w:rsidR="00D67C8C" w:rsidRDefault="003C1D89" w:rsidP="003C1D89">
      <w:pPr>
        <w:pStyle w:val="H2-Num"/>
      </w:pPr>
      <w:bookmarkStart w:id="137" w:name="_heading=h.184mhaj" w:colFirst="0" w:colLast="0"/>
      <w:bookmarkStart w:id="138" w:name="_Toc446948748"/>
      <w:bookmarkStart w:id="139" w:name="_Toc23176742"/>
      <w:bookmarkStart w:id="140" w:name="_Toc56635369"/>
      <w:bookmarkStart w:id="141" w:name="_Toc64983061"/>
      <w:bookmarkStart w:id="142" w:name="_Toc159578373"/>
      <w:bookmarkStart w:id="143" w:name="_Toc194959003"/>
      <w:bookmarkStart w:id="144" w:name="_Toc194994745"/>
      <w:bookmarkEnd w:id="137"/>
      <w:r>
        <w:rPr>
          <w:rFonts w:eastAsia="Arial Narrow" w:cs="Arial Narrow"/>
        </w:rPr>
        <w:t>2.1</w:t>
      </w:r>
      <w:r>
        <w:rPr>
          <w:rFonts w:eastAsia="Arial Narrow" w:cs="Arial Narrow"/>
        </w:rPr>
        <w:tab/>
      </w:r>
      <w:r w:rsidR="00DE0CEC">
        <w:rPr>
          <w:rFonts w:eastAsia="Arial Narrow" w:cs="Arial Narrow"/>
        </w:rPr>
        <w:t>Using</w:t>
      </w:r>
      <w:r w:rsidR="00DE0CEC" w:rsidRPr="005E64B8">
        <w:rPr>
          <w:rFonts w:eastAsia="Arial Narrow"/>
        </w:rPr>
        <w:t xml:space="preserve"> </w:t>
      </w:r>
      <w:r w:rsidR="00C80A11" w:rsidRPr="005E64B8">
        <w:rPr>
          <w:rFonts w:eastAsia="Arial Narrow"/>
        </w:rPr>
        <w:t>CQL Logic</w:t>
      </w:r>
      <w:bookmarkEnd w:id="138"/>
      <w:r w:rsidR="00C80A11" w:rsidRPr="005E64B8">
        <w:rPr>
          <w:rFonts w:eastAsia="Arial Narrow"/>
        </w:rPr>
        <w:t xml:space="preserve"> </w:t>
      </w:r>
      <w:r w:rsidR="00DE0CEC">
        <w:rPr>
          <w:rFonts w:eastAsia="Arial Narrow" w:cs="Arial Narrow"/>
        </w:rPr>
        <w:t>to Evaluate</w:t>
      </w:r>
      <w:r w:rsidR="00DE0CEC" w:rsidRPr="005E64B8">
        <w:rPr>
          <w:rFonts w:eastAsia="Arial Narrow"/>
        </w:rPr>
        <w:t xml:space="preserve"> </w:t>
      </w:r>
      <w:r w:rsidR="00C80A11" w:rsidRPr="005E64B8">
        <w:rPr>
          <w:rFonts w:eastAsia="Arial Narrow"/>
        </w:rPr>
        <w:t>QDM Elements</w:t>
      </w:r>
      <w:bookmarkEnd w:id="139"/>
      <w:bookmarkEnd w:id="140"/>
      <w:bookmarkEnd w:id="141"/>
      <w:bookmarkEnd w:id="142"/>
      <w:bookmarkEnd w:id="143"/>
      <w:bookmarkEnd w:id="144"/>
    </w:p>
    <w:p w14:paraId="000000E3" w14:textId="1ECBE746" w:rsidR="00D67C8C" w:rsidRDefault="00F261A2" w:rsidP="003C1D89">
      <w:pPr>
        <w:pStyle w:val="ParagraphContinued"/>
      </w:pPr>
      <w:r w:rsidRPr="00F261A2">
        <w:t>A</w:t>
      </w:r>
      <w:r w:rsidR="009669FA">
        <w:t>n</w:t>
      </w:r>
      <w:r w:rsidRPr="00F261A2">
        <w:t xml:space="preserve"> eCQM defines populations—such as the denominator and numerator—by combining QDM data elements with CQL logic to create structured expressions.</w:t>
      </w:r>
      <w:r>
        <w:t xml:space="preserve"> </w:t>
      </w:r>
      <w:r w:rsidR="00C80A11">
        <w:t>These expressions define the criteria for membership in each population based on the intent of the eCQM.</w:t>
      </w:r>
    </w:p>
    <w:p w14:paraId="000000E4" w14:textId="786E052B" w:rsidR="00D67C8C" w:rsidRDefault="00C80A11" w:rsidP="003C1D89">
      <w:pPr>
        <w:pStyle w:val="Paragraph"/>
      </w:pPr>
      <w:r>
        <w:t xml:space="preserve">As shown in Figure </w:t>
      </w:r>
      <w:r w:rsidR="00B17223">
        <w:t>2</w:t>
      </w:r>
      <w:r>
        <w:t>.1, this definition statement establishes the global criteria for an inpatient encounter.</w:t>
      </w:r>
    </w:p>
    <w:p w14:paraId="000000E5" w14:textId="165BC582" w:rsidR="00D67C8C" w:rsidRDefault="00C80A11" w:rsidP="00AB6BE8">
      <w:pPr>
        <w:pStyle w:val="FigureTitle"/>
      </w:pPr>
      <w:bookmarkStart w:id="145" w:name="_Toc159578072"/>
      <w:bookmarkStart w:id="146" w:name="_Toc195001998"/>
      <w:r w:rsidRPr="0029452B">
        <w:t xml:space="preserve">Figure </w:t>
      </w:r>
      <w:r w:rsidR="00B17223" w:rsidRPr="0029452B">
        <w:t>2</w:t>
      </w:r>
      <w:r w:rsidRPr="0029452B">
        <w:t xml:space="preserve">.1. </w:t>
      </w:r>
      <w:bookmarkEnd w:id="145"/>
      <w:r w:rsidRPr="0029452B">
        <w:t>Sample Definition Statement</w:t>
      </w:r>
      <w:bookmarkEnd w:id="146"/>
    </w:p>
    <w:tbl>
      <w:tblPr>
        <w:tblStyle w:val="GrayCell"/>
        <w:tblW w:w="936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Look w:val="04A0" w:firstRow="1" w:lastRow="0" w:firstColumn="1" w:lastColumn="0" w:noHBand="0" w:noVBand="1"/>
      </w:tblPr>
      <w:tblGrid>
        <w:gridCol w:w="9360"/>
      </w:tblGrid>
      <w:tr w:rsidR="00F458F8" w14:paraId="40188938" w14:textId="77777777">
        <w:tc>
          <w:tcPr>
            <w:tcW w:w="5000" w:type="pct"/>
            <w:shd w:val="clear" w:color="auto" w:fill="auto"/>
          </w:tcPr>
          <w:p w14:paraId="16B583CD" w14:textId="182C8816" w:rsidR="00F458F8" w:rsidRPr="002C716F" w:rsidRDefault="002C716F" w:rsidP="002C716F">
            <w:pPr>
              <w:pStyle w:val="FigureHeader"/>
              <w:ind w:left="0"/>
            </w:pPr>
            <w:r w:rsidRPr="005E64B8">
              <w:rPr>
                <w:rFonts w:ascii="Cambria Math" w:hAnsi="Cambria Math"/>
              </w:rPr>
              <w:t>◢</w:t>
            </w:r>
            <w:r w:rsidRPr="005E64B8">
              <w:t xml:space="preserve"> </w:t>
            </w:r>
            <w:proofErr w:type="spellStart"/>
            <w:r>
              <w:t>Global.Inpatient</w:t>
            </w:r>
            <w:proofErr w:type="spellEnd"/>
            <w:r>
              <w:t xml:space="preserve"> Encounter</w:t>
            </w:r>
          </w:p>
          <w:p w14:paraId="4C8DFA1B" w14:textId="543906CC" w:rsidR="00F458F8" w:rsidRDefault="00F458F8" w:rsidP="00F458F8">
            <w:pPr>
              <w:pStyle w:val="Figure"/>
              <w:ind w:left="360"/>
            </w:pPr>
            <w:r>
              <w:t xml:space="preserve">  [</w:t>
            </w:r>
            <w:r w:rsidR="00BC439F" w:rsidRPr="00BC439F">
              <w:t>"</w:t>
            </w:r>
            <w:r>
              <w:t>Encounter, Performed</w:t>
            </w:r>
            <w:r w:rsidR="00BC439F" w:rsidRPr="00BC439F">
              <w:t>"</w:t>
            </w:r>
            <w:r>
              <w:t xml:space="preserve">: </w:t>
            </w:r>
            <w:r w:rsidR="00BC439F" w:rsidRPr="00BC439F">
              <w:t>"</w:t>
            </w:r>
            <w:r>
              <w:t>Encounter Inpatient</w:t>
            </w:r>
            <w:r w:rsidR="00BC439F" w:rsidRPr="00BC439F">
              <w:t>"</w:t>
            </w:r>
            <w:r>
              <w:t xml:space="preserve">] </w:t>
            </w:r>
            <w:proofErr w:type="spellStart"/>
            <w:r>
              <w:t>EncounterInpatient</w:t>
            </w:r>
            <w:proofErr w:type="spellEnd"/>
          </w:p>
          <w:p w14:paraId="44E92AB7" w14:textId="675A7591" w:rsidR="00F458F8" w:rsidRPr="002267A4" w:rsidRDefault="00F458F8" w:rsidP="00F458F8">
            <w:pPr>
              <w:pStyle w:val="Figure"/>
              <w:ind w:left="360"/>
            </w:pPr>
            <w:r>
              <w:t xml:space="preserve">    where </w:t>
            </w:r>
            <w:proofErr w:type="spellStart"/>
            <w:r>
              <w:t>EncounterInpatient.relevantPeriod</w:t>
            </w:r>
            <w:proofErr w:type="spellEnd"/>
            <w:r>
              <w:t xml:space="preserve"> ends during day of “Measurement Period”</w:t>
            </w:r>
          </w:p>
        </w:tc>
      </w:tr>
    </w:tbl>
    <w:p w14:paraId="000000E9" w14:textId="63598C53" w:rsidR="00D67C8C" w:rsidRDefault="00C80A11" w:rsidP="00F458F8">
      <w:pPr>
        <w:pStyle w:val="ParagraphContinued"/>
      </w:pPr>
      <w:r>
        <w:t xml:space="preserve">The first part of this definition statement, enclosed in brackets, references a QDM datatype (“Encounter, </w:t>
      </w:r>
      <w:proofErr w:type="gramStart"/>
      <w:r>
        <w:t>Performed</w:t>
      </w:r>
      <w:proofErr w:type="gramEnd"/>
      <w:r>
        <w:t>”) and a value set</w:t>
      </w:r>
      <w:r>
        <w:rPr>
          <w:color w:val="000000"/>
        </w:rPr>
        <w:t xml:space="preserve"> indicating the specific codes meeting encounter criteria for this eCQM</w:t>
      </w:r>
      <w:r>
        <w:t xml:space="preserve"> (“Encounter Inpatient”). The combination of a QDM datatype and a value set defines a QDM data element, which describes clinical information. The QDM datatype, such as “Encounter, </w:t>
      </w:r>
      <w:proofErr w:type="gramStart"/>
      <w:r>
        <w:t>Performed</w:t>
      </w:r>
      <w:proofErr w:type="gramEnd"/>
      <w:r>
        <w:t xml:space="preserve">;” “Procedure, </w:t>
      </w:r>
      <w:proofErr w:type="gramStart"/>
      <w:r>
        <w:t>Performed</w:t>
      </w:r>
      <w:proofErr w:type="gramEnd"/>
      <w:r>
        <w:t xml:space="preserve">;” or “Medication, Order,” provides context for the higher-level clinical concept, or QDM category, of clinical information being referenced, </w:t>
      </w:r>
      <w:r>
        <w:lastRenderedPageBreak/>
        <w:t>such as encounter, procedure</w:t>
      </w:r>
      <w:r w:rsidR="00E27B0C">
        <w:t>,</w:t>
      </w:r>
      <w:r>
        <w:t xml:space="preserve"> or medication. </w:t>
      </w:r>
      <w:r>
        <w:rPr>
          <w:color w:val="000000"/>
        </w:rPr>
        <w:t>Additional data</w:t>
      </w:r>
      <w:r w:rsidR="00BF58E8">
        <w:rPr>
          <w:color w:val="000000"/>
        </w:rPr>
        <w:t xml:space="preserve">, or </w:t>
      </w:r>
      <w:r>
        <w:rPr>
          <w:color w:val="000000"/>
        </w:rPr>
        <w:t>attributes</w:t>
      </w:r>
      <w:r w:rsidR="00BF58E8">
        <w:rPr>
          <w:color w:val="000000"/>
        </w:rPr>
        <w:t>,</w:t>
      </w:r>
      <w:r>
        <w:rPr>
          <w:color w:val="000000"/>
        </w:rPr>
        <w:t xml:space="preserve"> may be necessary to meet the needs of the eCQM. QDM specifies a set of attributes allowable for each QDM datatype. For example, </w:t>
      </w:r>
      <w:r>
        <w:rPr>
          <w:i/>
          <w:color w:val="000000"/>
        </w:rPr>
        <w:t>dosage</w:t>
      </w:r>
      <w:r>
        <w:rPr>
          <w:color w:val="000000"/>
        </w:rPr>
        <w:t xml:space="preserve"> and </w:t>
      </w:r>
      <w:r>
        <w:rPr>
          <w:i/>
          <w:color w:val="000000"/>
        </w:rPr>
        <w:t xml:space="preserve">supply </w:t>
      </w:r>
      <w:r>
        <w:rPr>
          <w:color w:val="000000"/>
        </w:rPr>
        <w:t>are attributes available for “Medication, Order.</w:t>
      </w:r>
      <w:r>
        <w:rPr>
          <w:color w:val="000000"/>
          <w:sz w:val="22"/>
        </w:rPr>
        <w:t xml:space="preserve">” </w:t>
      </w:r>
      <w:r>
        <w:t xml:space="preserve">All QDM datatypes include a </w:t>
      </w:r>
      <w:r>
        <w:rPr>
          <w:i/>
        </w:rPr>
        <w:t>code</w:t>
      </w:r>
      <w:r>
        <w:t xml:space="preserve"> attribute with a value set or direct reference code. The logic statements do not explicitly call out the code attribute but invoke it when filtering against the value set</w:t>
      </w:r>
      <w:r w:rsidR="00843048">
        <w:t xml:space="preserve"> as in </w:t>
      </w:r>
      <w:r w:rsidR="00636C7A">
        <w:t>[</w:t>
      </w:r>
      <w:r w:rsidR="00BC439F" w:rsidRPr="004F54A0">
        <w:t>"</w:t>
      </w:r>
      <w:r w:rsidR="00843048">
        <w:t>Encounter, Performed</w:t>
      </w:r>
      <w:proofErr w:type="gramStart"/>
      <w:r w:rsidR="00BC439F" w:rsidRPr="00F16629">
        <w:t>"</w:t>
      </w:r>
      <w:r w:rsidR="00843048">
        <w:t xml:space="preserve"> :</w:t>
      </w:r>
      <w:proofErr w:type="gramEnd"/>
      <w:r w:rsidR="00843048">
        <w:t xml:space="preserve"> </w:t>
      </w:r>
      <w:r w:rsidR="00BC439F" w:rsidRPr="00F16629">
        <w:t>"</w:t>
      </w:r>
      <w:r w:rsidR="00843048">
        <w:t>Encounter, Inpatient</w:t>
      </w:r>
      <w:r w:rsidR="00BC439F" w:rsidRPr="00F16629">
        <w:t>"</w:t>
      </w:r>
      <w:r w:rsidR="00636C7A">
        <w:t>]</w:t>
      </w:r>
      <w:r>
        <w:t xml:space="preserve">. For detailed descriptions of the QDM data model, including all QDM datatypes and related attributes, please refer to </w:t>
      </w:r>
      <w:hyperlink r:id="rId65">
        <w:r>
          <w:rPr>
            <w:color w:val="0563C1"/>
            <w:u w:val="single"/>
          </w:rPr>
          <w:t>QDM v5.6</w:t>
        </w:r>
      </w:hyperlink>
      <w:r>
        <w:t xml:space="preserve">. </w:t>
      </w:r>
    </w:p>
    <w:p w14:paraId="000000EA" w14:textId="2DDEC794" w:rsidR="00D67C8C" w:rsidRDefault="00C80A11" w:rsidP="003C1D89">
      <w:pPr>
        <w:pStyle w:val="Paragraph"/>
      </w:pPr>
      <w:r>
        <w:t>This CQL expression</w:t>
      </w:r>
      <w:r w:rsidR="006208D9">
        <w:t xml:space="preserve"> shown in Figure 2.1</w:t>
      </w:r>
      <w:r>
        <w:t xml:space="preserve"> also describes the timing elements to determine whether the end of the specified encounter occurred during the measurement period. By referencing this entire expression as a CQL definition</w:t>
      </w:r>
      <w:r w:rsidR="00BF58E8">
        <w:t xml:space="preserve">, </w:t>
      </w:r>
      <w:r>
        <w:t>in this case called “Inpatient Encounter</w:t>
      </w:r>
      <w:r w:rsidR="00E27B0C">
        <w:t>,</w:t>
      </w:r>
      <w:r>
        <w:t>” the eCQM can refer to that definition without repeating all the details.</w:t>
      </w:r>
    </w:p>
    <w:p w14:paraId="000000EB" w14:textId="4C7AEE9C" w:rsidR="00D67C8C" w:rsidRDefault="00C80A11" w:rsidP="003C1D89">
      <w:pPr>
        <w:pStyle w:val="Paragraph"/>
      </w:pPr>
      <w:bookmarkStart w:id="147" w:name="_heading=h.279ka65" w:colFirst="0" w:colLast="0"/>
      <w:bookmarkStart w:id="148" w:name="_Hlk150266893"/>
      <w:bookmarkStart w:id="149" w:name="_Toc446948749"/>
      <w:bookmarkStart w:id="150" w:name="_Toc23176743"/>
      <w:bookmarkStart w:id="151" w:name="_Toc56635370"/>
      <w:bookmarkStart w:id="152" w:name="_Toc64983062"/>
      <w:bookmarkEnd w:id="147"/>
      <w:r>
        <w:t xml:space="preserve">The </w:t>
      </w:r>
      <w:hyperlink r:id="rId66">
        <w:r>
          <w:rPr>
            <w:color w:val="0563C1"/>
            <w:u w:val="single"/>
          </w:rPr>
          <w:t>CQL Formatting and Usage Wiki</w:t>
        </w:r>
      </w:hyperlink>
      <w:r>
        <w:t xml:space="preserve"> contains additional information regarding the use of CQL and QDM in </w:t>
      </w:r>
      <w:hyperlink r:id="rId67">
        <w:r>
          <w:rPr>
            <w:color w:val="0563C1"/>
            <w:u w:val="single"/>
          </w:rPr>
          <w:t>Authoring Measures in CQL</w:t>
        </w:r>
      </w:hyperlink>
      <w:r>
        <w:t xml:space="preserve">. Sections </w:t>
      </w:r>
      <w:r w:rsidR="00FE76C1">
        <w:t>2</w:t>
      </w:r>
      <w:r>
        <w:t>.2</w:t>
      </w:r>
      <w:r w:rsidR="0010556B">
        <w:t xml:space="preserve"> through </w:t>
      </w:r>
      <w:r w:rsidR="00FE76C1">
        <w:t>2</w:t>
      </w:r>
      <w:r>
        <w:t xml:space="preserve">.5 </w:t>
      </w:r>
      <w:r w:rsidR="006C3AFE">
        <w:t xml:space="preserve">below </w:t>
      </w:r>
      <w:r>
        <w:t>provide a summary of that content, focusing on interpreting measures written in CQL.</w:t>
      </w:r>
    </w:p>
    <w:p w14:paraId="000000EC" w14:textId="3F77A7F2" w:rsidR="00D67C8C" w:rsidRDefault="003C1D89" w:rsidP="003C1D89">
      <w:pPr>
        <w:pStyle w:val="H2-Num"/>
      </w:pPr>
      <w:bookmarkStart w:id="153" w:name="_heading=h.meukdy" w:colFirst="0" w:colLast="0"/>
      <w:bookmarkStart w:id="154" w:name="_Toc159578374"/>
      <w:bookmarkStart w:id="155" w:name="_Toc194959004"/>
      <w:bookmarkStart w:id="156" w:name="_Toc194994746"/>
      <w:bookmarkStart w:id="157" w:name="_Hlk150850617"/>
      <w:bookmarkEnd w:id="148"/>
      <w:bookmarkEnd w:id="153"/>
      <w:r>
        <w:rPr>
          <w:rFonts w:eastAsia="Arial Narrow"/>
        </w:rPr>
        <w:t>2.2</w:t>
      </w:r>
      <w:r>
        <w:rPr>
          <w:rFonts w:eastAsia="Arial Narrow"/>
        </w:rPr>
        <w:tab/>
      </w:r>
      <w:r w:rsidR="00C80A11" w:rsidRPr="005E64B8">
        <w:rPr>
          <w:rFonts w:eastAsia="Arial Narrow"/>
        </w:rPr>
        <w:t xml:space="preserve">Understanding </w:t>
      </w:r>
      <w:bookmarkStart w:id="158" w:name="_Toc446948750"/>
      <w:bookmarkEnd w:id="149"/>
      <w:r w:rsidR="00C80A11" w:rsidRPr="005E64B8">
        <w:rPr>
          <w:rFonts w:eastAsia="Arial Narrow"/>
        </w:rPr>
        <w:t xml:space="preserve">CQL </w:t>
      </w:r>
      <w:bookmarkEnd w:id="150"/>
      <w:bookmarkEnd w:id="151"/>
      <w:bookmarkEnd w:id="152"/>
      <w:r w:rsidR="00C80A11" w:rsidRPr="005E64B8">
        <w:rPr>
          <w:rFonts w:eastAsia="Arial Narrow"/>
        </w:rPr>
        <w:t>Basics</w:t>
      </w:r>
      <w:bookmarkEnd w:id="154"/>
      <w:bookmarkEnd w:id="155"/>
      <w:bookmarkEnd w:id="156"/>
    </w:p>
    <w:p w14:paraId="000000ED" w14:textId="2078AA48" w:rsidR="00D67C8C" w:rsidRDefault="00C80A11" w:rsidP="003C1D89">
      <w:pPr>
        <w:pStyle w:val="ParagraphContinued"/>
      </w:pPr>
      <w:r>
        <w:t xml:space="preserve">CQL is a high-level query language that serves to write expressions that determine </w:t>
      </w:r>
      <w:r>
        <w:rPr>
          <w:i/>
        </w:rPr>
        <w:t>what</w:t>
      </w:r>
      <w:r>
        <w:t xml:space="preserve"> data to </w:t>
      </w:r>
      <w:r w:rsidR="004D2C76">
        <w:t xml:space="preserve">identify or </w:t>
      </w:r>
      <w:r>
        <w:t xml:space="preserve">return rather than </w:t>
      </w:r>
      <w:r>
        <w:rPr>
          <w:i/>
        </w:rPr>
        <w:t>how</w:t>
      </w:r>
      <w:r>
        <w:t xml:space="preserve"> to </w:t>
      </w:r>
      <w:r w:rsidR="004D2C76">
        <w:t xml:space="preserve">retrieve or </w:t>
      </w:r>
      <w:r>
        <w:t>return them. How to return the data is part of the implementation of an eCQM</w:t>
      </w:r>
      <w:r w:rsidR="00962C64">
        <w:t>,</w:t>
      </w:r>
      <w:r>
        <w:t xml:space="preserve"> and the measured entity can accomplish it in various ways (for example, by queries in a database system or map-reduce processing on an </w:t>
      </w:r>
      <w:r>
        <w:rPr>
          <w:color w:val="222222"/>
        </w:rPr>
        <w:t>Apache Hadoop</w:t>
      </w:r>
      <w:r>
        <w:rPr>
          <w:rFonts w:ascii="Arial" w:eastAsia="Arial" w:hAnsi="Arial" w:cs="Arial"/>
          <w:color w:val="222222"/>
          <w:vertAlign w:val="superscript"/>
        </w:rPr>
        <w:t>®</w:t>
      </w:r>
      <w:r>
        <w:t xml:space="preserve"> [software utility] cluster). CQL is intentionally silent on many of those details, enabling implementer use of the logic expressed by CQL queries in a broad variety of implementation environments to achieve the same result.</w:t>
      </w:r>
    </w:p>
    <w:p w14:paraId="000000EE" w14:textId="77777777" w:rsidR="00D67C8C" w:rsidRPr="00E11604" w:rsidRDefault="00C80A11" w:rsidP="004647E7">
      <w:pPr>
        <w:pStyle w:val="Paragraph"/>
        <w:rPr>
          <w:rFonts w:cs="Times New Roman"/>
        </w:rPr>
      </w:pPr>
      <w:r w:rsidRPr="00E11604">
        <w:rPr>
          <w:rFonts w:cs="Times New Roman"/>
        </w:rPr>
        <w:t>Several basic elements make up CQL expressions:</w:t>
      </w:r>
    </w:p>
    <w:p w14:paraId="000000EF" w14:textId="77777777" w:rsidR="00D67C8C" w:rsidRPr="00E11604" w:rsidRDefault="00C80A11" w:rsidP="004647E7">
      <w:pPr>
        <w:pStyle w:val="ListBullet"/>
        <w:rPr>
          <w:rFonts w:cs="Times New Roman"/>
        </w:rPr>
      </w:pPr>
      <w:r w:rsidRPr="00E11604">
        <w:rPr>
          <w:rFonts w:cs="Times New Roman"/>
        </w:rPr>
        <w:t xml:space="preserve">Values: Within CQL, the term value refers to a piece of data of some type. </w:t>
      </w:r>
    </w:p>
    <w:p w14:paraId="000000F0" w14:textId="35AC54C2" w:rsidR="00D67C8C" w:rsidRPr="00E11604" w:rsidRDefault="00C80A11" w:rsidP="004647E7">
      <w:pPr>
        <w:pStyle w:val="ListBullet2"/>
        <w:rPr>
          <w:rFonts w:cs="Times New Roman"/>
        </w:rPr>
      </w:pPr>
      <w:r w:rsidRPr="00E11604">
        <w:rPr>
          <w:rFonts w:cs="Times New Roman"/>
        </w:rPr>
        <w:t xml:space="preserve">Examples: The number </w:t>
      </w:r>
      <w:r w:rsidRPr="00E11604">
        <w:rPr>
          <w:rFonts w:eastAsia="Courier New" w:cs="Times New Roman"/>
        </w:rPr>
        <w:t>5</w:t>
      </w:r>
      <w:r w:rsidRPr="00E11604">
        <w:rPr>
          <w:rFonts w:cs="Times New Roman"/>
        </w:rPr>
        <w:t xml:space="preserve">, or the quantity </w:t>
      </w:r>
      <w:r w:rsidRPr="00E11604">
        <w:rPr>
          <w:rFonts w:eastAsia="Courier New" w:cs="Times New Roman"/>
        </w:rPr>
        <w:t xml:space="preserve">5 </w:t>
      </w:r>
      <w:r w:rsidR="00A71374">
        <w:rPr>
          <w:rFonts w:eastAsia="Courier New" w:cs="Times New Roman"/>
        </w:rPr>
        <w:t>'</w:t>
      </w:r>
      <w:proofErr w:type="gramStart"/>
      <w:r w:rsidRPr="00E11604">
        <w:rPr>
          <w:rFonts w:eastAsia="Courier New" w:cs="Times New Roman"/>
        </w:rPr>
        <w:t>mm[</w:t>
      </w:r>
      <w:proofErr w:type="gramEnd"/>
      <w:r w:rsidRPr="00E11604">
        <w:rPr>
          <w:rFonts w:eastAsia="Courier New" w:cs="Times New Roman"/>
        </w:rPr>
        <w:t>Hg]</w:t>
      </w:r>
      <w:r w:rsidR="00A71374">
        <w:rPr>
          <w:rFonts w:eastAsia="Courier New" w:cs="Times New Roman"/>
        </w:rPr>
        <w:t>'</w:t>
      </w:r>
    </w:p>
    <w:p w14:paraId="000000F1" w14:textId="77777777" w:rsidR="00D67C8C" w:rsidRPr="00E11604" w:rsidRDefault="00C80A11" w:rsidP="004647E7">
      <w:pPr>
        <w:pStyle w:val="ListBullet"/>
        <w:rPr>
          <w:rFonts w:cs="Times New Roman"/>
        </w:rPr>
      </w:pPr>
      <w:r w:rsidRPr="00E11604">
        <w:rPr>
          <w:rFonts w:cs="Times New Roman"/>
        </w:rPr>
        <w:t>Operators: An entity used to perform operations.</w:t>
      </w:r>
    </w:p>
    <w:p w14:paraId="000000F2" w14:textId="77777777" w:rsidR="00D67C8C" w:rsidRPr="00E11604" w:rsidRDefault="00C80A11" w:rsidP="004647E7">
      <w:pPr>
        <w:pStyle w:val="ListBullet2"/>
        <w:rPr>
          <w:rFonts w:cs="Times New Roman"/>
        </w:rPr>
      </w:pPr>
      <w:r w:rsidRPr="00E11604">
        <w:rPr>
          <w:rFonts w:cs="Times New Roman"/>
        </w:rPr>
        <w:t>Examples: “+”, “</w:t>
      </w:r>
      <w:proofErr w:type="gramStart"/>
      <w:r w:rsidRPr="00E11604">
        <w:rPr>
          <w:rFonts w:cs="Times New Roman"/>
        </w:rPr>
        <w:t>-“</w:t>
      </w:r>
      <w:proofErr w:type="gramEnd"/>
      <w:r w:rsidRPr="00E11604">
        <w:rPr>
          <w:rFonts w:cs="Times New Roman"/>
        </w:rPr>
        <w:t xml:space="preserve">, “and”, </w:t>
      </w:r>
      <w:proofErr w:type="gramStart"/>
      <w:r w:rsidRPr="00E11604">
        <w:rPr>
          <w:rFonts w:cs="Times New Roman"/>
        </w:rPr>
        <w:t>“or”,</w:t>
      </w:r>
      <w:proofErr w:type="gramEnd"/>
      <w:r w:rsidRPr="00E11604">
        <w:rPr>
          <w:rFonts w:cs="Times New Roman"/>
        </w:rPr>
        <w:t xml:space="preserve"> “intersect”, and “union”</w:t>
      </w:r>
    </w:p>
    <w:p w14:paraId="000000F3" w14:textId="13F6CC6C" w:rsidR="00D67C8C" w:rsidRPr="00E11604" w:rsidRDefault="00C80A11" w:rsidP="004647E7">
      <w:pPr>
        <w:pStyle w:val="ListBullet"/>
        <w:rPr>
          <w:rFonts w:cs="Times New Roman"/>
        </w:rPr>
      </w:pPr>
      <w:r w:rsidRPr="00E11604">
        <w:rPr>
          <w:rFonts w:cs="Times New Roman"/>
        </w:rPr>
        <w:t>Functions: Prebuilt actions that perform calculations, manipulate data, and return results</w:t>
      </w:r>
      <w:r w:rsidR="00A71374">
        <w:rPr>
          <w:rFonts w:cs="Times New Roman"/>
        </w:rPr>
        <w:t>, usually based on input arguments</w:t>
      </w:r>
      <w:r w:rsidRPr="00E11604">
        <w:rPr>
          <w:rFonts w:cs="Times New Roman"/>
        </w:rPr>
        <w:t xml:space="preserve">. </w:t>
      </w:r>
    </w:p>
    <w:p w14:paraId="000000F4" w14:textId="5DBF533D" w:rsidR="00D67C8C" w:rsidRPr="00E11604" w:rsidRDefault="00C80A11" w:rsidP="004647E7">
      <w:pPr>
        <w:pStyle w:val="ListBullet2"/>
        <w:rPr>
          <w:rFonts w:cs="Times New Roman"/>
        </w:rPr>
      </w:pPr>
      <w:r w:rsidRPr="00E11604">
        <w:rPr>
          <w:rFonts w:cs="Times New Roman"/>
        </w:rPr>
        <w:t xml:space="preserve">Examples: </w:t>
      </w:r>
      <w:proofErr w:type="spellStart"/>
      <w:r w:rsidRPr="00E11604">
        <w:rPr>
          <w:rFonts w:cs="Times New Roman"/>
        </w:rPr>
        <w:t>CalculateAge</w:t>
      </w:r>
      <w:r w:rsidR="0010602E">
        <w:rPr>
          <w:rFonts w:cs="Times New Roman"/>
        </w:rPr>
        <w:t>InYears</w:t>
      </w:r>
      <w:proofErr w:type="spellEnd"/>
      <w:r w:rsidRPr="00E11604">
        <w:rPr>
          <w:rFonts w:cs="Times New Roman"/>
        </w:rPr>
        <w:t>(</w:t>
      </w:r>
      <w:proofErr w:type="spellStart"/>
      <w:r w:rsidR="0010602E">
        <w:rPr>
          <w:rFonts w:cs="Times New Roman"/>
        </w:rPr>
        <w:t>birthDate</w:t>
      </w:r>
      <w:proofErr w:type="spellEnd"/>
      <w:r w:rsidRPr="00E11604">
        <w:rPr>
          <w:rFonts w:cs="Times New Roman"/>
        </w:rPr>
        <w:t>) and First(</w:t>
      </w:r>
      <w:proofErr w:type="spellStart"/>
      <w:r w:rsidR="0010602E">
        <w:rPr>
          <w:rFonts w:cs="Times New Roman"/>
          <w:i/>
          <w:iCs/>
        </w:rPr>
        <w:t>argumentList</w:t>
      </w:r>
      <w:proofErr w:type="spellEnd"/>
      <w:r w:rsidR="0010602E">
        <w:rPr>
          <w:rFonts w:cs="Times New Roman"/>
          <w:i/>
          <w:iCs/>
        </w:rPr>
        <w:t>&lt;T&gt;</w:t>
      </w:r>
      <w:r w:rsidRPr="00E11604">
        <w:rPr>
          <w:rFonts w:cs="Times New Roman"/>
        </w:rPr>
        <w:t>)</w:t>
      </w:r>
    </w:p>
    <w:p w14:paraId="2BA08BE4" w14:textId="764DCEB5" w:rsidR="0010602E" w:rsidRPr="00E11604" w:rsidRDefault="00C80A11" w:rsidP="008232B5">
      <w:pPr>
        <w:pStyle w:val="ListBullet"/>
        <w:rPr>
          <w:rFonts w:eastAsia="Courier New" w:cs="Times New Roman"/>
        </w:rPr>
      </w:pPr>
      <w:r w:rsidRPr="0010602E">
        <w:rPr>
          <w:rFonts w:cs="Times New Roman"/>
        </w:rPr>
        <w:t xml:space="preserve">Identifiers: </w:t>
      </w:r>
      <w:r w:rsidR="0010602E">
        <w:rPr>
          <w:rFonts w:cs="Times New Roman"/>
        </w:rPr>
        <w:t>T</w:t>
      </w:r>
      <w:r w:rsidR="0010602E" w:rsidRPr="0010602E">
        <w:rPr>
          <w:rFonts w:cs="Times New Roman"/>
        </w:rPr>
        <w:t>he names that authors assign to individual CQL expressions so they can be referred to in other expressions and/or measure specifications.</w:t>
      </w:r>
    </w:p>
    <w:p w14:paraId="000000F6" w14:textId="77777777" w:rsidR="00D67C8C" w:rsidRPr="0010602E" w:rsidRDefault="00C80A11" w:rsidP="00DA33BC">
      <w:pPr>
        <w:pStyle w:val="ListBullet"/>
        <w:numPr>
          <w:ilvl w:val="0"/>
          <w:numId w:val="52"/>
        </w:numPr>
        <w:rPr>
          <w:rFonts w:cs="Times New Roman"/>
        </w:rPr>
      </w:pPr>
      <w:r w:rsidRPr="0010602E">
        <w:rPr>
          <w:rFonts w:cs="Times New Roman"/>
        </w:rPr>
        <w:t>Examples: “Inpatient Encounter”</w:t>
      </w:r>
    </w:p>
    <w:p w14:paraId="000000F7" w14:textId="77777777" w:rsidR="00D67C8C" w:rsidRDefault="00C80A11" w:rsidP="004647E7">
      <w:pPr>
        <w:pStyle w:val="ParagraphContinued"/>
      </w:pPr>
      <w:r>
        <w:t>Measure specification logic can combine these basic elements to express criteria and then label them with identifiers so they can either define additional criteria or define a top-level population.</w:t>
      </w:r>
    </w:p>
    <w:p w14:paraId="000000F8" w14:textId="21FFE33A" w:rsidR="00D67C8C" w:rsidRDefault="00C80A11" w:rsidP="004647E7">
      <w:pPr>
        <w:pStyle w:val="Paragraph"/>
      </w:pPr>
      <w:r>
        <w:t xml:space="preserve">When the members of an eCQM population are patients, measure developers express the criteria as a yes or no test to determine whether the patient is in or out of that population. As shown in Figure </w:t>
      </w:r>
      <w:r w:rsidR="00690B3B">
        <w:t>2</w:t>
      </w:r>
      <w:r>
        <w:t>.2, the definition of “Initial Population”</w:t>
      </w:r>
      <w:r>
        <w:rPr>
          <w:b/>
        </w:rPr>
        <w:t xml:space="preserve"> </w:t>
      </w:r>
      <w:r w:rsidR="00BF58E8">
        <w:t xml:space="preserve">for </w:t>
      </w:r>
      <w:hyperlink r:id="rId68" w:history="1">
        <w:r w:rsidR="00754EE7" w:rsidRPr="00974D67">
          <w:rPr>
            <w:rStyle w:val="Hyperlink"/>
          </w:rPr>
          <w:t>CMS2v15, Preventive Care and Screening: Screening for Depression and Follow-Up Plan</w:t>
        </w:r>
      </w:hyperlink>
      <w:r>
        <w:t xml:space="preserve"> is:</w:t>
      </w:r>
    </w:p>
    <w:p w14:paraId="000000F9" w14:textId="089E2912" w:rsidR="00D67C8C" w:rsidRDefault="00C80A11" w:rsidP="00DC5BA2">
      <w:pPr>
        <w:pStyle w:val="FigureTitle"/>
      </w:pPr>
      <w:bookmarkStart w:id="159" w:name="_Toc159578073"/>
      <w:bookmarkStart w:id="160" w:name="_Toc195001999"/>
      <w:r w:rsidRPr="0029452B">
        <w:lastRenderedPageBreak/>
        <w:t xml:space="preserve">Figure </w:t>
      </w:r>
      <w:r w:rsidR="00690B3B" w:rsidRPr="0029452B">
        <w:t>2</w:t>
      </w:r>
      <w:r w:rsidRPr="0029452B">
        <w:t>.2</w:t>
      </w:r>
      <w:r w:rsidR="00962C64">
        <w:t>.</w:t>
      </w:r>
      <w:r w:rsidRPr="0029452B">
        <w:t xml:space="preserve"> Example </w:t>
      </w:r>
      <w:bookmarkEnd w:id="159"/>
      <w:r w:rsidRPr="0029452B">
        <w:t>with Boolean Return</w:t>
      </w:r>
      <w:bookmarkEnd w:id="160"/>
    </w:p>
    <w:tbl>
      <w:tblPr>
        <w:tblStyle w:val="GrayCell"/>
        <w:tblW w:w="936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Look w:val="04A0" w:firstRow="1" w:lastRow="0" w:firstColumn="1" w:lastColumn="0" w:noHBand="0" w:noVBand="1"/>
      </w:tblPr>
      <w:tblGrid>
        <w:gridCol w:w="9360"/>
      </w:tblGrid>
      <w:tr w:rsidR="00F458F8" w14:paraId="132F966C" w14:textId="77777777">
        <w:tc>
          <w:tcPr>
            <w:tcW w:w="5000" w:type="pct"/>
            <w:shd w:val="clear" w:color="auto" w:fill="auto"/>
          </w:tcPr>
          <w:p w14:paraId="03BC70D4" w14:textId="77777777" w:rsidR="00F458F8" w:rsidRPr="005E64B8" w:rsidRDefault="00F458F8" w:rsidP="00DC5BA2">
            <w:pPr>
              <w:pStyle w:val="FigureHeader"/>
              <w:keepNext/>
              <w:keepLines/>
            </w:pPr>
            <w:r w:rsidRPr="005E64B8">
              <w:rPr>
                <w:rFonts w:ascii="Cambria Math" w:hAnsi="Cambria Math"/>
              </w:rPr>
              <w:t>◢</w:t>
            </w:r>
            <w:r w:rsidRPr="005E64B8">
              <w:t xml:space="preserve"> Initial Population</w:t>
            </w:r>
          </w:p>
          <w:p w14:paraId="6F411D1A" w14:textId="785AE441" w:rsidR="00F458F8" w:rsidRPr="00F4606F" w:rsidRDefault="00F458F8" w:rsidP="00DC5BA2">
            <w:pPr>
              <w:pStyle w:val="Figure"/>
              <w:keepNext/>
              <w:keepLines/>
              <w:rPr>
                <w:rFonts w:cs="Verdana"/>
              </w:rPr>
            </w:pPr>
            <w:r w:rsidRPr="00F4606F">
              <w:rPr>
                <w:rFonts w:cs="Verdana"/>
              </w:rPr>
              <w:tab/>
              <w:t xml:space="preserve">    </w:t>
            </w:r>
            <w:r w:rsidR="0010602E" w:rsidRPr="0010602E">
              <w:rPr>
                <w:rFonts w:cs="Verdana"/>
              </w:rPr>
              <w:t>"</w:t>
            </w:r>
            <w:r w:rsidRPr="00F4606F">
              <w:rPr>
                <w:rFonts w:cs="Verdana"/>
              </w:rPr>
              <w:t>Patient Age 12 Years or Older at Start of Measurement Period</w:t>
            </w:r>
            <w:r w:rsidR="0010602E" w:rsidRPr="0010602E">
              <w:rPr>
                <w:rFonts w:cs="Verdana"/>
              </w:rPr>
              <w:t>"</w:t>
            </w:r>
          </w:p>
          <w:p w14:paraId="2EABE2FB" w14:textId="0605E982" w:rsidR="00F458F8" w:rsidRPr="00F458F8" w:rsidRDefault="00F458F8" w:rsidP="00DC5BA2">
            <w:pPr>
              <w:pStyle w:val="Figure"/>
              <w:keepNext/>
              <w:keepLines/>
              <w:rPr>
                <w:rFonts w:cs="Verdana"/>
              </w:rPr>
            </w:pPr>
            <w:r w:rsidRPr="00F4606F">
              <w:rPr>
                <w:rFonts w:cs="Verdana"/>
              </w:rPr>
              <w:tab/>
              <w:t xml:space="preserve">      and exists </w:t>
            </w:r>
            <w:proofErr w:type="gramStart"/>
            <w:r w:rsidRPr="00F4606F">
              <w:rPr>
                <w:rFonts w:cs="Verdana"/>
              </w:rPr>
              <w:t xml:space="preserve">( </w:t>
            </w:r>
            <w:r w:rsidR="0010602E">
              <w:rPr>
                <w:rFonts w:cs="Verdana"/>
              </w:rPr>
              <w:t>"</w:t>
            </w:r>
            <w:proofErr w:type="gramEnd"/>
            <w:r w:rsidRPr="00F4606F">
              <w:rPr>
                <w:rFonts w:cs="Verdana"/>
              </w:rPr>
              <w:t>Qualifying Encounter During Measurement Period</w:t>
            </w:r>
            <w:proofErr w:type="gramStart"/>
            <w:r w:rsidR="0010602E">
              <w:rPr>
                <w:rFonts w:cs="Verdana"/>
              </w:rPr>
              <w:t>"</w:t>
            </w:r>
            <w:r w:rsidRPr="00F4606F">
              <w:rPr>
                <w:rFonts w:cs="Verdana"/>
              </w:rPr>
              <w:t xml:space="preserve"> )</w:t>
            </w:r>
            <w:proofErr w:type="gramEnd"/>
            <w:r w:rsidRPr="00F4606F">
              <w:rPr>
                <w:rFonts w:cs="Verdana"/>
              </w:rPr>
              <w:t xml:space="preserve"> </w:t>
            </w:r>
          </w:p>
        </w:tc>
      </w:tr>
    </w:tbl>
    <w:p w14:paraId="000000FD" w14:textId="77777777" w:rsidR="00D67C8C" w:rsidRDefault="00C80A11" w:rsidP="00F458F8">
      <w:pPr>
        <w:pStyle w:val="ParagraphContinued"/>
      </w:pPr>
      <w:r>
        <w:t xml:space="preserve">For this example, the initial population includes patients whose birthdate indicates they were 12 years of age or older at the start of the measurement period, and the patient has a qualifying encounter. </w:t>
      </w:r>
    </w:p>
    <w:p w14:paraId="000000FE" w14:textId="08853E45" w:rsidR="00D67C8C" w:rsidRPr="00E11604" w:rsidRDefault="00C80A11" w:rsidP="008B364F">
      <w:pPr>
        <w:pStyle w:val="Paragraph"/>
        <w:rPr>
          <w:rFonts w:cs="Times New Roman"/>
        </w:rPr>
      </w:pPr>
      <w:r>
        <w:t>In patient-based eCQMs, measure developers define each population, such as the initial population, denominator, or numerator, by criteria resulting in a Boolean</w:t>
      </w:r>
      <w:r w:rsidR="00D839D5">
        <w:t>—y</w:t>
      </w:r>
      <w:r>
        <w:t>es or no</w:t>
      </w:r>
      <w:r w:rsidR="00D839D5">
        <w:t>—r</w:t>
      </w:r>
      <w:r>
        <w:t xml:space="preserve">eturn; however, there could be other definitions in the eCQM that return lists. </w:t>
      </w:r>
      <w:r w:rsidRPr="00E11604">
        <w:rPr>
          <w:rFonts w:cs="Times New Roman"/>
        </w:rPr>
        <w:t>“</w:t>
      </w:r>
      <w:r w:rsidRPr="00E11604">
        <w:rPr>
          <w:rFonts w:eastAsia="Courier New" w:cs="Times New Roman"/>
          <w:szCs w:val="20"/>
        </w:rPr>
        <w:t>Qualifying Encounter During Measurement Period</w:t>
      </w:r>
      <w:r w:rsidRPr="00E11604">
        <w:rPr>
          <w:rFonts w:cs="Times New Roman"/>
        </w:rPr>
        <w:t xml:space="preserve">” is one such definition, which returns a list of encounter data. In Figure </w:t>
      </w:r>
      <w:r w:rsidR="00690B3B" w:rsidRPr="00E11604">
        <w:rPr>
          <w:rFonts w:cs="Times New Roman"/>
        </w:rPr>
        <w:t>2</w:t>
      </w:r>
      <w:r w:rsidRPr="00E11604">
        <w:rPr>
          <w:rFonts w:cs="Times New Roman"/>
        </w:rPr>
        <w:t>.3, the relevant period indicates the start and end times for the qualifying encounter.</w:t>
      </w:r>
    </w:p>
    <w:p w14:paraId="000000FF" w14:textId="4F27BE2A" w:rsidR="00D67C8C" w:rsidRDefault="00C80A11" w:rsidP="00107990">
      <w:pPr>
        <w:pStyle w:val="FigureTitle"/>
      </w:pPr>
      <w:bookmarkStart w:id="161" w:name="_Toc159578074"/>
      <w:bookmarkStart w:id="162" w:name="_Toc195002000"/>
      <w:r w:rsidRPr="0029452B">
        <w:t xml:space="preserve">Figure </w:t>
      </w:r>
      <w:r w:rsidR="00690B3B" w:rsidRPr="0029452B">
        <w:t>2</w:t>
      </w:r>
      <w:r w:rsidRPr="0029452B">
        <w:t xml:space="preserve">.3. </w:t>
      </w:r>
      <w:bookmarkEnd w:id="161"/>
      <w:r w:rsidRPr="0029452B">
        <w:t>Example with List Return</w:t>
      </w:r>
      <w:bookmarkEnd w:id="162"/>
    </w:p>
    <w:tbl>
      <w:tblPr>
        <w:tblStyle w:val="GrayCell"/>
        <w:tblW w:w="936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Look w:val="04A0" w:firstRow="1" w:lastRow="0" w:firstColumn="1" w:lastColumn="0" w:noHBand="0" w:noVBand="1"/>
      </w:tblPr>
      <w:tblGrid>
        <w:gridCol w:w="9360"/>
      </w:tblGrid>
      <w:tr w:rsidR="00F458F8" w14:paraId="23CCE417" w14:textId="77777777">
        <w:tc>
          <w:tcPr>
            <w:tcW w:w="5000" w:type="pct"/>
            <w:shd w:val="clear" w:color="auto" w:fill="auto"/>
          </w:tcPr>
          <w:p w14:paraId="11B7A597" w14:textId="24EEBA1F" w:rsidR="00F458F8" w:rsidRPr="005E64B8" w:rsidRDefault="00F458F8" w:rsidP="00F458F8">
            <w:pPr>
              <w:pStyle w:val="FigureHeader"/>
            </w:pPr>
            <w:r w:rsidRPr="005E64B8">
              <w:rPr>
                <w:rFonts w:ascii="Cambria Math" w:hAnsi="Cambria Math"/>
              </w:rPr>
              <w:t>◢</w:t>
            </w:r>
            <w:r w:rsidRPr="005E64B8">
              <w:t xml:space="preserve"> Qualifying Encounter During Measurement Period</w:t>
            </w:r>
          </w:p>
          <w:p w14:paraId="4D585331" w14:textId="4E34B6A0" w:rsidR="00F458F8" w:rsidRPr="00F4606F" w:rsidRDefault="00F458F8" w:rsidP="00F458F8">
            <w:pPr>
              <w:pStyle w:val="Figure"/>
              <w:rPr>
                <w:rFonts w:cs="Verdana"/>
              </w:rPr>
            </w:pPr>
            <w:r w:rsidRPr="00F4606F">
              <w:rPr>
                <w:rFonts w:cs="Verdana"/>
              </w:rPr>
              <w:tab/>
            </w:r>
            <w:proofErr w:type="gramStart"/>
            <w:r w:rsidRPr="00F4606F">
              <w:rPr>
                <w:rFonts w:cs="Verdana"/>
              </w:rPr>
              <w:t>( [</w:t>
            </w:r>
            <w:proofErr w:type="gramEnd"/>
            <w:r w:rsidR="0010602E">
              <w:rPr>
                <w:rFonts w:cs="Verdana"/>
              </w:rPr>
              <w:t>"</w:t>
            </w:r>
            <w:r w:rsidRPr="00F4606F">
              <w:rPr>
                <w:rFonts w:cs="Verdana"/>
              </w:rPr>
              <w:t>Encounter, Performed</w:t>
            </w:r>
            <w:r w:rsidR="0010602E">
              <w:rPr>
                <w:rFonts w:cs="Verdana"/>
              </w:rPr>
              <w:t>"</w:t>
            </w:r>
            <w:r w:rsidRPr="00F4606F">
              <w:rPr>
                <w:rFonts w:cs="Verdana"/>
              </w:rPr>
              <w:t xml:space="preserve">: </w:t>
            </w:r>
            <w:r w:rsidR="0010602E">
              <w:rPr>
                <w:rFonts w:cs="Verdana"/>
              </w:rPr>
              <w:t>"</w:t>
            </w:r>
            <w:r w:rsidRPr="00F4606F">
              <w:rPr>
                <w:rFonts w:cs="Verdana"/>
              </w:rPr>
              <w:t>Encounter to Screen for Depression</w:t>
            </w:r>
            <w:r w:rsidR="0010602E">
              <w:rPr>
                <w:rFonts w:cs="Verdana"/>
              </w:rPr>
              <w:t>"</w:t>
            </w:r>
            <w:r w:rsidRPr="00F4606F">
              <w:rPr>
                <w:rFonts w:cs="Verdana"/>
              </w:rPr>
              <w:t>]</w:t>
            </w:r>
          </w:p>
          <w:p w14:paraId="507C67A0" w14:textId="3E173CDF" w:rsidR="00F458F8" w:rsidRPr="00F4606F" w:rsidRDefault="00F458F8" w:rsidP="00F458F8">
            <w:pPr>
              <w:pStyle w:val="Figure"/>
              <w:rPr>
                <w:rFonts w:cs="Verdana"/>
              </w:rPr>
            </w:pPr>
            <w:r w:rsidRPr="00F4606F">
              <w:rPr>
                <w:rFonts w:cs="Verdana"/>
              </w:rPr>
              <w:tab/>
              <w:t xml:space="preserve">  union [</w:t>
            </w:r>
            <w:r w:rsidR="0010602E">
              <w:rPr>
                <w:rFonts w:cs="Verdana"/>
              </w:rPr>
              <w:t>"</w:t>
            </w:r>
            <w:r w:rsidRPr="00F4606F">
              <w:rPr>
                <w:rFonts w:cs="Verdana"/>
              </w:rPr>
              <w:t>Encounter, Performed</w:t>
            </w:r>
            <w:r w:rsidR="0010602E">
              <w:rPr>
                <w:rFonts w:cs="Verdana"/>
              </w:rPr>
              <w:t>"</w:t>
            </w:r>
            <w:r w:rsidRPr="00F4606F">
              <w:rPr>
                <w:rFonts w:cs="Verdana"/>
              </w:rPr>
              <w:t xml:space="preserve">: </w:t>
            </w:r>
            <w:r w:rsidR="0010602E">
              <w:rPr>
                <w:rFonts w:cs="Verdana"/>
              </w:rPr>
              <w:t>"</w:t>
            </w:r>
            <w:r w:rsidRPr="00F4606F">
              <w:rPr>
                <w:rFonts w:cs="Verdana"/>
              </w:rPr>
              <w:t>Physical Therapy Evaluation</w:t>
            </w:r>
            <w:r w:rsidR="0010602E">
              <w:rPr>
                <w:rFonts w:cs="Verdana"/>
              </w:rPr>
              <w:t>"</w:t>
            </w:r>
            <w:r w:rsidRPr="00F4606F">
              <w:rPr>
                <w:rFonts w:cs="Verdana"/>
              </w:rPr>
              <w:t>]</w:t>
            </w:r>
          </w:p>
          <w:p w14:paraId="4FA04362" w14:textId="616BFD82" w:rsidR="00F458F8" w:rsidRPr="00F4606F" w:rsidRDefault="00F458F8" w:rsidP="00F458F8">
            <w:pPr>
              <w:pStyle w:val="Figure"/>
              <w:rPr>
                <w:rFonts w:cs="Verdana"/>
              </w:rPr>
            </w:pPr>
            <w:r w:rsidRPr="00F4606F">
              <w:rPr>
                <w:rFonts w:cs="Verdana"/>
              </w:rPr>
              <w:tab/>
              <w:t xml:space="preserve">  union [</w:t>
            </w:r>
            <w:r w:rsidR="0010602E">
              <w:rPr>
                <w:rFonts w:cs="Verdana"/>
              </w:rPr>
              <w:t>"</w:t>
            </w:r>
            <w:r w:rsidRPr="00F4606F">
              <w:rPr>
                <w:rFonts w:cs="Verdana"/>
              </w:rPr>
              <w:t>Encounter, Performed</w:t>
            </w:r>
            <w:r w:rsidR="0010602E">
              <w:rPr>
                <w:rFonts w:cs="Verdana"/>
              </w:rPr>
              <w:t>"</w:t>
            </w:r>
            <w:r w:rsidRPr="00F4606F">
              <w:rPr>
                <w:rFonts w:cs="Verdana"/>
              </w:rPr>
              <w:t xml:space="preserve">: </w:t>
            </w:r>
            <w:r w:rsidR="0010602E">
              <w:rPr>
                <w:rFonts w:cs="Verdana"/>
              </w:rPr>
              <w:t>"</w:t>
            </w:r>
            <w:r w:rsidRPr="00F4606F">
              <w:rPr>
                <w:rFonts w:cs="Verdana"/>
              </w:rPr>
              <w:t>Telephone Visits</w:t>
            </w:r>
            <w:r w:rsidR="0010602E">
              <w:rPr>
                <w:rFonts w:cs="Verdana"/>
              </w:rPr>
              <w:t>"</w:t>
            </w:r>
            <w:proofErr w:type="gramStart"/>
            <w:r w:rsidRPr="00F4606F">
              <w:rPr>
                <w:rFonts w:cs="Verdana"/>
              </w:rPr>
              <w:t>] )</w:t>
            </w:r>
            <w:proofErr w:type="gramEnd"/>
            <w:r w:rsidRPr="00F4606F">
              <w:rPr>
                <w:rFonts w:cs="Verdana"/>
              </w:rPr>
              <w:t xml:space="preserve"> </w:t>
            </w:r>
            <w:proofErr w:type="spellStart"/>
            <w:r w:rsidRPr="00F4606F">
              <w:rPr>
                <w:rFonts w:cs="Verdana"/>
              </w:rPr>
              <w:t>QualifyingEncounter</w:t>
            </w:r>
            <w:proofErr w:type="spellEnd"/>
          </w:p>
          <w:p w14:paraId="39CDB606" w14:textId="3FA26575" w:rsidR="00F458F8" w:rsidRPr="00F458F8" w:rsidRDefault="00F458F8">
            <w:pPr>
              <w:pStyle w:val="Figure"/>
              <w:rPr>
                <w:rFonts w:cs="Verdana"/>
              </w:rPr>
            </w:pPr>
            <w:r w:rsidRPr="00F4606F">
              <w:rPr>
                <w:rFonts w:cs="Verdana"/>
              </w:rPr>
              <w:tab/>
              <w:t xml:space="preserve">  where </w:t>
            </w:r>
            <w:proofErr w:type="spellStart"/>
            <w:r w:rsidRPr="00F4606F">
              <w:rPr>
                <w:rFonts w:cs="Verdana"/>
              </w:rPr>
              <w:t>QualifyingEncounter.relevantPeriod</w:t>
            </w:r>
            <w:proofErr w:type="spellEnd"/>
            <w:r w:rsidRPr="00F4606F">
              <w:rPr>
                <w:rFonts w:cs="Verdana"/>
              </w:rPr>
              <w:t xml:space="preserve"> during day of </w:t>
            </w:r>
            <w:r w:rsidR="0010602E">
              <w:rPr>
                <w:rFonts w:cs="Verdana"/>
              </w:rPr>
              <w:t>"</w:t>
            </w:r>
            <w:r w:rsidRPr="00F4606F">
              <w:rPr>
                <w:rFonts w:cs="Verdana"/>
              </w:rPr>
              <w:t>Measurement Period</w:t>
            </w:r>
            <w:r w:rsidR="0010602E">
              <w:rPr>
                <w:rFonts w:cs="Verdana"/>
              </w:rPr>
              <w:t>"</w:t>
            </w:r>
          </w:p>
        </w:tc>
      </w:tr>
    </w:tbl>
    <w:p w14:paraId="00000105" w14:textId="6ADBFDEF" w:rsidR="00D67C8C" w:rsidRDefault="00F4606F" w:rsidP="00F4606F">
      <w:pPr>
        <w:pStyle w:val="H2-Num"/>
      </w:pPr>
      <w:bookmarkStart w:id="163" w:name="_heading=h.45jfvxd" w:colFirst="0" w:colLast="0"/>
      <w:bookmarkStart w:id="164" w:name="_Toc510094351"/>
      <w:bookmarkStart w:id="165" w:name="_Toc509563165"/>
      <w:bookmarkStart w:id="166" w:name="_Toc509563173"/>
      <w:bookmarkStart w:id="167" w:name="_Toc23176744"/>
      <w:bookmarkStart w:id="168" w:name="_Toc56635371"/>
      <w:bookmarkStart w:id="169" w:name="_Toc64983063"/>
      <w:bookmarkStart w:id="170" w:name="_Toc159578375"/>
      <w:bookmarkStart w:id="171" w:name="_Toc194959005"/>
      <w:bookmarkStart w:id="172" w:name="_Toc194994747"/>
      <w:bookmarkEnd w:id="157"/>
      <w:bookmarkEnd w:id="163"/>
      <w:bookmarkEnd w:id="164"/>
      <w:bookmarkEnd w:id="165"/>
      <w:bookmarkEnd w:id="166"/>
      <w:r>
        <w:rPr>
          <w:rFonts w:eastAsia="Arial Narrow"/>
        </w:rPr>
        <w:t>2.3</w:t>
      </w:r>
      <w:r>
        <w:rPr>
          <w:rFonts w:eastAsia="Arial Narrow"/>
        </w:rPr>
        <w:tab/>
      </w:r>
      <w:r w:rsidR="00C80A11" w:rsidRPr="005E64B8">
        <w:rPr>
          <w:rFonts w:eastAsia="Arial Narrow"/>
        </w:rPr>
        <w:t>Libraries</w:t>
      </w:r>
      <w:bookmarkEnd w:id="167"/>
      <w:bookmarkEnd w:id="168"/>
      <w:bookmarkEnd w:id="169"/>
      <w:bookmarkEnd w:id="170"/>
      <w:bookmarkEnd w:id="171"/>
      <w:bookmarkEnd w:id="172"/>
    </w:p>
    <w:p w14:paraId="00000106" w14:textId="043C1595" w:rsidR="00D67C8C" w:rsidRPr="00E11604" w:rsidRDefault="00C80A11" w:rsidP="00F4606F">
      <w:pPr>
        <w:pStyle w:val="ParagraphContinued"/>
        <w:rPr>
          <w:rFonts w:cs="Times New Roman"/>
        </w:rPr>
      </w:pPr>
      <w:r>
        <w:t>CQL libraries are collections of expression</w:t>
      </w:r>
      <w:r w:rsidR="00D4789B">
        <w:t>s,</w:t>
      </w:r>
      <w:r>
        <w:t xml:space="preserve"> functions, and declarations</w:t>
      </w:r>
      <w:r w:rsidR="004D2C76">
        <w:t xml:space="preserve"> that </w:t>
      </w:r>
      <w:r w:rsidR="00843B29">
        <w:t>implement measure</w:t>
      </w:r>
      <w:r w:rsidR="004D2C76">
        <w:t xml:space="preserve"> logic</w:t>
      </w:r>
      <w:r>
        <w:t>. Each eCQM cont</w:t>
      </w:r>
      <w:r w:rsidRPr="00E11604">
        <w:rPr>
          <w:rFonts w:cs="Times New Roman"/>
        </w:rPr>
        <w:t>ains a primary</w:t>
      </w:r>
      <w:r w:rsidR="005224CD" w:rsidRPr="00E11604">
        <w:rPr>
          <w:rFonts w:cs="Times New Roman"/>
        </w:rPr>
        <w:t xml:space="preserve"> CQL</w:t>
      </w:r>
      <w:r w:rsidRPr="00E11604">
        <w:rPr>
          <w:rFonts w:cs="Times New Roman"/>
        </w:rPr>
        <w:t xml:space="preserve"> library defining the criteria used by the populations of the eCQM. </w:t>
      </w:r>
      <w:r w:rsidR="005224CD" w:rsidRPr="00E11604">
        <w:rPr>
          <w:rFonts w:cs="Times New Roman"/>
        </w:rPr>
        <w:t>The HQMF document references the CQL library, which contains expressions defining measure populations</w:t>
      </w:r>
      <w:r w:rsidRPr="00E11604">
        <w:rPr>
          <w:rFonts w:cs="Times New Roman"/>
        </w:rPr>
        <w:t>.</w:t>
      </w:r>
      <w:r w:rsidR="00DA76A2">
        <w:rPr>
          <w:rFonts w:cs="Times New Roman"/>
        </w:rPr>
        <w:t xml:space="preserve"> Measures may also include additional libraries other than the primary library. </w:t>
      </w:r>
    </w:p>
    <w:p w14:paraId="00000107" w14:textId="21F8515F" w:rsidR="00D67C8C" w:rsidRPr="00E11604" w:rsidRDefault="00C80A11" w:rsidP="00F4606F">
      <w:pPr>
        <w:pStyle w:val="Paragraph"/>
        <w:rPr>
          <w:rFonts w:cs="Times New Roman"/>
        </w:rPr>
      </w:pPr>
      <w:r w:rsidRPr="00E11604">
        <w:rPr>
          <w:rFonts w:cs="Times New Roman"/>
        </w:rPr>
        <w:t>Libraries can contain</w:t>
      </w:r>
      <w:r w:rsidR="00962C64" w:rsidRPr="00E11604">
        <w:rPr>
          <w:rFonts w:cs="Times New Roman"/>
        </w:rPr>
        <w:t xml:space="preserve"> the following</w:t>
      </w:r>
      <w:r w:rsidRPr="00E11604">
        <w:rPr>
          <w:rFonts w:cs="Times New Roman"/>
        </w:rPr>
        <w:t>:</w:t>
      </w:r>
    </w:p>
    <w:p w14:paraId="00000108" w14:textId="77777777" w:rsidR="00D67C8C" w:rsidRPr="00E11604" w:rsidRDefault="00C80A11" w:rsidP="00F4606F">
      <w:pPr>
        <w:pStyle w:val="ListBullet"/>
        <w:rPr>
          <w:rFonts w:cs="Times New Roman"/>
        </w:rPr>
      </w:pPr>
      <w:r w:rsidRPr="00E11604">
        <w:rPr>
          <w:rFonts w:cs="Times New Roman"/>
        </w:rPr>
        <w:t xml:space="preserve">Expression definitions, such as </w:t>
      </w:r>
      <w:r w:rsidRPr="00E11604">
        <w:rPr>
          <w:rFonts w:eastAsia="Courier New" w:cs="Times New Roman"/>
        </w:rPr>
        <w:t>“Inpatient Encounter”</w:t>
      </w:r>
    </w:p>
    <w:p w14:paraId="00000109" w14:textId="061BD6E3" w:rsidR="00D67C8C" w:rsidRPr="00E11604" w:rsidRDefault="00C80A11" w:rsidP="00F4606F">
      <w:pPr>
        <w:pStyle w:val="ListBullet"/>
        <w:rPr>
          <w:rFonts w:cs="Times New Roman"/>
        </w:rPr>
      </w:pPr>
      <w:r w:rsidRPr="00E11604">
        <w:rPr>
          <w:rFonts w:cs="Times New Roman"/>
        </w:rPr>
        <w:t>Terminologies, such as references to code systems, value sets,</w:t>
      </w:r>
      <w:r w:rsidR="00DE0CEC" w:rsidRPr="00E11604">
        <w:rPr>
          <w:rFonts w:cs="Times New Roman"/>
        </w:rPr>
        <w:t xml:space="preserve"> </w:t>
      </w:r>
      <w:r w:rsidR="007D151D">
        <w:rPr>
          <w:rFonts w:cs="Times New Roman"/>
        </w:rPr>
        <w:t>concepts, and codes.</w:t>
      </w:r>
    </w:p>
    <w:p w14:paraId="0000010A" w14:textId="64839985" w:rsidR="00D67C8C" w:rsidRPr="00E11604" w:rsidRDefault="00C80A11" w:rsidP="00F4606F">
      <w:pPr>
        <w:pStyle w:val="ListBullet"/>
        <w:rPr>
          <w:rFonts w:cs="Times New Roman"/>
        </w:rPr>
      </w:pPr>
      <w:r w:rsidRPr="00E11604">
        <w:rPr>
          <w:rFonts w:cs="Times New Roman"/>
        </w:rPr>
        <w:t xml:space="preserve">Functions, such as </w:t>
      </w:r>
      <w:r w:rsidRPr="00E11604">
        <w:rPr>
          <w:rFonts w:eastAsia="Courier New" w:cs="Times New Roman"/>
        </w:rPr>
        <w:t>“</w:t>
      </w:r>
      <w:proofErr w:type="spellStart"/>
      <w:proofErr w:type="gramStart"/>
      <w:r w:rsidRPr="00E11604">
        <w:rPr>
          <w:rFonts w:eastAsia="Courier New" w:cs="Times New Roman"/>
        </w:rPr>
        <w:t>NormalizeInterval</w:t>
      </w:r>
      <w:proofErr w:type="spellEnd"/>
      <w:r w:rsidR="007D151D">
        <w:rPr>
          <w:rFonts w:eastAsia="Courier New" w:cs="Times New Roman"/>
        </w:rPr>
        <w:t>(</w:t>
      </w:r>
      <w:proofErr w:type="gramEnd"/>
      <w:r w:rsidR="007D151D">
        <w:rPr>
          <w:rFonts w:eastAsia="Courier New" w:cs="Times New Roman"/>
        </w:rPr>
        <w:t>)</w:t>
      </w:r>
      <w:r w:rsidRPr="00E11604">
        <w:rPr>
          <w:rFonts w:eastAsia="Courier New" w:cs="Times New Roman"/>
        </w:rPr>
        <w:t>”</w:t>
      </w:r>
    </w:p>
    <w:p w14:paraId="0000010B" w14:textId="2B6443CB" w:rsidR="00D67C8C" w:rsidRPr="00E11604" w:rsidRDefault="00C80A11" w:rsidP="00F4606F">
      <w:pPr>
        <w:pStyle w:val="ParagraphContinued"/>
        <w:rPr>
          <w:rFonts w:cs="Times New Roman"/>
        </w:rPr>
      </w:pPr>
      <w:r w:rsidRPr="00E11604">
        <w:rPr>
          <w:rFonts w:cs="Times New Roman"/>
        </w:rPr>
        <w:t xml:space="preserve">Once an eCQM includes a reference to a library, the eCQM can subsequently reference components of that library throughout the eCQM. In Figure </w:t>
      </w:r>
      <w:r w:rsidR="00690B3B" w:rsidRPr="00E11604">
        <w:rPr>
          <w:rFonts w:cs="Times New Roman"/>
        </w:rPr>
        <w:t>2</w:t>
      </w:r>
      <w:r w:rsidRPr="00E11604">
        <w:rPr>
          <w:rFonts w:cs="Times New Roman"/>
        </w:rPr>
        <w:t>.4, the definition for one of the denominator exclusions in</w:t>
      </w:r>
      <w:r w:rsidR="00BF58E8" w:rsidRPr="00E11604">
        <w:rPr>
          <w:rFonts w:cs="Times New Roman"/>
        </w:rPr>
        <w:t xml:space="preserve"> </w:t>
      </w:r>
      <w:hyperlink r:id="rId69" w:history="1">
        <w:r w:rsidR="00754EE7" w:rsidRPr="00E11604">
          <w:rPr>
            <w:rStyle w:val="Hyperlink"/>
            <w:rFonts w:cs="Times New Roman"/>
          </w:rPr>
          <w:t>CMS108v14,</w:t>
        </w:r>
        <w:r w:rsidR="00754EE7" w:rsidRPr="00E11604">
          <w:rPr>
            <w:rStyle w:val="Hyperlink"/>
            <w:rFonts w:cs="Times New Roman"/>
            <w:i/>
          </w:rPr>
          <w:t xml:space="preserve"> </w:t>
        </w:r>
        <w:r w:rsidR="00754EE7" w:rsidRPr="00E11604">
          <w:rPr>
            <w:rStyle w:val="Hyperlink"/>
            <w:rFonts w:cs="Times New Roman"/>
          </w:rPr>
          <w:t>Venous Thromboembolism Prophylaxis</w:t>
        </w:r>
      </w:hyperlink>
      <w:r w:rsidRPr="00E11604">
        <w:rPr>
          <w:rFonts w:cs="Times New Roman"/>
          <w:i/>
        </w:rPr>
        <w:t>,</w:t>
      </w:r>
      <w:r w:rsidRPr="00E11604">
        <w:rPr>
          <w:rFonts w:cs="Times New Roman"/>
        </w:rPr>
        <w:t xml:space="preserve"> is </w:t>
      </w:r>
      <w:r w:rsidR="00480DF7" w:rsidRPr="00E11604">
        <w:rPr>
          <w:rFonts w:cs="Times New Roman"/>
        </w:rPr>
        <w:t>“</w:t>
      </w:r>
      <w:r w:rsidRPr="00E11604">
        <w:rPr>
          <w:rFonts w:eastAsia="Courier New" w:cs="Times New Roman"/>
          <w:szCs w:val="20"/>
        </w:rPr>
        <w:t>Encounter Less Than 2 Days</w:t>
      </w:r>
      <w:r w:rsidRPr="00E11604">
        <w:rPr>
          <w:rFonts w:cs="Times New Roman"/>
        </w:rPr>
        <w:t>.</w:t>
      </w:r>
      <w:r w:rsidR="00480DF7" w:rsidRPr="00E11604">
        <w:rPr>
          <w:rFonts w:cs="Times New Roman"/>
        </w:rPr>
        <w:t>”</w:t>
      </w:r>
    </w:p>
    <w:p w14:paraId="0000010C" w14:textId="576E8B60" w:rsidR="00D67C8C" w:rsidRDefault="00C80A11" w:rsidP="00107990">
      <w:pPr>
        <w:pStyle w:val="FigureTitle"/>
      </w:pPr>
      <w:bookmarkStart w:id="173" w:name="_Toc159578075"/>
      <w:bookmarkStart w:id="174" w:name="_Toc195002001"/>
      <w:r w:rsidRPr="0029452B">
        <w:t xml:space="preserve">Figure </w:t>
      </w:r>
      <w:r w:rsidR="00690B3B" w:rsidRPr="0029452B">
        <w:t>2</w:t>
      </w:r>
      <w:r w:rsidRPr="0029452B">
        <w:t xml:space="preserve">.4. </w:t>
      </w:r>
      <w:bookmarkEnd w:id="173"/>
      <w:r w:rsidRPr="0029452B">
        <w:t>Use of Libraries in Definitions</w:t>
      </w:r>
      <w:bookmarkEnd w:id="174"/>
    </w:p>
    <w:tbl>
      <w:tblPr>
        <w:tblStyle w:val="GrayCell"/>
        <w:tblW w:w="9648"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Look w:val="04A0" w:firstRow="1" w:lastRow="0" w:firstColumn="1" w:lastColumn="0" w:noHBand="0" w:noVBand="1"/>
      </w:tblPr>
      <w:tblGrid>
        <w:gridCol w:w="9648"/>
      </w:tblGrid>
      <w:tr w:rsidR="00F458F8" w14:paraId="38F0B53C" w14:textId="77777777" w:rsidTr="00F458F8">
        <w:tc>
          <w:tcPr>
            <w:tcW w:w="5000" w:type="pct"/>
            <w:shd w:val="clear" w:color="auto" w:fill="auto"/>
          </w:tcPr>
          <w:p w14:paraId="58D7EA9C" w14:textId="77777777" w:rsidR="00F458F8" w:rsidRPr="005E64B8" w:rsidRDefault="00F458F8" w:rsidP="00754EE7">
            <w:pPr>
              <w:pStyle w:val="FigureHeader"/>
              <w:spacing w:after="0"/>
            </w:pPr>
            <w:r w:rsidRPr="005E64B8">
              <w:rPr>
                <w:rFonts w:ascii="Cambria Math" w:hAnsi="Cambria Math"/>
              </w:rPr>
              <w:t>◢</w:t>
            </w:r>
            <w:r w:rsidRPr="005E64B8">
              <w:t xml:space="preserve"> Encounter Less Than 2 Days</w:t>
            </w:r>
          </w:p>
          <w:p w14:paraId="45D99C1F" w14:textId="7E1B67E9" w:rsidR="00754EE7" w:rsidRPr="00754EE7" w:rsidRDefault="00F458F8" w:rsidP="00754EE7">
            <w:pPr>
              <w:spacing w:after="0"/>
              <w:ind w:left="720" w:hanging="360"/>
              <w:rPr>
                <w:rFonts w:ascii="Verdana" w:eastAsia="Verdana" w:hAnsi="Verdana" w:cs="Verdana"/>
                <w:sz w:val="16"/>
                <w:szCs w:val="16"/>
              </w:rPr>
            </w:pPr>
            <w:r w:rsidRPr="00F4606F">
              <w:rPr>
                <w:rFonts w:cs="Verdana"/>
              </w:rPr>
              <w:tab/>
            </w:r>
            <w:proofErr w:type="spellStart"/>
            <w:r w:rsidR="00754EE7" w:rsidRPr="00754EE7">
              <w:rPr>
                <w:rFonts w:ascii="Verdana" w:eastAsia="Verdana" w:hAnsi="Verdana" w:cs="Verdana"/>
                <w:sz w:val="16"/>
                <w:szCs w:val="16"/>
              </w:rPr>
              <w:t>VTE.</w:t>
            </w:r>
            <w:r w:rsidR="007D151D">
              <w:rPr>
                <w:rFonts w:ascii="Verdana" w:eastAsia="Verdana" w:hAnsi="Verdana" w:cs="Verdana"/>
                <w:sz w:val="16"/>
                <w:szCs w:val="16"/>
              </w:rPr>
              <w:t>"</w:t>
            </w:r>
            <w:r w:rsidR="00754EE7" w:rsidRPr="00754EE7">
              <w:rPr>
                <w:rFonts w:ascii="Verdana" w:eastAsia="Verdana" w:hAnsi="Verdana" w:cs="Verdana"/>
                <w:sz w:val="16"/>
                <w:szCs w:val="16"/>
              </w:rPr>
              <w:t>Encounter</w:t>
            </w:r>
            <w:proofErr w:type="spellEnd"/>
            <w:r w:rsidR="00754EE7" w:rsidRPr="00754EE7">
              <w:rPr>
                <w:rFonts w:ascii="Verdana" w:eastAsia="Verdana" w:hAnsi="Verdana" w:cs="Verdana"/>
                <w:sz w:val="16"/>
                <w:szCs w:val="16"/>
              </w:rPr>
              <w:t xml:space="preserve"> with Age Range </w:t>
            </w:r>
            <w:proofErr w:type="gramStart"/>
            <w:r w:rsidR="00754EE7" w:rsidRPr="00754EE7">
              <w:rPr>
                <w:rFonts w:ascii="Verdana" w:eastAsia="Verdana" w:hAnsi="Verdana" w:cs="Verdana"/>
                <w:sz w:val="16"/>
                <w:szCs w:val="16"/>
              </w:rPr>
              <w:t>And</w:t>
            </w:r>
            <w:proofErr w:type="gramEnd"/>
            <w:r w:rsidR="00754EE7" w:rsidRPr="00754EE7">
              <w:rPr>
                <w:rFonts w:ascii="Verdana" w:eastAsia="Verdana" w:hAnsi="Verdana" w:cs="Verdana"/>
                <w:sz w:val="16"/>
                <w:szCs w:val="16"/>
              </w:rPr>
              <w:t xml:space="preserve"> Without VTE Diagnosis </w:t>
            </w:r>
            <w:proofErr w:type="gramStart"/>
            <w:r w:rsidR="00754EE7" w:rsidRPr="00754EE7">
              <w:rPr>
                <w:rFonts w:ascii="Verdana" w:eastAsia="Verdana" w:hAnsi="Verdana" w:cs="Verdana"/>
                <w:sz w:val="16"/>
                <w:szCs w:val="16"/>
              </w:rPr>
              <w:t>Or</w:t>
            </w:r>
            <w:proofErr w:type="gramEnd"/>
            <w:r w:rsidR="00754EE7" w:rsidRPr="00754EE7">
              <w:rPr>
                <w:rFonts w:ascii="Verdana" w:eastAsia="Verdana" w:hAnsi="Verdana" w:cs="Verdana"/>
                <w:sz w:val="16"/>
                <w:szCs w:val="16"/>
              </w:rPr>
              <w:t xml:space="preserve"> Obstetrical Conditions</w:t>
            </w:r>
            <w:r w:rsidR="007D151D">
              <w:rPr>
                <w:rFonts w:ascii="Verdana" w:eastAsia="Verdana" w:hAnsi="Verdana" w:cs="Verdana"/>
                <w:sz w:val="16"/>
                <w:szCs w:val="16"/>
              </w:rPr>
              <w:t>"</w:t>
            </w:r>
            <w:r w:rsidR="00754EE7" w:rsidRPr="00754EE7">
              <w:rPr>
                <w:rFonts w:ascii="Verdana" w:eastAsia="Verdana" w:hAnsi="Verdana" w:cs="Verdana"/>
                <w:sz w:val="16"/>
                <w:szCs w:val="16"/>
              </w:rPr>
              <w:t xml:space="preserve"> </w:t>
            </w:r>
            <w:proofErr w:type="spellStart"/>
            <w:r w:rsidR="00754EE7" w:rsidRPr="00754EE7">
              <w:rPr>
                <w:rFonts w:ascii="Verdana" w:eastAsia="Verdana" w:hAnsi="Verdana" w:cs="Verdana"/>
                <w:sz w:val="16"/>
                <w:szCs w:val="16"/>
              </w:rPr>
              <w:t>QualifyingEncounter</w:t>
            </w:r>
            <w:proofErr w:type="spellEnd"/>
            <w:r w:rsidR="00754EE7" w:rsidRPr="00754EE7">
              <w:rPr>
                <w:rFonts w:ascii="Verdana" w:eastAsia="Verdana" w:hAnsi="Verdana" w:cs="Verdana"/>
                <w:sz w:val="16"/>
                <w:szCs w:val="16"/>
              </w:rPr>
              <w:t xml:space="preserve"> </w:t>
            </w:r>
          </w:p>
          <w:p w14:paraId="3ABB27C0" w14:textId="2FDA77D7" w:rsidR="00F458F8" w:rsidRPr="00F458F8" w:rsidRDefault="00754EE7" w:rsidP="00754EE7">
            <w:pPr>
              <w:pStyle w:val="Figure"/>
              <w:ind w:left="720"/>
              <w:rPr>
                <w:rFonts w:cs="Verdana"/>
              </w:rPr>
            </w:pPr>
            <w:r w:rsidRPr="00754EE7">
              <w:rPr>
                <w:rFonts w:cs="Verdana"/>
                <w:color w:val="auto"/>
              </w:rPr>
              <w:t xml:space="preserve">  where Global.</w:t>
            </w:r>
            <w:r w:rsidR="007D151D">
              <w:rPr>
                <w:rFonts w:cs="Verdana"/>
                <w:color w:val="auto"/>
              </w:rPr>
              <w:t>"</w:t>
            </w:r>
            <w:proofErr w:type="spellStart"/>
            <w:r w:rsidRPr="00754EE7">
              <w:rPr>
                <w:rFonts w:cs="Verdana"/>
                <w:color w:val="auto"/>
              </w:rPr>
              <w:t>LengthInDays</w:t>
            </w:r>
            <w:proofErr w:type="spellEnd"/>
            <w:r w:rsidR="006E301E">
              <w:rPr>
                <w:rFonts w:cs="Verdana"/>
                <w:color w:val="auto"/>
              </w:rPr>
              <w:t>"</w:t>
            </w:r>
            <w:r w:rsidRPr="00754EE7">
              <w:rPr>
                <w:rFonts w:cs="Verdana"/>
                <w:color w:val="auto"/>
              </w:rPr>
              <w:t xml:space="preserve"> </w:t>
            </w:r>
            <w:proofErr w:type="gramStart"/>
            <w:r w:rsidRPr="00754EE7">
              <w:rPr>
                <w:rFonts w:cs="Verdana"/>
                <w:color w:val="auto"/>
              </w:rPr>
              <w:t xml:space="preserve">( </w:t>
            </w:r>
            <w:proofErr w:type="spellStart"/>
            <w:r w:rsidRPr="00754EE7">
              <w:rPr>
                <w:rFonts w:cs="Verdana"/>
                <w:color w:val="auto"/>
              </w:rPr>
              <w:t>QualifyingEncounter.relevantPeriod</w:t>
            </w:r>
            <w:proofErr w:type="spellEnd"/>
            <w:proofErr w:type="gramEnd"/>
            <w:r w:rsidRPr="00754EE7">
              <w:rPr>
                <w:rFonts w:cs="Verdana"/>
                <w:color w:val="auto"/>
              </w:rPr>
              <w:t xml:space="preserve"> ) &lt; 2</w:t>
            </w:r>
          </w:p>
        </w:tc>
      </w:tr>
    </w:tbl>
    <w:p w14:paraId="00000110" w14:textId="59466629" w:rsidR="00D67C8C" w:rsidRPr="00E11604" w:rsidRDefault="00C80A11" w:rsidP="00F458F8">
      <w:pPr>
        <w:pStyle w:val="ParagraphContinued"/>
        <w:rPr>
          <w:rFonts w:cs="Times New Roman"/>
        </w:rPr>
      </w:pPr>
      <w:r>
        <w:t xml:space="preserve">This example defines inpatient hospitalizations with a qualifying encounter when the length of stay is less than two days, referring in the logic to the </w:t>
      </w:r>
      <w:r w:rsidR="006E301E">
        <w:rPr>
          <w:rFonts w:cs="Times New Roman"/>
        </w:rPr>
        <w:t>"</w:t>
      </w:r>
      <w:proofErr w:type="spellStart"/>
      <w:r w:rsidRPr="00E11604">
        <w:rPr>
          <w:rFonts w:eastAsia="Courier New" w:cs="Times New Roman"/>
          <w:szCs w:val="20"/>
        </w:rPr>
        <w:t>Global.LengthInDays</w:t>
      </w:r>
      <w:proofErr w:type="spellEnd"/>
      <w:r w:rsidR="006E301E">
        <w:rPr>
          <w:rFonts w:eastAsia="Courier New" w:cs="Times New Roman"/>
          <w:szCs w:val="20"/>
        </w:rPr>
        <w:t>"</w:t>
      </w:r>
      <w:r w:rsidRPr="00E11604">
        <w:rPr>
          <w:rFonts w:cs="Times New Roman"/>
        </w:rPr>
        <w:t xml:space="preserve"> function. The </w:t>
      </w:r>
      <w:r w:rsidR="006E301E">
        <w:rPr>
          <w:rFonts w:cs="Times New Roman"/>
        </w:rPr>
        <w:t>"</w:t>
      </w:r>
      <w:r w:rsidRPr="00E11604">
        <w:rPr>
          <w:rFonts w:eastAsia="Courier New" w:cs="Times New Roman"/>
          <w:szCs w:val="20"/>
        </w:rPr>
        <w:t>Global</w:t>
      </w:r>
      <w:r w:rsidR="006E301E">
        <w:rPr>
          <w:rFonts w:eastAsia="Courier New" w:cs="Times New Roman"/>
          <w:szCs w:val="20"/>
        </w:rPr>
        <w:t>"</w:t>
      </w:r>
      <w:r w:rsidRPr="00E11604">
        <w:rPr>
          <w:rFonts w:cs="Times New Roman"/>
        </w:rPr>
        <w:t xml:space="preserve"> in this definition refers to a library used by many of the eCQMs that share definitions </w:t>
      </w:r>
      <w:r w:rsidRPr="00E11604">
        <w:rPr>
          <w:rFonts w:cs="Times New Roman"/>
        </w:rPr>
        <w:lastRenderedPageBreak/>
        <w:t>and functions</w:t>
      </w:r>
      <w:r w:rsidR="00E11604">
        <w:rPr>
          <w:rFonts w:cs="Times New Roman"/>
        </w:rPr>
        <w:t>,</w:t>
      </w:r>
      <w:r w:rsidRPr="00E11604">
        <w:rPr>
          <w:rFonts w:cs="Times New Roman"/>
        </w:rPr>
        <w:t xml:space="preserve"> such as </w:t>
      </w:r>
      <w:r w:rsidR="006E301E">
        <w:rPr>
          <w:rFonts w:cs="Times New Roman"/>
        </w:rPr>
        <w:t>"</w:t>
      </w:r>
      <w:proofErr w:type="spellStart"/>
      <w:r w:rsidRPr="00E11604">
        <w:rPr>
          <w:rFonts w:eastAsia="Courier New" w:cs="Times New Roman"/>
          <w:szCs w:val="20"/>
        </w:rPr>
        <w:t>Length</w:t>
      </w:r>
      <w:r w:rsidR="003E3DB7">
        <w:rPr>
          <w:rFonts w:eastAsia="Courier New" w:cs="Times New Roman"/>
          <w:szCs w:val="20"/>
        </w:rPr>
        <w:t>I</w:t>
      </w:r>
      <w:r w:rsidRPr="00E11604">
        <w:rPr>
          <w:rFonts w:eastAsia="Courier New" w:cs="Times New Roman"/>
          <w:szCs w:val="20"/>
        </w:rPr>
        <w:t>nDays</w:t>
      </w:r>
      <w:proofErr w:type="spellEnd"/>
      <w:r w:rsidRPr="00E11604">
        <w:rPr>
          <w:rFonts w:cs="Times New Roman"/>
        </w:rPr>
        <w:t>.</w:t>
      </w:r>
      <w:r w:rsidR="006E301E">
        <w:rPr>
          <w:rFonts w:cs="Times New Roman"/>
        </w:rPr>
        <w:t>"</w:t>
      </w:r>
      <w:r w:rsidRPr="00E11604">
        <w:rPr>
          <w:rFonts w:cs="Times New Roman"/>
        </w:rPr>
        <w:t xml:space="preserve"> eCQMs can use definitions and functions contained in the Venous Thromboembolism (VTE) library related to VTE encounters and diagnoses, including the </w:t>
      </w:r>
      <w:r w:rsidR="00480DF7" w:rsidRPr="00E11604">
        <w:rPr>
          <w:rFonts w:cs="Times New Roman"/>
        </w:rPr>
        <w:t>“</w:t>
      </w:r>
      <w:proofErr w:type="spellStart"/>
      <w:r w:rsidRPr="00E11604">
        <w:rPr>
          <w:rFonts w:eastAsia="Courier New" w:cs="Times New Roman"/>
          <w:szCs w:val="20"/>
        </w:rPr>
        <w:t>VTE.Encounter</w:t>
      </w:r>
      <w:proofErr w:type="spellEnd"/>
      <w:r w:rsidRPr="00E11604">
        <w:rPr>
          <w:rFonts w:eastAsia="Courier New" w:cs="Times New Roman"/>
          <w:szCs w:val="20"/>
        </w:rPr>
        <w:t xml:space="preserve"> with Age Range and without VTE Diagnosis or Obstetrical Conditions”</w:t>
      </w:r>
      <w:r w:rsidRPr="00E11604">
        <w:rPr>
          <w:rFonts w:cs="Times New Roman"/>
          <w:szCs w:val="20"/>
        </w:rPr>
        <w:t xml:space="preserve"> </w:t>
      </w:r>
      <w:r w:rsidRPr="00E11604">
        <w:rPr>
          <w:rFonts w:cs="Times New Roman"/>
        </w:rPr>
        <w:t>definition used in this example.</w:t>
      </w:r>
    </w:p>
    <w:p w14:paraId="00000111" w14:textId="14589036" w:rsidR="00D67C8C" w:rsidRDefault="00C80A11" w:rsidP="00F4606F">
      <w:pPr>
        <w:pStyle w:val="Paragraph"/>
      </w:pPr>
      <w:r>
        <w:t xml:space="preserve">For more information on libraries, refer to the Using Libraries to Share Logic section (Chapter 2—Author’s Guide) of the </w:t>
      </w:r>
      <w:hyperlink r:id="rId70" w:anchor="using-libraries-to-share-logic">
        <w:r>
          <w:rPr>
            <w:color w:val="0563C1"/>
            <w:u w:val="single"/>
          </w:rPr>
          <w:t>CQL specification</w:t>
        </w:r>
      </w:hyperlink>
      <w:r>
        <w:t>.</w:t>
      </w:r>
      <w:r w:rsidRPr="005E64B8">
        <w:rPr>
          <w:color w:val="0563C1"/>
          <w:u w:val="single"/>
        </w:rPr>
        <w:t xml:space="preserve"> </w:t>
      </w:r>
      <w:bookmarkEnd w:id="158"/>
    </w:p>
    <w:p w14:paraId="00000112" w14:textId="339ADED8" w:rsidR="00D67C8C" w:rsidRDefault="00F4606F" w:rsidP="00F4606F">
      <w:pPr>
        <w:pStyle w:val="H2-Num"/>
      </w:pPr>
      <w:bookmarkStart w:id="175" w:name="_heading=h.zu0gcz" w:colFirst="0" w:colLast="0"/>
      <w:bookmarkStart w:id="176" w:name="_Toc23176745"/>
      <w:bookmarkStart w:id="177" w:name="_Toc56635372"/>
      <w:bookmarkStart w:id="178" w:name="_Toc64983064"/>
      <w:bookmarkStart w:id="179" w:name="_Toc159578376"/>
      <w:bookmarkStart w:id="180" w:name="_Toc194959006"/>
      <w:bookmarkStart w:id="181" w:name="_Toc194994748"/>
      <w:bookmarkEnd w:id="175"/>
      <w:r>
        <w:rPr>
          <w:rFonts w:eastAsia="Arial Narrow"/>
        </w:rPr>
        <w:t>2.4</w:t>
      </w:r>
      <w:r>
        <w:rPr>
          <w:rFonts w:eastAsia="Arial Narrow"/>
        </w:rPr>
        <w:tab/>
      </w:r>
      <w:r w:rsidR="00C80A11" w:rsidRPr="005E64B8">
        <w:rPr>
          <w:rFonts w:eastAsia="Arial Narrow"/>
        </w:rPr>
        <w:t>Queries</w:t>
      </w:r>
      <w:bookmarkEnd w:id="176"/>
      <w:bookmarkEnd w:id="177"/>
      <w:bookmarkEnd w:id="178"/>
      <w:bookmarkEnd w:id="179"/>
      <w:bookmarkEnd w:id="180"/>
      <w:bookmarkEnd w:id="181"/>
    </w:p>
    <w:p w14:paraId="00000113" w14:textId="69A27604" w:rsidR="00D67C8C" w:rsidRDefault="00C80A11" w:rsidP="00F4606F">
      <w:pPr>
        <w:pStyle w:val="ParagraphContinued"/>
      </w:pPr>
      <w:r>
        <w:t>A central construct in CQL is the query, a specific type of expression enabling easy and precise expression of relationships between data. Queries in CQL are clause</w:t>
      </w:r>
      <w:r w:rsidR="003A1B3A">
        <w:t xml:space="preserve"> </w:t>
      </w:r>
      <w:r>
        <w:t>based, which means they use different types of clauses depending on what operations the logic performs on the data.</w:t>
      </w:r>
    </w:p>
    <w:p w14:paraId="00000114" w14:textId="77777777" w:rsidR="00D67C8C" w:rsidRDefault="00C80A11" w:rsidP="00F4606F">
      <w:pPr>
        <w:pStyle w:val="Paragraph"/>
      </w:pPr>
      <w:r>
        <w:t>The general structure of a CQL query:</w:t>
      </w:r>
    </w:p>
    <w:p w14:paraId="00000115" w14:textId="77777777" w:rsidR="00D67C8C" w:rsidRDefault="00C80A11" w:rsidP="00C95E5D">
      <w:pPr>
        <w:pStyle w:val="Paragraph"/>
        <w:ind w:left="720"/>
      </w:pPr>
      <w:r>
        <w:t>&lt;source&gt; &lt;alias&gt;</w:t>
      </w:r>
    </w:p>
    <w:p w14:paraId="00000116" w14:textId="77777777" w:rsidR="00D67C8C" w:rsidRDefault="00C80A11" w:rsidP="00C95E5D">
      <w:pPr>
        <w:pStyle w:val="Paragraph"/>
        <w:ind w:left="720"/>
      </w:pPr>
      <w:r>
        <w:t xml:space="preserve">  &lt;with or without clauses&gt;</w:t>
      </w:r>
    </w:p>
    <w:p w14:paraId="00000117" w14:textId="77777777" w:rsidR="00D67C8C" w:rsidRDefault="00C80A11" w:rsidP="00C95E5D">
      <w:pPr>
        <w:pStyle w:val="Paragraph"/>
        <w:ind w:left="720"/>
      </w:pPr>
      <w:r>
        <w:t xml:space="preserve">  &lt;where clause&gt;</w:t>
      </w:r>
    </w:p>
    <w:p w14:paraId="00000118" w14:textId="77777777" w:rsidR="00D67C8C" w:rsidRDefault="00C80A11" w:rsidP="00C95E5D">
      <w:pPr>
        <w:pStyle w:val="Paragraph"/>
        <w:ind w:left="720"/>
      </w:pPr>
      <w:r>
        <w:t xml:space="preserve">  &lt;return clause&gt;</w:t>
      </w:r>
    </w:p>
    <w:p w14:paraId="00000119" w14:textId="77777777" w:rsidR="00D67C8C" w:rsidRDefault="00C80A11" w:rsidP="00C95E5D">
      <w:pPr>
        <w:pStyle w:val="Paragraph"/>
        <w:ind w:left="720"/>
      </w:pPr>
      <w:r>
        <w:t xml:space="preserve">  &lt;sort clause&gt;</w:t>
      </w:r>
    </w:p>
    <w:p w14:paraId="0000011A" w14:textId="77777777" w:rsidR="00D67C8C" w:rsidRDefault="00C80A11" w:rsidP="00AF10F3">
      <w:pPr>
        <w:pStyle w:val="ParagraphContinued"/>
      </w:pPr>
      <w:r>
        <w:t>Because all the clauses are optional, the simplest query is just a source and an alias:</w:t>
      </w:r>
    </w:p>
    <w:p w14:paraId="0000011B" w14:textId="028B8E66" w:rsidR="00D67C8C" w:rsidRPr="00E11604" w:rsidRDefault="003E3DB7" w:rsidP="00AF10F3">
      <w:pPr>
        <w:pStyle w:val="Paragraph"/>
        <w:spacing w:before="240" w:after="240"/>
        <w:ind w:left="720"/>
        <w:rPr>
          <w:rFonts w:cs="Times New Roman"/>
        </w:rPr>
      </w:pPr>
      <w:r>
        <w:rPr>
          <w:rFonts w:cs="Times New Roman"/>
        </w:rPr>
        <w:t>["Encounter, Performed</w:t>
      </w:r>
      <w:proofErr w:type="gramStart"/>
      <w:r>
        <w:rPr>
          <w:rFonts w:cs="Times New Roman"/>
        </w:rPr>
        <w:t>" :</w:t>
      </w:r>
      <w:proofErr w:type="gramEnd"/>
      <w:r>
        <w:rPr>
          <w:rFonts w:cs="Times New Roman"/>
        </w:rPr>
        <w:t xml:space="preserve"> "Office Visit"] </w:t>
      </w:r>
      <w:r w:rsidR="00C80A11" w:rsidRPr="00E11604">
        <w:rPr>
          <w:rFonts w:cs="Times New Roman"/>
        </w:rPr>
        <w:t>Encounter</w:t>
      </w:r>
    </w:p>
    <w:p w14:paraId="0000011C" w14:textId="3EE29BE6" w:rsidR="00D67C8C" w:rsidRDefault="00C80A11" w:rsidP="00AF10F3">
      <w:pPr>
        <w:pStyle w:val="ParagraphContinued"/>
      </w:pPr>
      <w:bookmarkStart w:id="182" w:name="_heading=h.3jtnz0s" w:colFirst="0" w:colLast="0"/>
      <w:bookmarkStart w:id="183" w:name="_Toc23176746"/>
      <w:bookmarkStart w:id="184" w:name="_Toc56635373"/>
      <w:bookmarkStart w:id="185" w:name="_Toc64983065"/>
      <w:bookmarkEnd w:id="182"/>
      <w:r>
        <w:t>Here, the source is a referen</w:t>
      </w:r>
      <w:r w:rsidRPr="00E11604">
        <w:rPr>
          <w:rFonts w:cs="Times New Roman"/>
        </w:rPr>
        <w:t xml:space="preserve">ce to </w:t>
      </w:r>
      <w:r w:rsidRPr="00E11604">
        <w:rPr>
          <w:rFonts w:eastAsia="Courier New" w:cs="Times New Roman"/>
          <w:szCs w:val="20"/>
        </w:rPr>
        <w:t>“</w:t>
      </w:r>
      <w:r w:rsidR="008517C1">
        <w:rPr>
          <w:rFonts w:eastAsia="Courier New" w:cs="Times New Roman"/>
          <w:szCs w:val="20"/>
        </w:rPr>
        <w:t>Office Visit</w:t>
      </w:r>
      <w:r w:rsidRPr="00E11604">
        <w:rPr>
          <w:rFonts w:eastAsia="Courier New" w:cs="Times New Roman"/>
          <w:szCs w:val="20"/>
        </w:rPr>
        <w:t>,”</w:t>
      </w:r>
      <w:r w:rsidRPr="00E11604">
        <w:rPr>
          <w:rFonts w:cs="Times New Roman"/>
        </w:rPr>
        <w:t xml:space="preserve"> which is an expression returning a list of encounters</w:t>
      </w:r>
      <w:r w:rsidR="00197089">
        <w:rPr>
          <w:rFonts w:cs="Times New Roman"/>
        </w:rPr>
        <w:t xml:space="preserve"> performed with a code in the “Office Visit” value set</w:t>
      </w:r>
      <w:r w:rsidRPr="00E11604">
        <w:rPr>
          <w:rFonts w:cs="Times New Roman"/>
        </w:rPr>
        <w:t xml:space="preserve">. </w:t>
      </w:r>
      <w:r w:rsidR="0019478D" w:rsidRPr="00E11604">
        <w:rPr>
          <w:rFonts w:cs="Times New Roman"/>
        </w:rPr>
        <w:t>“</w:t>
      </w:r>
      <w:r w:rsidRPr="00E11604">
        <w:rPr>
          <w:rFonts w:eastAsia="Courier New" w:cs="Times New Roman"/>
          <w:szCs w:val="20"/>
        </w:rPr>
        <w:t>Encounter</w:t>
      </w:r>
      <w:r w:rsidR="0019478D" w:rsidRPr="00E11604">
        <w:rPr>
          <w:rFonts w:eastAsia="Courier New" w:cs="Times New Roman"/>
          <w:szCs w:val="20"/>
        </w:rPr>
        <w:t>”</w:t>
      </w:r>
      <w:r w:rsidRPr="00E11604">
        <w:rPr>
          <w:rFonts w:cs="Times New Roman"/>
        </w:rPr>
        <w:t xml:space="preserve"> is the alias</w:t>
      </w:r>
      <w:r w:rsidRPr="00E11604">
        <w:rPr>
          <w:rFonts w:eastAsia="Courier New" w:cs="Times New Roman"/>
          <w:szCs w:val="20"/>
        </w:rPr>
        <w:t>.</w:t>
      </w:r>
      <w:r w:rsidRPr="00E11604">
        <w:rPr>
          <w:rFonts w:cs="Times New Roman"/>
        </w:rPr>
        <w:t xml:space="preserve"> The alias allows reference to the elements of the source anywhere within the query. Because this simple query does not have any clauses, it simply returns the same result as the source.</w:t>
      </w:r>
    </w:p>
    <w:p w14:paraId="0000011D" w14:textId="264D1788" w:rsidR="00D67C8C" w:rsidRDefault="00AF10F3" w:rsidP="00AF10F3">
      <w:pPr>
        <w:pStyle w:val="H3-Num"/>
      </w:pPr>
      <w:bookmarkStart w:id="186" w:name="_heading=h.1yyy98l" w:colFirst="0" w:colLast="0"/>
      <w:bookmarkStart w:id="187" w:name="_Toc159479996"/>
      <w:bookmarkStart w:id="188" w:name="_Toc159578377"/>
      <w:bookmarkStart w:id="189" w:name="_Toc194994749"/>
      <w:bookmarkEnd w:id="186"/>
      <w:r>
        <w:t>2.4.1</w:t>
      </w:r>
      <w:r>
        <w:tab/>
      </w:r>
      <w:r w:rsidR="00C80A11" w:rsidRPr="005E64B8">
        <w:t xml:space="preserve">Where </w:t>
      </w:r>
      <w:bookmarkEnd w:id="183"/>
      <w:bookmarkEnd w:id="184"/>
      <w:bookmarkEnd w:id="185"/>
      <w:r w:rsidR="00C80A11" w:rsidRPr="005E64B8">
        <w:t>Clause</w:t>
      </w:r>
      <w:bookmarkEnd w:id="187"/>
      <w:bookmarkEnd w:id="188"/>
      <w:bookmarkEnd w:id="189"/>
    </w:p>
    <w:p w14:paraId="0000011E" w14:textId="3E29AEEE" w:rsidR="00D67C8C" w:rsidRPr="004A3DC8" w:rsidRDefault="00C80A11" w:rsidP="00AF10F3">
      <w:pPr>
        <w:pStyle w:val="ParagraphContinued"/>
        <w:rPr>
          <w:rFonts w:cs="Times New Roman"/>
        </w:rPr>
      </w:pPr>
      <w:r w:rsidRPr="004A3DC8">
        <w:rPr>
          <w:rFonts w:cs="Times New Roman"/>
        </w:rPr>
        <w:t xml:space="preserve">The </w:t>
      </w:r>
      <w:r w:rsidR="004A3DC8" w:rsidRPr="004A3DC8">
        <w:rPr>
          <w:rFonts w:cs="Times New Roman"/>
        </w:rPr>
        <w:t>“</w:t>
      </w:r>
      <w:r w:rsidRPr="004A3DC8">
        <w:rPr>
          <w:rFonts w:eastAsia="Courier New" w:cs="Times New Roman"/>
          <w:szCs w:val="20"/>
        </w:rPr>
        <w:t>where</w:t>
      </w:r>
      <w:r w:rsidR="004A3DC8" w:rsidRPr="004A3DC8">
        <w:rPr>
          <w:rFonts w:eastAsia="Courier New" w:cs="Times New Roman"/>
          <w:szCs w:val="20"/>
        </w:rPr>
        <w:t>”</w:t>
      </w:r>
      <w:r w:rsidRPr="004A3DC8">
        <w:rPr>
          <w:rFonts w:cs="Times New Roman"/>
          <w:szCs w:val="20"/>
        </w:rPr>
        <w:t xml:space="preserve"> </w:t>
      </w:r>
      <w:r w:rsidRPr="004A3DC8">
        <w:rPr>
          <w:rFonts w:cs="Times New Roman"/>
        </w:rPr>
        <w:t xml:space="preserve">keyword introduces a </w:t>
      </w:r>
      <w:r w:rsidR="004A3DC8">
        <w:rPr>
          <w:rFonts w:cs="Times New Roman"/>
        </w:rPr>
        <w:t>“</w:t>
      </w:r>
      <w:r w:rsidRPr="004A3DC8">
        <w:rPr>
          <w:rFonts w:eastAsia="Courier New" w:cs="Times New Roman"/>
          <w:szCs w:val="20"/>
        </w:rPr>
        <w:t>where</w:t>
      </w:r>
      <w:r w:rsidR="004A3DC8">
        <w:rPr>
          <w:rFonts w:eastAsia="Courier New" w:cs="Times New Roman"/>
          <w:szCs w:val="20"/>
        </w:rPr>
        <w:t>”</w:t>
      </w:r>
      <w:r w:rsidRPr="004A3DC8">
        <w:rPr>
          <w:rFonts w:cs="Times New Roman"/>
          <w:szCs w:val="20"/>
        </w:rPr>
        <w:t xml:space="preserve"> </w:t>
      </w:r>
      <w:r w:rsidRPr="004A3DC8">
        <w:rPr>
          <w:rFonts w:cs="Times New Roman"/>
        </w:rPr>
        <w:t>clause, which enables the user to filter the results of the source, as shown in Figure</w:t>
      </w:r>
      <w:r w:rsidR="00486E42" w:rsidRPr="004A3DC8">
        <w:rPr>
          <w:rFonts w:cs="Times New Roman"/>
        </w:rPr>
        <w:t xml:space="preserve"> 2</w:t>
      </w:r>
      <w:r w:rsidRPr="004A3DC8">
        <w:rPr>
          <w:rFonts w:cs="Times New Roman"/>
        </w:rPr>
        <w:t>.5 from</w:t>
      </w:r>
      <w:r w:rsidR="00395AC1" w:rsidRPr="004A3DC8">
        <w:rPr>
          <w:rFonts w:cs="Times New Roman"/>
        </w:rPr>
        <w:t xml:space="preserve"> </w:t>
      </w:r>
      <w:hyperlink r:id="rId71" w:history="1">
        <w:r w:rsidR="00886556" w:rsidRPr="004A3DC8">
          <w:rPr>
            <w:rStyle w:val="Hyperlink"/>
            <w:rFonts w:cs="Times New Roman"/>
          </w:rPr>
          <w:t>CMS124v14, Cervical Cancer Screening</w:t>
        </w:r>
      </w:hyperlink>
      <w:r w:rsidRPr="004A3DC8">
        <w:rPr>
          <w:rFonts w:cs="Times New Roman"/>
        </w:rPr>
        <w:t>.</w:t>
      </w:r>
    </w:p>
    <w:p w14:paraId="0000011F" w14:textId="7383F407" w:rsidR="00D67C8C" w:rsidRDefault="00C80A11" w:rsidP="00107990">
      <w:pPr>
        <w:pStyle w:val="FigureTitle"/>
      </w:pPr>
      <w:bookmarkStart w:id="190" w:name="_Toc159578076"/>
      <w:bookmarkStart w:id="191" w:name="_Toc195002002"/>
      <w:r w:rsidRPr="0029452B">
        <w:t xml:space="preserve">Figure </w:t>
      </w:r>
      <w:r w:rsidR="00486E42" w:rsidRPr="0029452B">
        <w:t>2</w:t>
      </w:r>
      <w:r w:rsidRPr="0029452B">
        <w:t>.5. Where Clause</w:t>
      </w:r>
      <w:bookmarkEnd w:id="190"/>
      <w:bookmarkEnd w:id="191"/>
    </w:p>
    <w:tbl>
      <w:tblPr>
        <w:tblStyle w:val="GrayCell"/>
        <w:tblW w:w="936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Look w:val="04A0" w:firstRow="1" w:lastRow="0" w:firstColumn="1" w:lastColumn="0" w:noHBand="0" w:noVBand="1"/>
      </w:tblPr>
      <w:tblGrid>
        <w:gridCol w:w="9360"/>
      </w:tblGrid>
      <w:tr w:rsidR="00F458F8" w14:paraId="3964E1C9" w14:textId="77777777">
        <w:tc>
          <w:tcPr>
            <w:tcW w:w="5000" w:type="pct"/>
            <w:shd w:val="clear" w:color="auto" w:fill="auto"/>
          </w:tcPr>
          <w:p w14:paraId="4903F276" w14:textId="77777777" w:rsidR="00F458F8" w:rsidRPr="005E64B8" w:rsidRDefault="00F458F8" w:rsidP="00F458F8">
            <w:pPr>
              <w:pStyle w:val="FigureHeader"/>
            </w:pPr>
            <w:r w:rsidRPr="005E64B8">
              <w:rPr>
                <w:rFonts w:ascii="Cambria Math" w:hAnsi="Cambria Math"/>
              </w:rPr>
              <w:t>◢</w:t>
            </w:r>
            <w:r w:rsidRPr="005E64B8">
              <w:t xml:space="preserve"> Qualifying Encounters</w:t>
            </w:r>
          </w:p>
          <w:p w14:paraId="4B91BBC3" w14:textId="1BCA3EA2" w:rsidR="00886556" w:rsidRPr="00886556" w:rsidRDefault="00886556" w:rsidP="00886556">
            <w:pPr>
              <w:spacing w:after="0" w:line="240" w:lineRule="auto"/>
              <w:ind w:left="720" w:hanging="360"/>
              <w:rPr>
                <w:rFonts w:ascii="Verdana" w:eastAsia="Verdana" w:hAnsi="Verdana" w:cs="Verdana"/>
                <w:color w:val="000000"/>
                <w:sz w:val="16"/>
                <w:szCs w:val="16"/>
              </w:rPr>
            </w:pPr>
            <w:proofErr w:type="gramStart"/>
            <w:r w:rsidRPr="00886556">
              <w:rPr>
                <w:rFonts w:ascii="Verdana" w:eastAsia="Verdana" w:hAnsi="Verdana" w:cs="Verdana"/>
                <w:color w:val="000000"/>
                <w:sz w:val="16"/>
                <w:szCs w:val="16"/>
              </w:rPr>
              <w:t>( [</w:t>
            </w:r>
            <w:proofErr w:type="gramEnd"/>
            <w:r w:rsidR="006E301E">
              <w:rPr>
                <w:rFonts w:ascii="Verdana" w:eastAsia="Verdana" w:hAnsi="Verdana" w:cs="Verdana"/>
                <w:color w:val="000000"/>
                <w:sz w:val="16"/>
                <w:szCs w:val="16"/>
              </w:rPr>
              <w:t>"</w:t>
            </w:r>
            <w:r w:rsidRPr="00886556">
              <w:rPr>
                <w:rFonts w:ascii="Verdana" w:eastAsia="Verdana" w:hAnsi="Verdana" w:cs="Verdana"/>
                <w:sz w:val="16"/>
                <w:szCs w:val="16"/>
              </w:rPr>
              <w:t>Encounter</w:t>
            </w:r>
            <w:r w:rsidRPr="00886556">
              <w:rPr>
                <w:rFonts w:ascii="Verdana" w:eastAsia="Verdana" w:hAnsi="Verdana" w:cs="Verdana"/>
                <w:color w:val="000000"/>
                <w:sz w:val="16"/>
                <w:szCs w:val="16"/>
              </w:rPr>
              <w:t>, Performed</w:t>
            </w:r>
            <w:r w:rsidR="006E301E">
              <w:rPr>
                <w:rFonts w:ascii="Verdana" w:eastAsia="Verdana" w:hAnsi="Verdana" w:cs="Verdana"/>
                <w:color w:val="000000"/>
                <w:sz w:val="16"/>
                <w:szCs w:val="16"/>
              </w:rPr>
              <w:t>"</w:t>
            </w:r>
            <w:r w:rsidRPr="00886556">
              <w:rPr>
                <w:rFonts w:ascii="Verdana" w:eastAsia="Verdana" w:hAnsi="Verdana" w:cs="Verdana"/>
                <w:color w:val="000000"/>
                <w:sz w:val="16"/>
                <w:szCs w:val="16"/>
              </w:rPr>
              <w:t xml:space="preserve">: </w:t>
            </w:r>
            <w:r w:rsidR="006E301E">
              <w:rPr>
                <w:rFonts w:ascii="Verdana" w:eastAsia="Verdana" w:hAnsi="Verdana" w:cs="Verdana"/>
                <w:color w:val="000000"/>
                <w:sz w:val="16"/>
                <w:szCs w:val="16"/>
              </w:rPr>
              <w:t>"</w:t>
            </w:r>
            <w:r w:rsidRPr="00886556">
              <w:rPr>
                <w:rFonts w:ascii="Verdana" w:eastAsia="Verdana" w:hAnsi="Verdana" w:cs="Verdana"/>
                <w:color w:val="000000"/>
                <w:sz w:val="16"/>
                <w:szCs w:val="16"/>
              </w:rPr>
              <w:t>Office Visit</w:t>
            </w:r>
            <w:r w:rsidR="006E301E">
              <w:rPr>
                <w:rFonts w:ascii="Verdana" w:eastAsia="Verdana" w:hAnsi="Verdana" w:cs="Verdana"/>
                <w:color w:val="000000"/>
                <w:sz w:val="16"/>
                <w:szCs w:val="16"/>
              </w:rPr>
              <w:t>"</w:t>
            </w:r>
            <w:r w:rsidRPr="00886556">
              <w:rPr>
                <w:rFonts w:ascii="Verdana" w:eastAsia="Verdana" w:hAnsi="Verdana" w:cs="Verdana"/>
                <w:color w:val="000000"/>
                <w:sz w:val="16"/>
                <w:szCs w:val="16"/>
              </w:rPr>
              <w:t>]</w:t>
            </w:r>
          </w:p>
          <w:p w14:paraId="30DCF3F8" w14:textId="158D68A3" w:rsidR="00886556" w:rsidRPr="00886556" w:rsidRDefault="00886556" w:rsidP="00886556">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ascii="Verdana" w:eastAsia="Verdana" w:hAnsi="Verdana" w:cs="Times New Roman"/>
                <w:color w:val="000000"/>
                <w:sz w:val="16"/>
                <w:szCs w:val="28"/>
              </w:rPr>
            </w:pPr>
            <w:r w:rsidRPr="00886556">
              <w:rPr>
                <w:rFonts w:ascii="Verdana" w:eastAsia="Verdana" w:hAnsi="Verdana" w:cs="Times New Roman"/>
                <w:color w:val="000000"/>
                <w:sz w:val="16"/>
                <w:szCs w:val="28"/>
              </w:rPr>
              <w:t xml:space="preserve">  union [</w:t>
            </w:r>
            <w:r w:rsidR="006E301E">
              <w:rPr>
                <w:rFonts w:ascii="Verdana" w:eastAsia="Verdana" w:hAnsi="Verdana" w:cs="Times New Roman"/>
                <w:color w:val="000000"/>
                <w:sz w:val="16"/>
                <w:szCs w:val="28"/>
              </w:rPr>
              <w:t>"</w:t>
            </w:r>
            <w:r w:rsidRPr="00886556">
              <w:rPr>
                <w:rFonts w:ascii="Verdana" w:eastAsia="Verdana" w:hAnsi="Verdana" w:cs="Times New Roman"/>
                <w:color w:val="000000"/>
                <w:sz w:val="16"/>
                <w:szCs w:val="28"/>
              </w:rPr>
              <w:t xml:space="preserve">Encounter, </w:t>
            </w:r>
            <w:proofErr w:type="gramStart"/>
            <w:r w:rsidRPr="00886556">
              <w:rPr>
                <w:rFonts w:ascii="Verdana" w:eastAsia="Verdana" w:hAnsi="Verdana" w:cs="Times New Roman"/>
                <w:color w:val="000000"/>
                <w:sz w:val="16"/>
                <w:szCs w:val="28"/>
              </w:rPr>
              <w:t>Performed</w:t>
            </w:r>
            <w:proofErr w:type="gramEnd"/>
            <w:r w:rsidR="006E301E">
              <w:rPr>
                <w:rFonts w:ascii="Verdana" w:eastAsia="Verdana" w:hAnsi="Verdana" w:cs="Times New Roman"/>
                <w:color w:val="000000"/>
                <w:sz w:val="16"/>
                <w:szCs w:val="28"/>
              </w:rPr>
              <w:t>"</w:t>
            </w:r>
            <w:r w:rsidRPr="00886556">
              <w:rPr>
                <w:rFonts w:ascii="Verdana" w:eastAsia="Verdana" w:hAnsi="Verdana" w:cs="Times New Roman"/>
                <w:color w:val="000000"/>
                <w:sz w:val="16"/>
                <w:szCs w:val="28"/>
              </w:rPr>
              <w:t xml:space="preserve">: </w:t>
            </w:r>
            <w:r w:rsidR="006E301E">
              <w:rPr>
                <w:rFonts w:ascii="Verdana" w:eastAsia="Verdana" w:hAnsi="Verdana" w:cs="Times New Roman"/>
                <w:color w:val="000000"/>
                <w:sz w:val="16"/>
                <w:szCs w:val="28"/>
              </w:rPr>
              <w:t>"</w:t>
            </w:r>
            <w:r w:rsidRPr="00886556">
              <w:rPr>
                <w:rFonts w:ascii="Verdana" w:eastAsia="Verdana" w:hAnsi="Verdana" w:cs="Times New Roman"/>
                <w:color w:val="000000"/>
                <w:sz w:val="16"/>
                <w:szCs w:val="28"/>
              </w:rPr>
              <w:t>Preventive Care Services Established Office Visit, 18 and Up</w:t>
            </w:r>
            <w:r w:rsidR="006E301E">
              <w:rPr>
                <w:rFonts w:ascii="Verdana" w:eastAsia="Verdana" w:hAnsi="Verdana" w:cs="Times New Roman"/>
                <w:color w:val="000000"/>
                <w:sz w:val="16"/>
                <w:szCs w:val="28"/>
              </w:rPr>
              <w:t>"</w:t>
            </w:r>
            <w:r w:rsidRPr="00886556">
              <w:rPr>
                <w:rFonts w:ascii="Verdana" w:eastAsia="Verdana" w:hAnsi="Verdana" w:cs="Times New Roman"/>
                <w:color w:val="000000"/>
                <w:sz w:val="16"/>
                <w:szCs w:val="28"/>
              </w:rPr>
              <w:t>]</w:t>
            </w:r>
          </w:p>
          <w:p w14:paraId="2788398D" w14:textId="06D42DD8" w:rsidR="00886556" w:rsidRPr="00886556" w:rsidRDefault="00886556" w:rsidP="00886556">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ascii="Verdana" w:eastAsia="Verdana" w:hAnsi="Verdana" w:cs="Times New Roman"/>
                <w:color w:val="000000"/>
                <w:sz w:val="16"/>
                <w:szCs w:val="28"/>
              </w:rPr>
            </w:pPr>
            <w:r w:rsidRPr="00886556">
              <w:rPr>
                <w:rFonts w:ascii="Verdana" w:eastAsia="Verdana" w:hAnsi="Verdana" w:cs="Times New Roman"/>
                <w:color w:val="000000"/>
                <w:sz w:val="16"/>
                <w:szCs w:val="28"/>
              </w:rPr>
              <w:t xml:space="preserve">  union [</w:t>
            </w:r>
            <w:r w:rsidR="006E301E">
              <w:rPr>
                <w:rFonts w:ascii="Verdana" w:eastAsia="Verdana" w:hAnsi="Verdana" w:cs="Times New Roman"/>
                <w:color w:val="000000"/>
                <w:sz w:val="16"/>
                <w:szCs w:val="28"/>
              </w:rPr>
              <w:t>"</w:t>
            </w:r>
            <w:r w:rsidRPr="00886556">
              <w:rPr>
                <w:rFonts w:ascii="Verdana" w:eastAsia="Verdana" w:hAnsi="Verdana" w:cs="Times New Roman"/>
                <w:color w:val="000000"/>
                <w:sz w:val="16"/>
                <w:szCs w:val="28"/>
              </w:rPr>
              <w:t>Encounter, Performed</w:t>
            </w:r>
            <w:r w:rsidR="006E301E">
              <w:rPr>
                <w:rFonts w:ascii="Verdana" w:eastAsia="Verdana" w:hAnsi="Verdana" w:cs="Times New Roman"/>
                <w:color w:val="000000"/>
                <w:sz w:val="16"/>
                <w:szCs w:val="28"/>
              </w:rPr>
              <w:t>"</w:t>
            </w:r>
            <w:r w:rsidRPr="00886556">
              <w:rPr>
                <w:rFonts w:ascii="Verdana" w:eastAsia="Verdana" w:hAnsi="Verdana" w:cs="Times New Roman"/>
                <w:color w:val="000000"/>
                <w:sz w:val="16"/>
                <w:szCs w:val="28"/>
              </w:rPr>
              <w:t xml:space="preserve">: </w:t>
            </w:r>
            <w:r w:rsidR="006E301E">
              <w:rPr>
                <w:rFonts w:ascii="Verdana" w:eastAsia="Verdana" w:hAnsi="Verdana" w:cs="Times New Roman"/>
                <w:color w:val="000000"/>
                <w:sz w:val="16"/>
                <w:szCs w:val="28"/>
              </w:rPr>
              <w:t>"</w:t>
            </w:r>
            <w:r w:rsidRPr="00886556">
              <w:rPr>
                <w:rFonts w:ascii="Verdana" w:eastAsia="Verdana" w:hAnsi="Verdana" w:cs="Times New Roman"/>
                <w:color w:val="000000"/>
                <w:sz w:val="16"/>
                <w:szCs w:val="28"/>
              </w:rPr>
              <w:t>Preventive Care Services Initial Office Visit, 18 and Up</w:t>
            </w:r>
            <w:r w:rsidR="006E301E">
              <w:rPr>
                <w:rFonts w:ascii="Verdana" w:eastAsia="Verdana" w:hAnsi="Verdana" w:cs="Times New Roman"/>
                <w:color w:val="000000"/>
                <w:sz w:val="16"/>
                <w:szCs w:val="28"/>
              </w:rPr>
              <w:t>"</w:t>
            </w:r>
            <w:r w:rsidRPr="00886556">
              <w:rPr>
                <w:rFonts w:ascii="Verdana" w:eastAsia="Verdana" w:hAnsi="Verdana" w:cs="Times New Roman"/>
                <w:color w:val="000000"/>
                <w:sz w:val="16"/>
                <w:szCs w:val="28"/>
              </w:rPr>
              <w:t>]</w:t>
            </w:r>
          </w:p>
          <w:p w14:paraId="3014A280" w14:textId="047B75CC" w:rsidR="00886556" w:rsidRPr="00886556" w:rsidRDefault="00886556" w:rsidP="00886556">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ascii="Verdana" w:eastAsia="Verdana" w:hAnsi="Verdana" w:cs="Times New Roman"/>
                <w:color w:val="000000"/>
                <w:sz w:val="16"/>
                <w:szCs w:val="28"/>
              </w:rPr>
            </w:pPr>
            <w:r w:rsidRPr="00886556">
              <w:rPr>
                <w:rFonts w:ascii="Verdana" w:eastAsia="Verdana" w:hAnsi="Verdana" w:cs="Times New Roman"/>
                <w:color w:val="000000"/>
                <w:sz w:val="16"/>
                <w:szCs w:val="28"/>
              </w:rPr>
              <w:t xml:space="preserve">  union [</w:t>
            </w:r>
            <w:r w:rsidR="006E301E">
              <w:rPr>
                <w:rFonts w:ascii="Verdana" w:eastAsia="Verdana" w:hAnsi="Verdana" w:cs="Times New Roman"/>
                <w:color w:val="000000"/>
                <w:sz w:val="16"/>
                <w:szCs w:val="28"/>
              </w:rPr>
              <w:t>"</w:t>
            </w:r>
            <w:r w:rsidRPr="00886556">
              <w:rPr>
                <w:rFonts w:ascii="Verdana" w:eastAsia="Verdana" w:hAnsi="Verdana" w:cs="Times New Roman"/>
                <w:color w:val="000000"/>
                <w:sz w:val="16"/>
                <w:szCs w:val="28"/>
              </w:rPr>
              <w:t>Encounter, Performed</w:t>
            </w:r>
            <w:r w:rsidR="006E301E">
              <w:rPr>
                <w:rFonts w:ascii="Verdana" w:eastAsia="Verdana" w:hAnsi="Verdana" w:cs="Times New Roman"/>
                <w:color w:val="000000"/>
                <w:sz w:val="16"/>
                <w:szCs w:val="28"/>
              </w:rPr>
              <w:t>"</w:t>
            </w:r>
            <w:r w:rsidRPr="00886556">
              <w:rPr>
                <w:rFonts w:ascii="Verdana" w:eastAsia="Verdana" w:hAnsi="Verdana" w:cs="Times New Roman"/>
                <w:color w:val="000000"/>
                <w:sz w:val="16"/>
                <w:szCs w:val="28"/>
              </w:rPr>
              <w:t xml:space="preserve">: </w:t>
            </w:r>
            <w:r w:rsidR="006E301E">
              <w:rPr>
                <w:rFonts w:ascii="Verdana" w:eastAsia="Verdana" w:hAnsi="Verdana" w:cs="Times New Roman"/>
                <w:color w:val="000000"/>
                <w:sz w:val="16"/>
                <w:szCs w:val="28"/>
              </w:rPr>
              <w:t>"</w:t>
            </w:r>
            <w:r w:rsidRPr="00886556">
              <w:rPr>
                <w:rFonts w:ascii="Verdana" w:eastAsia="Verdana" w:hAnsi="Verdana" w:cs="Times New Roman"/>
                <w:color w:val="000000"/>
                <w:sz w:val="16"/>
                <w:szCs w:val="28"/>
              </w:rPr>
              <w:t>Home Healthcare Services</w:t>
            </w:r>
            <w:r w:rsidR="006E301E">
              <w:rPr>
                <w:rFonts w:ascii="Verdana" w:eastAsia="Verdana" w:hAnsi="Verdana" w:cs="Times New Roman"/>
                <w:color w:val="000000"/>
                <w:sz w:val="16"/>
                <w:szCs w:val="28"/>
              </w:rPr>
              <w:t>"</w:t>
            </w:r>
            <w:r w:rsidRPr="00886556">
              <w:rPr>
                <w:rFonts w:ascii="Verdana" w:eastAsia="Verdana" w:hAnsi="Verdana" w:cs="Times New Roman"/>
                <w:color w:val="000000"/>
                <w:sz w:val="16"/>
                <w:szCs w:val="28"/>
              </w:rPr>
              <w:t>]</w:t>
            </w:r>
          </w:p>
          <w:p w14:paraId="22AADEE5" w14:textId="547579E0" w:rsidR="00886556" w:rsidRPr="00886556" w:rsidRDefault="00886556" w:rsidP="00886556">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ascii="Verdana" w:eastAsia="Verdana" w:hAnsi="Verdana" w:cs="Times New Roman"/>
                <w:color w:val="000000"/>
                <w:sz w:val="16"/>
                <w:szCs w:val="28"/>
              </w:rPr>
            </w:pPr>
            <w:r w:rsidRPr="00886556">
              <w:rPr>
                <w:rFonts w:ascii="Verdana" w:eastAsia="Verdana" w:hAnsi="Verdana" w:cs="Times New Roman"/>
                <w:color w:val="000000"/>
                <w:sz w:val="16"/>
                <w:szCs w:val="28"/>
              </w:rPr>
              <w:t xml:space="preserve">  union [</w:t>
            </w:r>
            <w:r w:rsidR="006E301E">
              <w:rPr>
                <w:rFonts w:ascii="Verdana" w:eastAsia="Verdana" w:hAnsi="Verdana" w:cs="Times New Roman"/>
                <w:color w:val="000000"/>
                <w:sz w:val="16"/>
                <w:szCs w:val="28"/>
              </w:rPr>
              <w:t>"</w:t>
            </w:r>
            <w:r w:rsidRPr="00886556">
              <w:rPr>
                <w:rFonts w:ascii="Verdana" w:eastAsia="Verdana" w:hAnsi="Verdana" w:cs="Times New Roman"/>
                <w:color w:val="000000"/>
                <w:sz w:val="16"/>
                <w:szCs w:val="28"/>
              </w:rPr>
              <w:t>Encounter, Performed</w:t>
            </w:r>
            <w:r w:rsidR="006E301E">
              <w:rPr>
                <w:rFonts w:ascii="Verdana" w:eastAsia="Verdana" w:hAnsi="Verdana" w:cs="Times New Roman"/>
                <w:color w:val="000000"/>
                <w:sz w:val="16"/>
                <w:szCs w:val="28"/>
              </w:rPr>
              <w:t>"</w:t>
            </w:r>
            <w:r w:rsidRPr="00886556">
              <w:rPr>
                <w:rFonts w:ascii="Verdana" w:eastAsia="Verdana" w:hAnsi="Verdana" w:cs="Times New Roman"/>
                <w:color w:val="000000"/>
                <w:sz w:val="16"/>
                <w:szCs w:val="28"/>
              </w:rPr>
              <w:t xml:space="preserve">: </w:t>
            </w:r>
            <w:r w:rsidR="006E301E">
              <w:rPr>
                <w:rFonts w:ascii="Verdana" w:eastAsia="Verdana" w:hAnsi="Verdana" w:cs="Times New Roman"/>
                <w:color w:val="000000"/>
                <w:sz w:val="16"/>
                <w:szCs w:val="28"/>
              </w:rPr>
              <w:t>"</w:t>
            </w:r>
            <w:r w:rsidRPr="00886556">
              <w:rPr>
                <w:rFonts w:ascii="Verdana" w:eastAsia="Verdana" w:hAnsi="Verdana" w:cs="Times New Roman"/>
                <w:color w:val="000000"/>
                <w:sz w:val="16"/>
                <w:szCs w:val="28"/>
              </w:rPr>
              <w:t>Telephone Visits</w:t>
            </w:r>
            <w:r w:rsidR="006E301E">
              <w:rPr>
                <w:rFonts w:ascii="Verdana" w:eastAsia="Verdana" w:hAnsi="Verdana" w:cs="Times New Roman"/>
                <w:color w:val="000000"/>
                <w:sz w:val="16"/>
                <w:szCs w:val="28"/>
              </w:rPr>
              <w:t>"</w:t>
            </w:r>
            <w:r w:rsidRPr="00886556">
              <w:rPr>
                <w:rFonts w:ascii="Verdana" w:eastAsia="Verdana" w:hAnsi="Verdana" w:cs="Times New Roman"/>
                <w:color w:val="000000"/>
                <w:sz w:val="16"/>
                <w:szCs w:val="28"/>
              </w:rPr>
              <w:t>]</w:t>
            </w:r>
          </w:p>
          <w:p w14:paraId="1035BB3B" w14:textId="6FB09CC8" w:rsidR="00886556" w:rsidRPr="00886556" w:rsidRDefault="00886556" w:rsidP="00886556">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ascii="Verdana" w:eastAsia="Verdana" w:hAnsi="Verdana" w:cs="Times New Roman"/>
                <w:color w:val="000000"/>
                <w:sz w:val="16"/>
                <w:szCs w:val="28"/>
              </w:rPr>
            </w:pPr>
            <w:r w:rsidRPr="00886556">
              <w:rPr>
                <w:rFonts w:ascii="Verdana" w:eastAsia="Verdana" w:hAnsi="Verdana" w:cs="Times New Roman"/>
                <w:color w:val="000000"/>
                <w:sz w:val="16"/>
                <w:szCs w:val="28"/>
              </w:rPr>
              <w:t xml:space="preserve">  union [</w:t>
            </w:r>
            <w:r w:rsidR="006E301E">
              <w:rPr>
                <w:rFonts w:ascii="Verdana" w:eastAsia="Verdana" w:hAnsi="Verdana" w:cs="Times New Roman"/>
                <w:color w:val="000000"/>
                <w:sz w:val="16"/>
                <w:szCs w:val="28"/>
              </w:rPr>
              <w:t>"</w:t>
            </w:r>
            <w:r w:rsidRPr="00886556">
              <w:rPr>
                <w:rFonts w:ascii="Verdana" w:eastAsia="Verdana" w:hAnsi="Verdana" w:cs="Times New Roman"/>
                <w:color w:val="000000"/>
                <w:sz w:val="16"/>
                <w:szCs w:val="28"/>
              </w:rPr>
              <w:t>Encounter, Performed</w:t>
            </w:r>
            <w:r w:rsidR="006E301E">
              <w:rPr>
                <w:rFonts w:ascii="Verdana" w:eastAsia="Verdana" w:hAnsi="Verdana" w:cs="Times New Roman"/>
                <w:color w:val="000000"/>
                <w:sz w:val="16"/>
                <w:szCs w:val="28"/>
              </w:rPr>
              <w:t>"</w:t>
            </w:r>
            <w:r w:rsidRPr="00886556">
              <w:rPr>
                <w:rFonts w:ascii="Verdana" w:eastAsia="Verdana" w:hAnsi="Verdana" w:cs="Times New Roman"/>
                <w:color w:val="000000"/>
                <w:sz w:val="16"/>
                <w:szCs w:val="28"/>
              </w:rPr>
              <w:t xml:space="preserve">: </w:t>
            </w:r>
            <w:r w:rsidR="006E301E">
              <w:rPr>
                <w:rFonts w:ascii="Verdana" w:eastAsia="Verdana" w:hAnsi="Verdana" w:cs="Times New Roman"/>
                <w:color w:val="000000"/>
                <w:sz w:val="16"/>
                <w:szCs w:val="28"/>
              </w:rPr>
              <w:t>"</w:t>
            </w:r>
            <w:r w:rsidRPr="00886556">
              <w:rPr>
                <w:rFonts w:ascii="Verdana" w:eastAsia="Verdana" w:hAnsi="Verdana" w:cs="Verdana"/>
                <w:color w:val="000000"/>
                <w:sz w:val="16"/>
                <w:szCs w:val="16"/>
              </w:rPr>
              <w:t>Virtual Encounter</w:t>
            </w:r>
            <w:r w:rsidR="006E301E">
              <w:rPr>
                <w:rFonts w:ascii="Verdana" w:eastAsia="Verdana" w:hAnsi="Verdana" w:cs="Times New Roman"/>
                <w:color w:val="000000"/>
                <w:sz w:val="16"/>
                <w:szCs w:val="28"/>
              </w:rPr>
              <w:t>"</w:t>
            </w:r>
            <w:proofErr w:type="gramStart"/>
            <w:r w:rsidRPr="00886556">
              <w:rPr>
                <w:rFonts w:ascii="Verdana" w:eastAsia="Verdana" w:hAnsi="Verdana" w:cs="Times New Roman"/>
                <w:color w:val="000000"/>
                <w:sz w:val="16"/>
                <w:szCs w:val="28"/>
              </w:rPr>
              <w:t>] )</w:t>
            </w:r>
            <w:proofErr w:type="gramEnd"/>
            <w:r w:rsidRPr="00886556">
              <w:rPr>
                <w:rFonts w:ascii="Verdana" w:eastAsia="Verdana" w:hAnsi="Verdana" w:cs="Times New Roman"/>
                <w:color w:val="000000"/>
                <w:sz w:val="16"/>
                <w:szCs w:val="28"/>
              </w:rPr>
              <w:t xml:space="preserve"> </w:t>
            </w:r>
            <w:proofErr w:type="spellStart"/>
            <w:r w:rsidRPr="00886556">
              <w:rPr>
                <w:rFonts w:ascii="Verdana" w:eastAsia="Verdana" w:hAnsi="Verdana" w:cs="Times New Roman"/>
                <w:color w:val="000000"/>
                <w:sz w:val="16"/>
                <w:szCs w:val="28"/>
              </w:rPr>
              <w:t>ValidEncounters</w:t>
            </w:r>
            <w:proofErr w:type="spellEnd"/>
          </w:p>
          <w:p w14:paraId="73A91A5A" w14:textId="6BE88139" w:rsidR="00F458F8" w:rsidRPr="00886556" w:rsidRDefault="00886556" w:rsidP="00886556">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ascii="Verdana" w:eastAsia="Verdana" w:hAnsi="Verdana" w:cs="Times New Roman"/>
                <w:color w:val="000000"/>
                <w:sz w:val="15"/>
                <w:szCs w:val="24"/>
              </w:rPr>
            </w:pPr>
            <w:r w:rsidRPr="00886556">
              <w:rPr>
                <w:rFonts w:ascii="Verdana" w:eastAsia="Verdana" w:hAnsi="Verdana" w:cs="Times New Roman"/>
                <w:color w:val="000000"/>
                <w:sz w:val="16"/>
                <w:szCs w:val="28"/>
              </w:rPr>
              <w:t xml:space="preserve">  where </w:t>
            </w:r>
            <w:proofErr w:type="spellStart"/>
            <w:r w:rsidRPr="00886556">
              <w:rPr>
                <w:rFonts w:ascii="Verdana" w:eastAsia="Verdana" w:hAnsi="Verdana" w:cs="Times New Roman"/>
                <w:color w:val="000000"/>
                <w:sz w:val="16"/>
                <w:szCs w:val="28"/>
              </w:rPr>
              <w:t>ValidEncounters.relevantPeriod</w:t>
            </w:r>
            <w:proofErr w:type="spellEnd"/>
            <w:r w:rsidRPr="00886556">
              <w:rPr>
                <w:rFonts w:ascii="Verdana" w:eastAsia="Verdana" w:hAnsi="Verdana" w:cs="Times New Roman"/>
                <w:color w:val="000000"/>
                <w:sz w:val="16"/>
                <w:szCs w:val="28"/>
              </w:rPr>
              <w:t xml:space="preserve"> during day of </w:t>
            </w:r>
            <w:r w:rsidR="009218C5">
              <w:rPr>
                <w:rFonts w:ascii="Verdana" w:eastAsia="Verdana" w:hAnsi="Verdana" w:cs="Times New Roman"/>
                <w:color w:val="000000"/>
                <w:sz w:val="16"/>
                <w:szCs w:val="28"/>
              </w:rPr>
              <w:t>"</w:t>
            </w:r>
            <w:r w:rsidRPr="00886556">
              <w:rPr>
                <w:rFonts w:ascii="Verdana" w:eastAsia="Verdana" w:hAnsi="Verdana" w:cs="Times New Roman"/>
                <w:color w:val="000000"/>
                <w:sz w:val="16"/>
                <w:szCs w:val="28"/>
              </w:rPr>
              <w:t>Measurement Period</w:t>
            </w:r>
            <w:r w:rsidR="009218C5">
              <w:rPr>
                <w:rFonts w:ascii="Verdana" w:eastAsia="Verdana" w:hAnsi="Verdana" w:cs="Times New Roman"/>
                <w:color w:val="000000"/>
                <w:sz w:val="16"/>
                <w:szCs w:val="28"/>
              </w:rPr>
              <w:t>"</w:t>
            </w:r>
          </w:p>
        </w:tc>
      </w:tr>
    </w:tbl>
    <w:p w14:paraId="00000128" w14:textId="58E1F9E6" w:rsidR="00D67C8C" w:rsidRDefault="00C80A11" w:rsidP="00F458F8">
      <w:pPr>
        <w:pStyle w:val="ParagraphContinued"/>
      </w:pPr>
      <w:bookmarkStart w:id="192" w:name="_heading=h.2y3w247" w:colFirst="0" w:colLast="0"/>
      <w:bookmarkStart w:id="193" w:name="_Toc23176747"/>
      <w:bookmarkStart w:id="194" w:name="_Toc56635374"/>
      <w:bookmarkStart w:id="195" w:name="_Toc64983066"/>
      <w:bookmarkEnd w:id="192"/>
      <w:r>
        <w:t>Thi</w:t>
      </w:r>
      <w:r w:rsidRPr="004A3DC8">
        <w:rPr>
          <w:rFonts w:cs="Times New Roman"/>
        </w:rPr>
        <w:t xml:space="preserve">s query returns only those encounters from the source whose </w:t>
      </w:r>
      <w:proofErr w:type="spellStart"/>
      <w:r w:rsidRPr="004A3DC8">
        <w:rPr>
          <w:rFonts w:eastAsia="Courier New" w:cs="Times New Roman"/>
          <w:szCs w:val="20"/>
        </w:rPr>
        <w:t>relevantPeriod</w:t>
      </w:r>
      <w:proofErr w:type="spellEnd"/>
      <w:r w:rsidRPr="004A3DC8">
        <w:rPr>
          <w:rFonts w:cs="Times New Roman"/>
        </w:rPr>
        <w:t xml:space="preserve"> is during the </w:t>
      </w:r>
      <w:r w:rsidRPr="004A3DC8">
        <w:rPr>
          <w:rFonts w:eastAsia="Courier New" w:cs="Times New Roman"/>
          <w:szCs w:val="20"/>
        </w:rPr>
        <w:t>Measurement Period</w:t>
      </w:r>
      <w:r w:rsidRPr="004A3DC8">
        <w:rPr>
          <w:rFonts w:cs="Times New Roman"/>
        </w:rPr>
        <w:t xml:space="preserve">. The </w:t>
      </w:r>
      <w:r w:rsidR="004A3DC8">
        <w:rPr>
          <w:rFonts w:cs="Times New Roman"/>
        </w:rPr>
        <w:t>“</w:t>
      </w:r>
      <w:r w:rsidRPr="004A3DC8">
        <w:rPr>
          <w:rFonts w:eastAsia="Courier New" w:cs="Times New Roman"/>
          <w:szCs w:val="20"/>
        </w:rPr>
        <w:t>where</w:t>
      </w:r>
      <w:r w:rsidR="004A3DC8">
        <w:rPr>
          <w:rFonts w:eastAsia="Courier New" w:cs="Times New Roman"/>
          <w:szCs w:val="20"/>
        </w:rPr>
        <w:t>”</w:t>
      </w:r>
      <w:r w:rsidRPr="004A3DC8">
        <w:rPr>
          <w:rFonts w:cs="Times New Roman"/>
        </w:rPr>
        <w:t xml:space="preserve"> clause enables measure developers to </w:t>
      </w:r>
      <w:r w:rsidR="002B3F88">
        <w:rPr>
          <w:rFonts w:cs="Times New Roman"/>
        </w:rPr>
        <w:t>filter the query using conditions that reference aliases defined earlier,</w:t>
      </w:r>
      <w:r w:rsidRPr="004A3DC8">
        <w:rPr>
          <w:rFonts w:cs="Times New Roman"/>
        </w:rPr>
        <w:t xml:space="preserve"> such as </w:t>
      </w:r>
      <w:r w:rsidR="004A3DC8">
        <w:rPr>
          <w:rFonts w:cs="Times New Roman"/>
        </w:rPr>
        <w:t>“</w:t>
      </w:r>
      <w:proofErr w:type="spellStart"/>
      <w:r w:rsidRPr="004A3DC8">
        <w:rPr>
          <w:rFonts w:eastAsia="Courier New" w:cs="Times New Roman"/>
          <w:szCs w:val="20"/>
        </w:rPr>
        <w:t>ValidEncounters</w:t>
      </w:r>
      <w:proofErr w:type="spellEnd"/>
      <w:r w:rsidR="004A3DC8">
        <w:rPr>
          <w:rFonts w:eastAsia="Courier New" w:cs="Times New Roman"/>
          <w:szCs w:val="20"/>
        </w:rPr>
        <w:t>”</w:t>
      </w:r>
      <w:r>
        <w:t xml:space="preserve">. Every encounter </w:t>
      </w:r>
      <w:r>
        <w:lastRenderedPageBreak/>
        <w:t>performed i</w:t>
      </w:r>
      <w:r w:rsidRPr="004A3DC8">
        <w:rPr>
          <w:rFonts w:cs="Times New Roman"/>
        </w:rPr>
        <w:t xml:space="preserve">n the </w:t>
      </w:r>
      <w:r w:rsidR="004A3DC8" w:rsidRPr="004A3DC8">
        <w:rPr>
          <w:rFonts w:cs="Times New Roman"/>
        </w:rPr>
        <w:t>“</w:t>
      </w:r>
      <w:r w:rsidRPr="004A3DC8">
        <w:rPr>
          <w:rFonts w:eastAsia="Courier New" w:cs="Times New Roman"/>
          <w:szCs w:val="20"/>
        </w:rPr>
        <w:t>union</w:t>
      </w:r>
      <w:r w:rsidR="004A3DC8" w:rsidRPr="004A3DC8">
        <w:rPr>
          <w:rFonts w:eastAsia="Courier New" w:cs="Times New Roman"/>
          <w:szCs w:val="20"/>
        </w:rPr>
        <w:t>”</w:t>
      </w:r>
      <w:r w:rsidRPr="004A3DC8">
        <w:rPr>
          <w:rFonts w:cs="Times New Roman"/>
        </w:rPr>
        <w:t xml:space="preserve"> query source evaluates the condition in the </w:t>
      </w:r>
      <w:r w:rsidR="004A3DC8">
        <w:rPr>
          <w:rFonts w:cs="Times New Roman"/>
        </w:rPr>
        <w:t>“</w:t>
      </w:r>
      <w:r w:rsidRPr="004A3DC8">
        <w:rPr>
          <w:rFonts w:eastAsia="Courier New" w:cs="Times New Roman"/>
          <w:szCs w:val="20"/>
        </w:rPr>
        <w:t>where</w:t>
      </w:r>
      <w:r w:rsidR="004A3DC8">
        <w:rPr>
          <w:rFonts w:eastAsia="Courier New" w:cs="Times New Roman"/>
          <w:szCs w:val="20"/>
        </w:rPr>
        <w:t>”</w:t>
      </w:r>
      <w:r w:rsidRPr="004A3DC8">
        <w:rPr>
          <w:rFonts w:cs="Times New Roman"/>
        </w:rPr>
        <w:t xml:space="preserve"> clause, and the result then includes only those encounters for which th</w:t>
      </w:r>
      <w:r>
        <w:t>e condition evaluates to true.</w:t>
      </w:r>
    </w:p>
    <w:p w14:paraId="00000129" w14:textId="57363BB1" w:rsidR="00D67C8C" w:rsidRPr="004A3DC8" w:rsidRDefault="00AF10F3" w:rsidP="00AF10F3">
      <w:pPr>
        <w:pStyle w:val="H3-Num"/>
        <w:rPr>
          <w:rFonts w:ascii="Times New Roman" w:hAnsi="Times New Roman" w:cs="Times New Roman"/>
        </w:rPr>
      </w:pPr>
      <w:bookmarkStart w:id="196" w:name="_heading=h.1d96cc0" w:colFirst="0" w:colLast="0"/>
      <w:bookmarkStart w:id="197" w:name="_Toc159479997"/>
      <w:bookmarkStart w:id="198" w:name="_Toc159578378"/>
      <w:bookmarkStart w:id="199" w:name="_Toc194994750"/>
      <w:bookmarkEnd w:id="196"/>
      <w:r>
        <w:t>2.4.2</w:t>
      </w:r>
      <w:r>
        <w:tab/>
      </w:r>
      <w:r w:rsidR="00C80A11" w:rsidRPr="005E64B8">
        <w:t xml:space="preserve">Relationships </w:t>
      </w:r>
      <w:r w:rsidR="00270199">
        <w:rPr>
          <w:rFonts w:cs="Arial Narrow"/>
          <w:szCs w:val="28"/>
        </w:rPr>
        <w:t xml:space="preserve">– </w:t>
      </w:r>
      <w:r w:rsidR="00C80A11" w:rsidRPr="007C6369">
        <w:t>With</w:t>
      </w:r>
      <w:r w:rsidR="00270199" w:rsidRPr="007C6369">
        <w:t xml:space="preserve"> </w:t>
      </w:r>
      <w:r w:rsidR="00C80A11" w:rsidRPr="007C6369">
        <w:t>and</w:t>
      </w:r>
      <w:r w:rsidR="00C80A11" w:rsidRPr="007C6369">
        <w:rPr>
          <w:rFonts w:cs="Times New Roman"/>
        </w:rPr>
        <w:t xml:space="preserve"> Without Clauses</w:t>
      </w:r>
      <w:bookmarkEnd w:id="193"/>
      <w:bookmarkEnd w:id="194"/>
      <w:bookmarkEnd w:id="195"/>
      <w:bookmarkEnd w:id="197"/>
      <w:bookmarkEnd w:id="198"/>
      <w:bookmarkEnd w:id="199"/>
    </w:p>
    <w:p w14:paraId="0000012A" w14:textId="62CB18DA" w:rsidR="00D67C8C" w:rsidRPr="004A3DC8" w:rsidRDefault="00C80A11" w:rsidP="00AF10F3">
      <w:pPr>
        <w:pStyle w:val="ParagraphContinued"/>
        <w:rPr>
          <w:rFonts w:cs="Times New Roman"/>
        </w:rPr>
      </w:pPr>
      <w:r w:rsidRPr="004A3DC8">
        <w:rPr>
          <w:rFonts w:cs="Times New Roman"/>
        </w:rPr>
        <w:t xml:space="preserve">Describing relationships between data is so common in quality measurement that CQL provides special constructs to make expressing these relationships simple by using </w:t>
      </w:r>
      <w:r w:rsidR="004A3DC8" w:rsidRPr="004A3DC8">
        <w:rPr>
          <w:rFonts w:cs="Times New Roman"/>
        </w:rPr>
        <w:t>“</w:t>
      </w:r>
      <w:r w:rsidRPr="004A3DC8">
        <w:rPr>
          <w:rFonts w:eastAsia="Courier New" w:cs="Times New Roman"/>
          <w:szCs w:val="20"/>
        </w:rPr>
        <w:t>with</w:t>
      </w:r>
      <w:r w:rsidR="004A3DC8" w:rsidRPr="004A3DC8">
        <w:rPr>
          <w:rFonts w:eastAsia="Courier New" w:cs="Times New Roman"/>
          <w:szCs w:val="20"/>
        </w:rPr>
        <w:t>”</w:t>
      </w:r>
      <w:r w:rsidRPr="004A3DC8">
        <w:rPr>
          <w:rFonts w:cs="Times New Roman"/>
        </w:rPr>
        <w:t xml:space="preserve"> and </w:t>
      </w:r>
      <w:r w:rsidR="004A3DC8" w:rsidRPr="004A3DC8">
        <w:rPr>
          <w:rFonts w:cs="Times New Roman"/>
        </w:rPr>
        <w:t>“</w:t>
      </w:r>
      <w:r w:rsidRPr="004A3DC8">
        <w:rPr>
          <w:rFonts w:eastAsia="Courier New" w:cs="Times New Roman"/>
          <w:szCs w:val="20"/>
        </w:rPr>
        <w:t>without</w:t>
      </w:r>
      <w:r w:rsidR="004A3DC8" w:rsidRPr="004A3DC8">
        <w:rPr>
          <w:rFonts w:eastAsia="Courier New" w:cs="Times New Roman"/>
          <w:szCs w:val="20"/>
        </w:rPr>
        <w:t>”</w:t>
      </w:r>
      <w:r w:rsidRPr="004A3DC8">
        <w:rPr>
          <w:rFonts w:cs="Times New Roman"/>
          <w:b/>
        </w:rPr>
        <w:t xml:space="preserve"> </w:t>
      </w:r>
      <w:r w:rsidRPr="004A3DC8">
        <w:rPr>
          <w:rFonts w:cs="Times New Roman"/>
        </w:rPr>
        <w:t xml:space="preserve">keywords. The </w:t>
      </w:r>
      <w:r w:rsidR="004A3DC8" w:rsidRPr="004A3DC8">
        <w:rPr>
          <w:rFonts w:cs="Times New Roman"/>
        </w:rPr>
        <w:t>“</w:t>
      </w:r>
      <w:r w:rsidRPr="004A3DC8">
        <w:rPr>
          <w:rFonts w:eastAsia="Courier New" w:cs="Times New Roman"/>
          <w:szCs w:val="20"/>
        </w:rPr>
        <w:t>with</w:t>
      </w:r>
      <w:r w:rsidR="004A3DC8" w:rsidRPr="004A3DC8">
        <w:rPr>
          <w:rFonts w:eastAsia="Courier New" w:cs="Times New Roman"/>
          <w:szCs w:val="20"/>
        </w:rPr>
        <w:t>”</w:t>
      </w:r>
      <w:r w:rsidRPr="004A3DC8">
        <w:rPr>
          <w:rFonts w:cs="Times New Roman"/>
          <w:b/>
        </w:rPr>
        <w:t xml:space="preserve"> </w:t>
      </w:r>
      <w:r w:rsidRPr="004A3DC8">
        <w:rPr>
          <w:rFonts w:cs="Times New Roman"/>
        </w:rPr>
        <w:t xml:space="preserve">keyword can serve to describe cases </w:t>
      </w:r>
      <w:r w:rsidR="003A1B3A" w:rsidRPr="004A3DC8">
        <w:rPr>
          <w:rFonts w:cs="Times New Roman"/>
        </w:rPr>
        <w:t xml:space="preserve">that </w:t>
      </w:r>
      <w:r w:rsidRPr="004A3DC8">
        <w:rPr>
          <w:rFonts w:cs="Times New Roman"/>
        </w:rPr>
        <w:t>measured entities should consider only if a related data item is present.</w:t>
      </w:r>
      <w:r w:rsidR="00270199" w:rsidRPr="004A3DC8">
        <w:rPr>
          <w:rFonts w:cs="Times New Roman"/>
        </w:rPr>
        <w:t xml:space="preserve"> </w:t>
      </w:r>
      <w:r w:rsidRPr="004A3DC8">
        <w:rPr>
          <w:rFonts w:cs="Times New Roman"/>
        </w:rPr>
        <w:t xml:space="preserve">The example query, as shown in Figure </w:t>
      </w:r>
      <w:r w:rsidR="006C71C4" w:rsidRPr="004A3DC8">
        <w:rPr>
          <w:rFonts w:cs="Times New Roman"/>
        </w:rPr>
        <w:t>2</w:t>
      </w:r>
      <w:r w:rsidRPr="004A3DC8">
        <w:rPr>
          <w:rFonts w:cs="Times New Roman"/>
        </w:rPr>
        <w:t xml:space="preserve">.6 from </w:t>
      </w:r>
      <w:hyperlink r:id="rId72" w:history="1">
        <w:r w:rsidR="00886556" w:rsidRPr="004A3DC8">
          <w:rPr>
            <w:rStyle w:val="Hyperlink"/>
            <w:rFonts w:cs="Times New Roman"/>
          </w:rPr>
          <w:t>CMS146v14, Appropriate Testing for Pharyngitis</w:t>
        </w:r>
      </w:hyperlink>
      <w:r w:rsidRPr="004A3DC8">
        <w:rPr>
          <w:rFonts w:cs="Times New Roman"/>
          <w:i/>
        </w:rPr>
        <w:t xml:space="preserve">, </w:t>
      </w:r>
      <w:r w:rsidRPr="004A3DC8">
        <w:rPr>
          <w:rFonts w:cs="Times New Roman"/>
        </w:rPr>
        <w:t xml:space="preserve">limits the emergency department (ED) or ambulatory encounters to return only those starting three days or less on or before the day </w:t>
      </w:r>
      <w:r w:rsidR="003A1B3A" w:rsidRPr="004A3DC8">
        <w:rPr>
          <w:rFonts w:cs="Times New Roman"/>
        </w:rPr>
        <w:t xml:space="preserve">that </w:t>
      </w:r>
      <w:r w:rsidRPr="004A3DC8">
        <w:rPr>
          <w:rFonts w:cs="Times New Roman"/>
        </w:rPr>
        <w:t xml:space="preserve">the </w:t>
      </w:r>
      <w:r w:rsidR="006E207E">
        <w:rPr>
          <w:rFonts w:cs="Times New Roman"/>
        </w:rPr>
        <w:t>antibiotic was ordered</w:t>
      </w:r>
      <w:r w:rsidRPr="004A3DC8">
        <w:rPr>
          <w:rFonts w:cs="Times New Roman"/>
        </w:rPr>
        <w:t xml:space="preserve">. The </w:t>
      </w:r>
      <w:r w:rsidR="004A3DC8" w:rsidRPr="004A3DC8">
        <w:rPr>
          <w:rFonts w:cs="Times New Roman"/>
        </w:rPr>
        <w:t>“</w:t>
      </w:r>
      <w:r w:rsidRPr="004A3DC8">
        <w:rPr>
          <w:rFonts w:eastAsia="Courier New" w:cs="Times New Roman"/>
          <w:szCs w:val="20"/>
        </w:rPr>
        <w:t>such</w:t>
      </w:r>
      <w:r w:rsidRPr="004A3DC8">
        <w:rPr>
          <w:rFonts w:cs="Times New Roman"/>
        </w:rPr>
        <w:t xml:space="preserve"> </w:t>
      </w:r>
      <w:r w:rsidRPr="004A3DC8">
        <w:rPr>
          <w:rFonts w:eastAsia="Courier New" w:cs="Times New Roman"/>
          <w:szCs w:val="20"/>
        </w:rPr>
        <w:t>that</w:t>
      </w:r>
      <w:r w:rsidR="004A3DC8" w:rsidRPr="004A3DC8">
        <w:rPr>
          <w:rFonts w:eastAsia="Courier New" w:cs="Times New Roman"/>
          <w:szCs w:val="20"/>
        </w:rPr>
        <w:t>”</w:t>
      </w:r>
      <w:r w:rsidRPr="004A3DC8">
        <w:rPr>
          <w:rFonts w:cs="Times New Roman"/>
        </w:rPr>
        <w:t xml:space="preserve"> clause </w:t>
      </w:r>
      <w:r w:rsidR="008D183F">
        <w:rPr>
          <w:rFonts w:cs="Times New Roman"/>
        </w:rPr>
        <w:t>specifies</w:t>
      </w:r>
      <w:r w:rsidR="008D183F" w:rsidRPr="004A3DC8">
        <w:rPr>
          <w:rFonts w:cs="Times New Roman"/>
        </w:rPr>
        <w:t xml:space="preserve"> </w:t>
      </w:r>
      <w:r w:rsidRPr="004A3DC8">
        <w:rPr>
          <w:rFonts w:cs="Times New Roman"/>
        </w:rPr>
        <w:t>the relationship</w:t>
      </w:r>
      <w:r w:rsidR="008D183F">
        <w:rPr>
          <w:rFonts w:cs="Times New Roman"/>
        </w:rPr>
        <w:t xml:space="preserve"> condition using the primary and related query sources</w:t>
      </w:r>
      <w:r w:rsidRPr="004A3DC8">
        <w:rPr>
          <w:rFonts w:cs="Times New Roman"/>
        </w:rPr>
        <w:t xml:space="preserve">, which is expressed </w:t>
      </w:r>
      <w:r w:rsidR="008D183F">
        <w:rPr>
          <w:rFonts w:cs="Times New Roman"/>
        </w:rPr>
        <w:t xml:space="preserve">here as </w:t>
      </w:r>
      <w:r w:rsidRPr="004A3DC8">
        <w:rPr>
          <w:rFonts w:cs="Times New Roman"/>
        </w:rPr>
        <w:t xml:space="preserve">alias </w:t>
      </w:r>
      <w:r w:rsidR="004A3DC8" w:rsidRPr="004A3DC8">
        <w:rPr>
          <w:rFonts w:cs="Times New Roman"/>
        </w:rPr>
        <w:t>“</w:t>
      </w:r>
      <w:proofErr w:type="spellStart"/>
      <w:r w:rsidRPr="004A3DC8">
        <w:rPr>
          <w:rFonts w:eastAsia="Courier New" w:cs="Times New Roman"/>
          <w:szCs w:val="20"/>
        </w:rPr>
        <w:t>EDOrAmbulatoryVisit</w:t>
      </w:r>
      <w:proofErr w:type="spellEnd"/>
      <w:r w:rsidR="004A3DC8" w:rsidRPr="004A3DC8">
        <w:rPr>
          <w:rFonts w:eastAsia="Courier New" w:cs="Times New Roman"/>
          <w:szCs w:val="20"/>
        </w:rPr>
        <w:t>”</w:t>
      </w:r>
      <w:r w:rsidRPr="004A3DC8">
        <w:rPr>
          <w:rFonts w:cs="Times New Roman"/>
        </w:rPr>
        <w:t xml:space="preserve"> </w:t>
      </w:r>
      <w:r w:rsidR="004E6106">
        <w:rPr>
          <w:rFonts w:cs="Times New Roman"/>
        </w:rPr>
        <w:t>as</w:t>
      </w:r>
      <w:r w:rsidR="00E3361F">
        <w:rPr>
          <w:rFonts w:cs="Times New Roman"/>
        </w:rPr>
        <w:t xml:space="preserve"> </w:t>
      </w:r>
      <w:r w:rsidR="008D183F">
        <w:rPr>
          <w:rFonts w:cs="Times New Roman"/>
        </w:rPr>
        <w:t>primary</w:t>
      </w:r>
      <w:r w:rsidR="008D183F" w:rsidRPr="004A3DC8">
        <w:rPr>
          <w:rFonts w:cs="Times New Roman"/>
        </w:rPr>
        <w:t xml:space="preserve"> </w:t>
      </w:r>
      <w:r w:rsidRPr="004A3DC8">
        <w:rPr>
          <w:rFonts w:cs="Times New Roman"/>
        </w:rPr>
        <w:t xml:space="preserve">and </w:t>
      </w:r>
      <w:r w:rsidR="004A3DC8" w:rsidRPr="004A3DC8">
        <w:rPr>
          <w:rFonts w:cs="Times New Roman"/>
        </w:rPr>
        <w:t>“</w:t>
      </w:r>
      <w:proofErr w:type="spellStart"/>
      <w:r w:rsidRPr="004A3DC8">
        <w:rPr>
          <w:rFonts w:eastAsia="Courier New" w:cs="Times New Roman"/>
          <w:szCs w:val="20"/>
        </w:rPr>
        <w:t>AntibioticOrdered</w:t>
      </w:r>
      <w:proofErr w:type="spellEnd"/>
      <w:r w:rsidR="004A3DC8" w:rsidRPr="004A3DC8">
        <w:rPr>
          <w:rFonts w:cs="Times New Roman"/>
        </w:rPr>
        <w:t>”</w:t>
      </w:r>
      <w:r w:rsidR="008D183F">
        <w:rPr>
          <w:rFonts w:cs="Times New Roman"/>
        </w:rPr>
        <w:t xml:space="preserve"> as related.</w:t>
      </w:r>
    </w:p>
    <w:p w14:paraId="0000012B" w14:textId="512EBB87" w:rsidR="00D67C8C" w:rsidRDefault="00C80A11" w:rsidP="00107990">
      <w:pPr>
        <w:pStyle w:val="FigureTitle"/>
      </w:pPr>
      <w:bookmarkStart w:id="200" w:name="_Toc159578077"/>
      <w:bookmarkStart w:id="201" w:name="_Toc195002003"/>
      <w:r w:rsidRPr="0029452B">
        <w:t xml:space="preserve">Figure </w:t>
      </w:r>
      <w:r w:rsidR="006C71C4" w:rsidRPr="0029452B">
        <w:t>2</w:t>
      </w:r>
      <w:r w:rsidRPr="0029452B">
        <w:t xml:space="preserve">.6. </w:t>
      </w:r>
      <w:bookmarkEnd w:id="200"/>
      <w:r w:rsidRPr="0029452B">
        <w:t>With Clause Example</w:t>
      </w:r>
      <w:bookmarkEnd w:id="201"/>
    </w:p>
    <w:tbl>
      <w:tblPr>
        <w:tblStyle w:val="GrayCell"/>
        <w:tblW w:w="936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Look w:val="04A0" w:firstRow="1" w:lastRow="0" w:firstColumn="1" w:lastColumn="0" w:noHBand="0" w:noVBand="1"/>
      </w:tblPr>
      <w:tblGrid>
        <w:gridCol w:w="9360"/>
      </w:tblGrid>
      <w:tr w:rsidR="00F458F8" w14:paraId="1BDA182C" w14:textId="77777777">
        <w:tc>
          <w:tcPr>
            <w:tcW w:w="5000" w:type="pct"/>
            <w:shd w:val="clear" w:color="auto" w:fill="auto"/>
          </w:tcPr>
          <w:p w14:paraId="453AE278" w14:textId="77777777" w:rsidR="00F458F8" w:rsidRPr="005E64B8" w:rsidRDefault="00F458F8" w:rsidP="00BA105C">
            <w:pPr>
              <w:pStyle w:val="FigureHeader"/>
              <w:spacing w:after="0"/>
            </w:pPr>
            <w:r w:rsidRPr="005E64B8">
              <w:rPr>
                <w:rFonts w:ascii="Cambria Math" w:hAnsi="Cambria Math"/>
              </w:rPr>
              <w:t>◢</w:t>
            </w:r>
            <w:r w:rsidRPr="005E64B8">
              <w:t xml:space="preserve"> Encounter </w:t>
            </w:r>
            <w:proofErr w:type="gramStart"/>
            <w:r w:rsidRPr="005E64B8">
              <w:t>With</w:t>
            </w:r>
            <w:proofErr w:type="gramEnd"/>
            <w:r w:rsidRPr="005E64B8">
              <w:t xml:space="preserve"> Antibiotic Ordered Within Three Days</w:t>
            </w:r>
          </w:p>
          <w:p w14:paraId="618BFA1B" w14:textId="14DE17EE" w:rsidR="00BA105C" w:rsidRPr="00BA105C" w:rsidRDefault="00F458F8" w:rsidP="00BA105C">
            <w:pPr>
              <w:keepNext/>
              <w:keepLines/>
              <w:spacing w:after="0"/>
              <w:ind w:left="720" w:hanging="360"/>
              <w:rPr>
                <w:rFonts w:ascii="Verdana" w:eastAsia="Verdana" w:hAnsi="Verdana" w:cs="Verdana"/>
                <w:sz w:val="16"/>
                <w:szCs w:val="16"/>
              </w:rPr>
            </w:pPr>
            <w:r>
              <w:rPr>
                <w:rFonts w:cs="Verdana"/>
                <w:sz w:val="15"/>
                <w:szCs w:val="15"/>
              </w:rPr>
              <w:tab/>
            </w:r>
            <w:r w:rsidR="009218C5">
              <w:rPr>
                <w:rFonts w:ascii="Verdana" w:eastAsia="Verdana" w:hAnsi="Verdana" w:cs="Verdana"/>
                <w:sz w:val="16"/>
                <w:szCs w:val="16"/>
              </w:rPr>
              <w:t>"</w:t>
            </w:r>
            <w:r w:rsidR="00BA105C" w:rsidRPr="00BA105C">
              <w:rPr>
                <w:rFonts w:ascii="Verdana" w:eastAsia="Verdana" w:hAnsi="Verdana" w:cs="Verdana"/>
                <w:sz w:val="16"/>
                <w:szCs w:val="16"/>
              </w:rPr>
              <w:t>Qualifying Encounter</w:t>
            </w:r>
            <w:r w:rsidR="009218C5">
              <w:rPr>
                <w:rFonts w:ascii="Verdana" w:eastAsia="Verdana" w:hAnsi="Verdana" w:cs="Verdana"/>
                <w:sz w:val="16"/>
                <w:szCs w:val="16"/>
              </w:rPr>
              <w:t>"</w:t>
            </w:r>
            <w:r w:rsidR="00BA105C" w:rsidRPr="00BA105C">
              <w:rPr>
                <w:rFonts w:ascii="Verdana" w:eastAsia="Verdana" w:hAnsi="Verdana" w:cs="Verdana"/>
                <w:sz w:val="16"/>
                <w:szCs w:val="16"/>
              </w:rPr>
              <w:t xml:space="preserve"> </w:t>
            </w:r>
            <w:proofErr w:type="spellStart"/>
            <w:r w:rsidR="00BA105C" w:rsidRPr="00BA105C">
              <w:rPr>
                <w:rFonts w:ascii="Verdana" w:eastAsia="Verdana" w:hAnsi="Verdana" w:cs="Verdana"/>
                <w:sz w:val="16"/>
                <w:szCs w:val="16"/>
              </w:rPr>
              <w:t>EDOrAmbulatoryVisit</w:t>
            </w:r>
            <w:proofErr w:type="spellEnd"/>
          </w:p>
          <w:p w14:paraId="5206B5C6" w14:textId="7DB66617" w:rsidR="00BA105C" w:rsidRPr="00BA105C" w:rsidRDefault="00BA105C" w:rsidP="00BA105C">
            <w:pPr>
              <w:keepNext/>
              <w:keepLines/>
              <w:spacing w:after="0" w:line="240" w:lineRule="auto"/>
              <w:ind w:left="720" w:hanging="360"/>
              <w:rPr>
                <w:rFonts w:ascii="Verdana" w:eastAsia="Verdana" w:hAnsi="Verdana" w:cs="Verdana"/>
                <w:sz w:val="16"/>
                <w:szCs w:val="16"/>
              </w:rPr>
            </w:pPr>
            <w:r w:rsidRPr="00BA105C">
              <w:rPr>
                <w:rFonts w:ascii="Verdana" w:eastAsia="Verdana" w:hAnsi="Verdana" w:cs="Verdana"/>
                <w:sz w:val="16"/>
                <w:szCs w:val="16"/>
              </w:rPr>
              <w:tab/>
              <w:t xml:space="preserve">    with [</w:t>
            </w:r>
            <w:r w:rsidR="009218C5">
              <w:rPr>
                <w:rFonts w:ascii="Verdana" w:eastAsia="Verdana" w:hAnsi="Verdana" w:cs="Verdana"/>
                <w:sz w:val="16"/>
                <w:szCs w:val="16"/>
              </w:rPr>
              <w:t>"</w:t>
            </w:r>
            <w:r w:rsidRPr="00BA105C">
              <w:rPr>
                <w:rFonts w:ascii="Verdana" w:eastAsia="Verdana" w:hAnsi="Verdana" w:cs="Verdana"/>
                <w:sz w:val="16"/>
                <w:szCs w:val="16"/>
              </w:rPr>
              <w:t>Medication, Order</w:t>
            </w:r>
            <w:r w:rsidR="009218C5">
              <w:rPr>
                <w:rFonts w:ascii="Verdana" w:eastAsia="Verdana" w:hAnsi="Verdana" w:cs="Verdana"/>
                <w:sz w:val="16"/>
                <w:szCs w:val="16"/>
              </w:rPr>
              <w:t>"</w:t>
            </w:r>
            <w:r w:rsidRPr="00BA105C">
              <w:rPr>
                <w:rFonts w:ascii="Verdana" w:eastAsia="Verdana" w:hAnsi="Verdana" w:cs="Verdana"/>
                <w:sz w:val="16"/>
                <w:szCs w:val="16"/>
              </w:rPr>
              <w:t xml:space="preserve">: </w:t>
            </w:r>
            <w:r w:rsidR="009218C5">
              <w:rPr>
                <w:rFonts w:ascii="Verdana" w:eastAsia="Verdana" w:hAnsi="Verdana" w:cs="Verdana"/>
                <w:sz w:val="16"/>
                <w:szCs w:val="16"/>
              </w:rPr>
              <w:t>"</w:t>
            </w:r>
            <w:r w:rsidRPr="00BA105C">
              <w:rPr>
                <w:rFonts w:ascii="Verdana" w:eastAsia="Verdana" w:hAnsi="Verdana" w:cs="Verdana"/>
                <w:sz w:val="16"/>
                <w:szCs w:val="16"/>
              </w:rPr>
              <w:t>Antibiotic Medications for Pharyngitis</w:t>
            </w:r>
            <w:r w:rsidR="009218C5">
              <w:rPr>
                <w:rFonts w:ascii="Verdana" w:eastAsia="Verdana" w:hAnsi="Verdana" w:cs="Verdana"/>
                <w:sz w:val="16"/>
                <w:szCs w:val="16"/>
              </w:rPr>
              <w:t>"</w:t>
            </w:r>
            <w:r w:rsidRPr="00BA105C">
              <w:rPr>
                <w:rFonts w:ascii="Verdana" w:eastAsia="Verdana" w:hAnsi="Verdana" w:cs="Verdana"/>
                <w:sz w:val="16"/>
                <w:szCs w:val="16"/>
              </w:rPr>
              <w:t xml:space="preserve">] </w:t>
            </w:r>
            <w:proofErr w:type="spellStart"/>
            <w:r w:rsidRPr="00BA105C">
              <w:rPr>
                <w:rFonts w:ascii="Verdana" w:eastAsia="Verdana" w:hAnsi="Verdana" w:cs="Verdana"/>
                <w:sz w:val="16"/>
                <w:szCs w:val="16"/>
              </w:rPr>
              <w:t>AntibioticOrdered</w:t>
            </w:r>
            <w:proofErr w:type="spellEnd"/>
          </w:p>
          <w:p w14:paraId="4B4E748D" w14:textId="24853C36" w:rsidR="00F458F8" w:rsidRPr="00886556" w:rsidRDefault="00BA105C" w:rsidP="00BA105C">
            <w:pPr>
              <w:keepNext/>
              <w:keepLines/>
              <w:spacing w:after="0" w:line="240" w:lineRule="auto"/>
              <w:ind w:left="720" w:hanging="360"/>
              <w:rPr>
                <w:rFonts w:ascii="Verdana" w:eastAsia="Verdana" w:hAnsi="Verdana" w:cs="Verdana"/>
                <w:sz w:val="15"/>
                <w:szCs w:val="15"/>
              </w:rPr>
            </w:pPr>
            <w:r w:rsidRPr="00BA105C">
              <w:rPr>
                <w:rFonts w:ascii="Verdana" w:eastAsia="Verdana" w:hAnsi="Verdana" w:cs="Verdana"/>
                <w:sz w:val="16"/>
                <w:szCs w:val="16"/>
              </w:rPr>
              <w:tab/>
              <w:t xml:space="preserve">       such that </w:t>
            </w:r>
            <w:proofErr w:type="gramStart"/>
            <w:r w:rsidRPr="00BA105C">
              <w:rPr>
                <w:rFonts w:ascii="Verdana" w:eastAsia="Verdana" w:hAnsi="Verdana" w:cs="Verdana"/>
                <w:sz w:val="16"/>
                <w:szCs w:val="16"/>
              </w:rPr>
              <w:t>( start</w:t>
            </w:r>
            <w:proofErr w:type="gramEnd"/>
            <w:r w:rsidRPr="00BA105C">
              <w:rPr>
                <w:rFonts w:ascii="Verdana" w:eastAsia="Verdana" w:hAnsi="Verdana" w:cs="Verdana"/>
                <w:sz w:val="16"/>
                <w:szCs w:val="16"/>
              </w:rPr>
              <w:t xml:space="preserve"> of </w:t>
            </w:r>
            <w:proofErr w:type="spellStart"/>
            <w:proofErr w:type="gramStart"/>
            <w:r w:rsidRPr="00BA105C">
              <w:rPr>
                <w:rFonts w:ascii="Verdana" w:eastAsia="Verdana" w:hAnsi="Verdana" w:cs="Verdana"/>
                <w:sz w:val="16"/>
                <w:szCs w:val="16"/>
              </w:rPr>
              <w:t>EDOrAmbulatoryVisit.relevantPeriod</w:t>
            </w:r>
            <w:proofErr w:type="spellEnd"/>
            <w:r w:rsidRPr="00BA105C">
              <w:rPr>
                <w:rFonts w:ascii="Verdana" w:eastAsia="Verdana" w:hAnsi="Verdana" w:cs="Verdana"/>
                <w:sz w:val="16"/>
                <w:szCs w:val="16"/>
              </w:rPr>
              <w:t xml:space="preserve"> )</w:t>
            </w:r>
            <w:proofErr w:type="gramEnd"/>
            <w:r w:rsidRPr="00BA105C">
              <w:rPr>
                <w:rFonts w:ascii="Verdana" w:eastAsia="Verdana" w:hAnsi="Verdana" w:cs="Verdana"/>
                <w:sz w:val="16"/>
                <w:szCs w:val="16"/>
              </w:rPr>
              <w:t xml:space="preserve"> 3 days or less on or before day of </w:t>
            </w:r>
            <w:proofErr w:type="spellStart"/>
            <w:r w:rsidRPr="00BA105C">
              <w:rPr>
                <w:rFonts w:ascii="Verdana" w:eastAsia="Verdana" w:hAnsi="Verdana" w:cs="Verdana"/>
                <w:sz w:val="16"/>
                <w:szCs w:val="16"/>
              </w:rPr>
              <w:t>AntibioticOrdered.</w:t>
            </w:r>
            <w:r w:rsidR="005651A2" w:rsidRPr="00BA105C">
              <w:rPr>
                <w:rFonts w:ascii="Verdana" w:eastAsia="Verdana" w:hAnsi="Verdana" w:cs="Verdana"/>
                <w:sz w:val="16"/>
                <w:szCs w:val="16"/>
              </w:rPr>
              <w:t>authorDate</w:t>
            </w:r>
            <w:proofErr w:type="spellEnd"/>
            <w:r w:rsidR="005651A2">
              <w:rPr>
                <w:rFonts w:ascii="Verdana" w:eastAsia="Verdana" w:hAnsi="Verdana" w:cs="Verdana"/>
                <w:sz w:val="16"/>
                <w:szCs w:val="16"/>
              </w:rPr>
              <w:t>-t</w:t>
            </w:r>
            <w:r w:rsidR="005651A2" w:rsidRPr="00BA105C">
              <w:rPr>
                <w:rFonts w:ascii="Verdana" w:eastAsia="Verdana" w:hAnsi="Verdana" w:cs="Verdana"/>
                <w:sz w:val="16"/>
                <w:szCs w:val="16"/>
              </w:rPr>
              <w:t>ime</w:t>
            </w:r>
          </w:p>
        </w:tc>
      </w:tr>
    </w:tbl>
    <w:p w14:paraId="00000130" w14:textId="359208E2" w:rsidR="00D67C8C" w:rsidRPr="004A3DC8" w:rsidRDefault="00C80A11" w:rsidP="00F458F8">
      <w:pPr>
        <w:pStyle w:val="ParagraphContinued"/>
        <w:rPr>
          <w:rFonts w:cs="Times New Roman"/>
        </w:rPr>
      </w:pPr>
      <w:r w:rsidRPr="004A3DC8">
        <w:rPr>
          <w:rFonts w:cs="Times New Roman"/>
        </w:rPr>
        <w:t xml:space="preserve">The </w:t>
      </w:r>
      <w:r w:rsidR="004A3DC8" w:rsidRPr="004A3DC8">
        <w:rPr>
          <w:rFonts w:cs="Times New Roman"/>
        </w:rPr>
        <w:t>“</w:t>
      </w:r>
      <w:r w:rsidRPr="004A3DC8">
        <w:rPr>
          <w:rFonts w:eastAsia="Courier New" w:cs="Times New Roman"/>
          <w:szCs w:val="20"/>
        </w:rPr>
        <w:t>without</w:t>
      </w:r>
      <w:r w:rsidR="004A3DC8" w:rsidRPr="004A3DC8">
        <w:rPr>
          <w:rFonts w:eastAsia="Courier New" w:cs="Times New Roman"/>
          <w:szCs w:val="20"/>
        </w:rPr>
        <w:t>”</w:t>
      </w:r>
      <w:r w:rsidRPr="004A3DC8">
        <w:rPr>
          <w:rFonts w:cs="Times New Roman"/>
        </w:rPr>
        <w:t xml:space="preserve"> keyword can serve to describe cases that measured entities should consider only if a particular data item is </w:t>
      </w:r>
      <w:r w:rsidRPr="004A3DC8">
        <w:rPr>
          <w:rFonts w:cs="Times New Roman"/>
          <w:i/>
        </w:rPr>
        <w:t>not</w:t>
      </w:r>
      <w:r w:rsidRPr="004A3DC8">
        <w:rPr>
          <w:rFonts w:cs="Times New Roman"/>
        </w:rPr>
        <w:t xml:space="preserve"> present. As shown in Figure </w:t>
      </w:r>
      <w:r w:rsidR="006C71C4" w:rsidRPr="004A3DC8">
        <w:rPr>
          <w:rFonts w:cs="Times New Roman"/>
        </w:rPr>
        <w:t>2</w:t>
      </w:r>
      <w:r w:rsidRPr="004A3DC8">
        <w:rPr>
          <w:rFonts w:cs="Times New Roman"/>
        </w:rPr>
        <w:t xml:space="preserve">.7, the numerator definition in </w:t>
      </w:r>
      <w:hyperlink r:id="rId73" w:history="1">
        <w:r w:rsidR="00BA105C" w:rsidRPr="004A3DC8">
          <w:rPr>
            <w:rStyle w:val="Hyperlink"/>
            <w:rFonts w:cs="Times New Roman"/>
          </w:rPr>
          <w:t>CMS154v14, Appropriate Treatment for Upper Respiratory Infection (URI)</w:t>
        </w:r>
      </w:hyperlink>
      <w:r w:rsidRPr="004A3DC8">
        <w:rPr>
          <w:rFonts w:cs="Times New Roman"/>
          <w:i/>
        </w:rPr>
        <w:t xml:space="preserve"> </w:t>
      </w:r>
      <w:r w:rsidRPr="004A3DC8">
        <w:rPr>
          <w:rFonts w:cs="Times New Roman"/>
        </w:rPr>
        <w:t>is:</w:t>
      </w:r>
    </w:p>
    <w:p w14:paraId="00000131" w14:textId="0A00B9EA" w:rsidR="00D67C8C" w:rsidRDefault="00C80A11" w:rsidP="00107990">
      <w:pPr>
        <w:pStyle w:val="FigureTitle"/>
      </w:pPr>
      <w:bookmarkStart w:id="202" w:name="_Toc159578078"/>
      <w:bookmarkStart w:id="203" w:name="_Toc195002004"/>
      <w:r w:rsidRPr="0029452B">
        <w:t xml:space="preserve">Figure </w:t>
      </w:r>
      <w:r w:rsidR="006C71C4" w:rsidRPr="0029452B">
        <w:t>2</w:t>
      </w:r>
      <w:r w:rsidRPr="0029452B">
        <w:t xml:space="preserve">.7. </w:t>
      </w:r>
      <w:bookmarkEnd w:id="202"/>
      <w:r w:rsidRPr="0029452B">
        <w:t>Without Clause Example</w:t>
      </w:r>
      <w:bookmarkEnd w:id="203"/>
    </w:p>
    <w:tbl>
      <w:tblPr>
        <w:tblStyle w:val="GrayCell"/>
        <w:tblW w:w="936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Look w:val="04A0" w:firstRow="1" w:lastRow="0" w:firstColumn="1" w:lastColumn="0" w:noHBand="0" w:noVBand="1"/>
      </w:tblPr>
      <w:tblGrid>
        <w:gridCol w:w="9360"/>
      </w:tblGrid>
      <w:tr w:rsidR="00F458F8" w14:paraId="4CF850D2" w14:textId="77777777">
        <w:tc>
          <w:tcPr>
            <w:tcW w:w="5000" w:type="pct"/>
            <w:shd w:val="clear" w:color="auto" w:fill="auto"/>
          </w:tcPr>
          <w:p w14:paraId="145F3472" w14:textId="77777777" w:rsidR="00F458F8" w:rsidRPr="00107990" w:rsidRDefault="00F458F8" w:rsidP="00F458F8">
            <w:pPr>
              <w:pStyle w:val="FigureHeader"/>
            </w:pPr>
            <w:r w:rsidRPr="005E64B8">
              <w:rPr>
                <w:rFonts w:ascii="Cambria Math" w:hAnsi="Cambria Math"/>
              </w:rPr>
              <w:t>◢</w:t>
            </w:r>
            <w:r w:rsidRPr="005E64B8">
              <w:t xml:space="preserve"> Numerator</w:t>
            </w:r>
          </w:p>
          <w:p w14:paraId="0FE9BFC2" w14:textId="5957D696" w:rsidR="00BA105C" w:rsidRPr="00BA105C" w:rsidRDefault="009218C5" w:rsidP="00BA105C">
            <w:pPr>
              <w:keepNext/>
              <w:keepLines/>
              <w:spacing w:after="0" w:line="240" w:lineRule="auto"/>
              <w:ind w:left="1080" w:hanging="360"/>
              <w:rPr>
                <w:rFonts w:ascii="Verdana" w:eastAsia="Verdana" w:hAnsi="Verdana" w:cs="Verdana"/>
                <w:sz w:val="15"/>
                <w:szCs w:val="15"/>
              </w:rPr>
            </w:pPr>
            <w:r>
              <w:rPr>
                <w:rFonts w:ascii="Verdana" w:eastAsia="Verdana" w:hAnsi="Verdana" w:cs="Verdana"/>
                <w:sz w:val="15"/>
                <w:szCs w:val="15"/>
              </w:rPr>
              <w:t>"</w:t>
            </w:r>
            <w:r w:rsidR="00BA105C" w:rsidRPr="00BA105C">
              <w:rPr>
                <w:rFonts w:ascii="Verdana" w:eastAsia="Verdana" w:hAnsi="Verdana" w:cs="Verdana"/>
                <w:sz w:val="15"/>
                <w:szCs w:val="15"/>
              </w:rPr>
              <w:t>Encounter with Upper Respiratory Infection</w:t>
            </w:r>
            <w:r>
              <w:rPr>
                <w:rFonts w:ascii="Verdana" w:eastAsia="Verdana" w:hAnsi="Verdana" w:cs="Verdana"/>
                <w:sz w:val="15"/>
                <w:szCs w:val="15"/>
              </w:rPr>
              <w:t>"</w:t>
            </w:r>
            <w:r w:rsidR="00BA105C" w:rsidRPr="00BA105C">
              <w:rPr>
                <w:rFonts w:ascii="Verdana" w:eastAsia="Verdana" w:hAnsi="Verdana" w:cs="Verdana"/>
                <w:sz w:val="15"/>
                <w:szCs w:val="15"/>
              </w:rPr>
              <w:t xml:space="preserve"> </w:t>
            </w:r>
            <w:proofErr w:type="spellStart"/>
            <w:r w:rsidR="00BA105C" w:rsidRPr="00BA105C">
              <w:rPr>
                <w:rFonts w:ascii="Verdana" w:eastAsia="Verdana" w:hAnsi="Verdana" w:cs="Verdana"/>
                <w:sz w:val="15"/>
                <w:szCs w:val="15"/>
              </w:rPr>
              <w:t>EncounterWithURI</w:t>
            </w:r>
            <w:proofErr w:type="spellEnd"/>
          </w:p>
          <w:p w14:paraId="156E1DDE" w14:textId="45373A7D" w:rsidR="00BA105C" w:rsidRPr="00BA105C" w:rsidRDefault="00BA105C" w:rsidP="00BA105C">
            <w:pPr>
              <w:keepNext/>
              <w:keepLines/>
              <w:spacing w:after="0" w:line="240" w:lineRule="auto"/>
              <w:ind w:left="1080" w:hanging="360"/>
              <w:rPr>
                <w:rFonts w:ascii="Verdana" w:eastAsia="Verdana" w:hAnsi="Verdana" w:cs="Verdana"/>
                <w:sz w:val="15"/>
                <w:szCs w:val="15"/>
              </w:rPr>
            </w:pPr>
            <w:r w:rsidRPr="00BA105C">
              <w:rPr>
                <w:rFonts w:ascii="Verdana" w:eastAsia="Verdana" w:hAnsi="Verdana" w:cs="Verdana"/>
                <w:sz w:val="15"/>
                <w:szCs w:val="15"/>
              </w:rPr>
              <w:t xml:space="preserve">  without [</w:t>
            </w:r>
            <w:r w:rsidR="009218C5">
              <w:rPr>
                <w:rFonts w:ascii="Verdana" w:eastAsia="Verdana" w:hAnsi="Verdana" w:cs="Verdana"/>
                <w:sz w:val="15"/>
                <w:szCs w:val="15"/>
              </w:rPr>
              <w:t>"</w:t>
            </w:r>
            <w:r w:rsidRPr="00BA105C">
              <w:rPr>
                <w:rFonts w:ascii="Verdana" w:eastAsia="Verdana" w:hAnsi="Verdana" w:cs="Verdana"/>
                <w:sz w:val="15"/>
                <w:szCs w:val="15"/>
              </w:rPr>
              <w:t>Medication, Order</w:t>
            </w:r>
            <w:r w:rsidR="009218C5">
              <w:rPr>
                <w:rFonts w:ascii="Verdana" w:eastAsia="Verdana" w:hAnsi="Verdana" w:cs="Verdana"/>
                <w:sz w:val="15"/>
                <w:szCs w:val="15"/>
              </w:rPr>
              <w:t>"</w:t>
            </w:r>
            <w:r w:rsidRPr="00BA105C">
              <w:rPr>
                <w:rFonts w:ascii="Verdana" w:eastAsia="Verdana" w:hAnsi="Verdana" w:cs="Verdana"/>
                <w:sz w:val="15"/>
                <w:szCs w:val="15"/>
              </w:rPr>
              <w:t xml:space="preserve">: </w:t>
            </w:r>
            <w:r w:rsidR="009218C5">
              <w:rPr>
                <w:rFonts w:ascii="Verdana" w:eastAsia="Verdana" w:hAnsi="Verdana" w:cs="Verdana"/>
                <w:sz w:val="15"/>
                <w:szCs w:val="15"/>
              </w:rPr>
              <w:t>"</w:t>
            </w:r>
            <w:r w:rsidRPr="00BA105C">
              <w:rPr>
                <w:rFonts w:ascii="Verdana" w:eastAsia="Verdana" w:hAnsi="Verdana" w:cs="Verdana"/>
                <w:sz w:val="15"/>
                <w:szCs w:val="15"/>
              </w:rPr>
              <w:t>Antibiotic Medications for Upper Respiratory Infection</w:t>
            </w:r>
            <w:r w:rsidR="009218C5">
              <w:rPr>
                <w:rFonts w:ascii="Verdana" w:eastAsia="Verdana" w:hAnsi="Verdana" w:cs="Verdana"/>
                <w:sz w:val="15"/>
                <w:szCs w:val="15"/>
              </w:rPr>
              <w:t>"</w:t>
            </w:r>
            <w:r w:rsidRPr="00BA105C">
              <w:rPr>
                <w:rFonts w:ascii="Verdana" w:eastAsia="Verdana" w:hAnsi="Verdana" w:cs="Verdana"/>
                <w:sz w:val="15"/>
                <w:szCs w:val="15"/>
              </w:rPr>
              <w:t xml:space="preserve">] </w:t>
            </w:r>
            <w:proofErr w:type="spellStart"/>
            <w:r w:rsidRPr="00BA105C">
              <w:rPr>
                <w:rFonts w:ascii="Verdana" w:eastAsia="Verdana" w:hAnsi="Verdana" w:cs="Verdana"/>
                <w:sz w:val="15"/>
                <w:szCs w:val="15"/>
              </w:rPr>
              <w:t>OrderedAntibiotic</w:t>
            </w:r>
            <w:proofErr w:type="spellEnd"/>
          </w:p>
          <w:p w14:paraId="3C7C7D74" w14:textId="77777777" w:rsidR="00BA105C" w:rsidRPr="00BA105C" w:rsidRDefault="00BA105C" w:rsidP="00BA105C">
            <w:pPr>
              <w:keepNext/>
              <w:keepLines/>
              <w:spacing w:after="0" w:line="240" w:lineRule="auto"/>
              <w:ind w:left="1080" w:hanging="360"/>
              <w:rPr>
                <w:rFonts w:ascii="Verdana" w:eastAsia="Verdana" w:hAnsi="Verdana" w:cs="Verdana"/>
                <w:sz w:val="15"/>
                <w:szCs w:val="15"/>
              </w:rPr>
            </w:pPr>
            <w:r w:rsidRPr="00BA105C">
              <w:rPr>
                <w:rFonts w:ascii="Verdana" w:eastAsia="Verdana" w:hAnsi="Verdana" w:cs="Verdana"/>
                <w:sz w:val="15"/>
                <w:szCs w:val="15"/>
              </w:rPr>
              <w:t xml:space="preserve">    such that </w:t>
            </w:r>
            <w:proofErr w:type="spellStart"/>
            <w:r w:rsidRPr="00BA105C">
              <w:rPr>
                <w:rFonts w:ascii="Verdana" w:eastAsia="Verdana" w:hAnsi="Verdana" w:cs="Verdana"/>
                <w:sz w:val="15"/>
                <w:szCs w:val="15"/>
              </w:rPr>
              <w:t>OrderedAntibiotic.authorDatetime</w:t>
            </w:r>
            <w:proofErr w:type="spellEnd"/>
            <w:r w:rsidRPr="00BA105C">
              <w:rPr>
                <w:rFonts w:ascii="Verdana" w:eastAsia="Verdana" w:hAnsi="Verdana" w:cs="Verdana"/>
                <w:sz w:val="15"/>
                <w:szCs w:val="15"/>
              </w:rPr>
              <w:t xml:space="preserve"> 3 days or less on or after start of </w:t>
            </w:r>
            <w:proofErr w:type="spellStart"/>
            <w:r w:rsidRPr="00BA105C">
              <w:rPr>
                <w:rFonts w:ascii="Verdana" w:eastAsia="Verdana" w:hAnsi="Verdana" w:cs="Verdana"/>
                <w:sz w:val="15"/>
                <w:szCs w:val="15"/>
              </w:rPr>
              <w:t>EncounterWithURI.relevantPeriod</w:t>
            </w:r>
            <w:proofErr w:type="spellEnd"/>
          </w:p>
          <w:p w14:paraId="32038B00" w14:textId="0136AE59" w:rsidR="00F458F8" w:rsidRPr="00BA105C" w:rsidRDefault="00BA105C" w:rsidP="00BA105C">
            <w:pPr>
              <w:keepNext/>
              <w:keepLines/>
              <w:spacing w:after="0" w:line="240" w:lineRule="auto"/>
              <w:ind w:left="1080" w:hanging="360"/>
              <w:rPr>
                <w:rFonts w:ascii="Verdana" w:eastAsia="Verdana" w:hAnsi="Verdana" w:cs="Verdana"/>
                <w:sz w:val="15"/>
                <w:szCs w:val="15"/>
              </w:rPr>
            </w:pPr>
            <w:r w:rsidRPr="00BA105C">
              <w:rPr>
                <w:rFonts w:ascii="Verdana" w:eastAsia="Verdana" w:hAnsi="Verdana" w:cs="Verdana"/>
                <w:sz w:val="15"/>
                <w:szCs w:val="15"/>
              </w:rPr>
              <w:t xml:space="preserve">  return </w:t>
            </w:r>
            <w:proofErr w:type="spellStart"/>
            <w:r w:rsidRPr="00BA105C">
              <w:rPr>
                <w:rFonts w:ascii="Verdana" w:eastAsia="Verdana" w:hAnsi="Verdana" w:cs="Verdana"/>
                <w:sz w:val="15"/>
                <w:szCs w:val="15"/>
              </w:rPr>
              <w:t>EncounterWithURI</w:t>
            </w:r>
            <w:proofErr w:type="spellEnd"/>
          </w:p>
        </w:tc>
      </w:tr>
    </w:tbl>
    <w:p w14:paraId="00000138" w14:textId="0FA46654" w:rsidR="00D67C8C" w:rsidRDefault="00C80A11" w:rsidP="00F458F8">
      <w:pPr>
        <w:pStyle w:val="ParagraphContinued"/>
      </w:pPr>
      <w:r>
        <w:t>Th</w:t>
      </w:r>
      <w:r w:rsidRPr="004A3DC8">
        <w:rPr>
          <w:rFonts w:cs="Times New Roman"/>
        </w:rPr>
        <w:t xml:space="preserve">is query limits the encounters returned to only those that did </w:t>
      </w:r>
      <w:r w:rsidRPr="004A3DC8">
        <w:rPr>
          <w:rFonts w:cs="Times New Roman"/>
          <w:i/>
        </w:rPr>
        <w:t>not</w:t>
      </w:r>
      <w:r w:rsidRPr="004A3DC8">
        <w:rPr>
          <w:rFonts w:cs="Times New Roman"/>
        </w:rPr>
        <w:t xml:space="preserve"> have a </w:t>
      </w:r>
      <w:r w:rsidR="003A1B3A" w:rsidRPr="004A3DC8">
        <w:rPr>
          <w:rFonts w:cs="Times New Roman"/>
        </w:rPr>
        <w:t>m</w:t>
      </w:r>
      <w:r w:rsidRPr="004A3DC8">
        <w:rPr>
          <w:rFonts w:cs="Times New Roman"/>
        </w:rPr>
        <w:t xml:space="preserve">edication </w:t>
      </w:r>
      <w:r w:rsidR="003A1B3A" w:rsidRPr="004A3DC8">
        <w:rPr>
          <w:rFonts w:cs="Times New Roman"/>
        </w:rPr>
        <w:t>o</w:t>
      </w:r>
      <w:r w:rsidRPr="004A3DC8">
        <w:rPr>
          <w:rFonts w:cs="Times New Roman"/>
        </w:rPr>
        <w:t xml:space="preserve">rder for an antibiotic medication for upper respiratory infection. </w:t>
      </w:r>
      <w:proofErr w:type="gramStart"/>
      <w:r w:rsidRPr="004A3DC8">
        <w:rPr>
          <w:rFonts w:cs="Times New Roman"/>
        </w:rPr>
        <w:t>Similar to</w:t>
      </w:r>
      <w:proofErr w:type="gramEnd"/>
      <w:r w:rsidRPr="004A3DC8">
        <w:rPr>
          <w:rFonts w:cs="Times New Roman"/>
        </w:rPr>
        <w:t xml:space="preserve"> the </w:t>
      </w:r>
      <w:r w:rsidR="004A3DC8" w:rsidRPr="004A3DC8">
        <w:rPr>
          <w:rFonts w:cs="Times New Roman"/>
        </w:rPr>
        <w:t>“</w:t>
      </w:r>
      <w:r w:rsidRPr="004A3DC8">
        <w:rPr>
          <w:rFonts w:eastAsia="Courier New" w:cs="Times New Roman"/>
          <w:szCs w:val="20"/>
        </w:rPr>
        <w:t>with</w:t>
      </w:r>
      <w:r w:rsidR="004A3DC8" w:rsidRPr="004A3DC8">
        <w:rPr>
          <w:rFonts w:eastAsia="Courier New" w:cs="Times New Roman"/>
          <w:szCs w:val="20"/>
        </w:rPr>
        <w:t>”</w:t>
      </w:r>
      <w:r w:rsidRPr="004A3DC8">
        <w:rPr>
          <w:rFonts w:cs="Times New Roman"/>
        </w:rPr>
        <w:t xml:space="preserve"> clause, the </w:t>
      </w:r>
      <w:r w:rsidR="004A3DC8" w:rsidRPr="004A3DC8">
        <w:rPr>
          <w:rFonts w:cs="Times New Roman"/>
        </w:rPr>
        <w:t>“</w:t>
      </w:r>
      <w:r w:rsidRPr="004A3DC8">
        <w:rPr>
          <w:rFonts w:eastAsia="Courier New" w:cs="Times New Roman"/>
          <w:szCs w:val="20"/>
        </w:rPr>
        <w:t>without</w:t>
      </w:r>
      <w:r w:rsidR="004A3DC8" w:rsidRPr="004A3DC8">
        <w:rPr>
          <w:rFonts w:eastAsia="Courier New" w:cs="Times New Roman"/>
          <w:szCs w:val="20"/>
        </w:rPr>
        <w:t>”</w:t>
      </w:r>
      <w:r w:rsidRPr="004A3DC8">
        <w:rPr>
          <w:rFonts w:cs="Times New Roman"/>
        </w:rPr>
        <w:t xml:space="preserve"> clause uses </w:t>
      </w:r>
      <w:r w:rsidR="004A3DC8" w:rsidRPr="004A3DC8">
        <w:rPr>
          <w:rFonts w:cs="Times New Roman"/>
        </w:rPr>
        <w:t>“</w:t>
      </w:r>
      <w:r w:rsidRPr="004A3DC8">
        <w:rPr>
          <w:rFonts w:eastAsia="Courier New" w:cs="Times New Roman"/>
          <w:szCs w:val="20"/>
        </w:rPr>
        <w:t>such</w:t>
      </w:r>
      <w:r w:rsidRPr="004A3DC8">
        <w:rPr>
          <w:rFonts w:cs="Times New Roman"/>
        </w:rPr>
        <w:t xml:space="preserve"> </w:t>
      </w:r>
      <w:r w:rsidRPr="004A3DC8">
        <w:rPr>
          <w:rFonts w:eastAsia="Courier New" w:cs="Times New Roman"/>
          <w:szCs w:val="20"/>
        </w:rPr>
        <w:t>that</w:t>
      </w:r>
      <w:r w:rsidR="004A3DC8" w:rsidRPr="004A3DC8">
        <w:rPr>
          <w:rFonts w:eastAsia="Courier New" w:cs="Times New Roman"/>
          <w:szCs w:val="20"/>
        </w:rPr>
        <w:t>”</w:t>
      </w:r>
      <w:r w:rsidRPr="004A3DC8">
        <w:rPr>
          <w:rFonts w:cs="Times New Roman"/>
        </w:rPr>
        <w:t xml:space="preserve"> to describe the conditio</w:t>
      </w:r>
      <w:r>
        <w:t>n of the relationship.</w:t>
      </w:r>
    </w:p>
    <w:p w14:paraId="00000139" w14:textId="399C14CE" w:rsidR="00D67C8C" w:rsidRDefault="00AF10F3" w:rsidP="00AF10F3">
      <w:pPr>
        <w:pStyle w:val="H2-Num"/>
      </w:pPr>
      <w:bookmarkStart w:id="204" w:name="_heading=h.rjefff" w:colFirst="0" w:colLast="0"/>
      <w:bookmarkStart w:id="205" w:name="_Toc509563181"/>
      <w:bookmarkStart w:id="206" w:name="_Toc509563183"/>
      <w:bookmarkStart w:id="207" w:name="_Toc509563184"/>
      <w:bookmarkStart w:id="208" w:name="_Toc91742236"/>
      <w:bookmarkStart w:id="209" w:name="_Toc91742237"/>
      <w:bookmarkStart w:id="210" w:name="_Toc23176749"/>
      <w:bookmarkStart w:id="211" w:name="_Toc56635376"/>
      <w:bookmarkStart w:id="212" w:name="_Toc64983068"/>
      <w:bookmarkStart w:id="213" w:name="_Toc159578379"/>
      <w:bookmarkStart w:id="214" w:name="_Toc194959007"/>
      <w:bookmarkStart w:id="215" w:name="_Toc194994751"/>
      <w:bookmarkEnd w:id="204"/>
      <w:bookmarkEnd w:id="205"/>
      <w:bookmarkEnd w:id="206"/>
      <w:bookmarkEnd w:id="207"/>
      <w:bookmarkEnd w:id="208"/>
      <w:bookmarkEnd w:id="209"/>
      <w:r>
        <w:rPr>
          <w:rFonts w:eastAsia="Arial Narrow"/>
        </w:rPr>
        <w:t>2.5</w:t>
      </w:r>
      <w:r>
        <w:rPr>
          <w:rFonts w:eastAsia="Arial Narrow"/>
        </w:rPr>
        <w:tab/>
      </w:r>
      <w:r w:rsidR="00C80A11" w:rsidRPr="005E64B8">
        <w:rPr>
          <w:rFonts w:eastAsia="Arial Narrow"/>
        </w:rPr>
        <w:t xml:space="preserve">Timing </w:t>
      </w:r>
      <w:bookmarkEnd w:id="210"/>
      <w:bookmarkEnd w:id="211"/>
      <w:bookmarkEnd w:id="212"/>
      <w:r w:rsidR="00C80A11" w:rsidRPr="005E64B8">
        <w:rPr>
          <w:rFonts w:eastAsia="Arial Narrow"/>
        </w:rPr>
        <w:t>Calculations</w:t>
      </w:r>
      <w:bookmarkEnd w:id="213"/>
      <w:bookmarkEnd w:id="214"/>
      <w:bookmarkEnd w:id="215"/>
    </w:p>
    <w:p w14:paraId="0000013A" w14:textId="77777777" w:rsidR="00D67C8C" w:rsidRDefault="00C80A11" w:rsidP="00AF10F3">
      <w:pPr>
        <w:pStyle w:val="ParagraphContinued"/>
      </w:pPr>
      <w:r>
        <w:t>Assessing the relative timing of events within a patient’s electronic medical record is an essential part of computing eCQMs. To enable the unambiguous interpretation of the eCQMs, it is necessary to clearly define computation of time intervals. A simple expression such as “the treatment must occur within 3 days of the diagnosis” has many possible interpretations, including that the treatment must occur within 72 hours of the diagnosis or that the treatment must happen within 3 business days of the diagnosis.</w:t>
      </w:r>
    </w:p>
    <w:p w14:paraId="0000013B" w14:textId="2BD01D16" w:rsidR="00D67C8C" w:rsidRDefault="00C80A11" w:rsidP="00AF10F3">
      <w:pPr>
        <w:pStyle w:val="Paragraph"/>
      </w:pPr>
      <w:r>
        <w:t xml:space="preserve">The International Organization for Standardization 8601:2004 defines data elements and interchange formats for the representation of dates and times, including time intervals. A full list </w:t>
      </w:r>
      <w:r>
        <w:lastRenderedPageBreak/>
        <w:t xml:space="preserve">of definitions related to timing is part of the </w:t>
      </w:r>
      <w:hyperlink r:id="rId74" w:anchor="definitions">
        <w:r>
          <w:rPr>
            <w:color w:val="0563C1"/>
            <w:u w:val="single"/>
          </w:rPr>
          <w:t>Clinical Quality Language Specification, Release 1 Mixed Normative/Trial-Use (CQL 1.5)</w:t>
        </w:r>
      </w:hyperlink>
      <w:r w:rsidRPr="005E64B8">
        <w:rPr>
          <w:color w:val="0563C1"/>
        </w:rPr>
        <w:t>.</w:t>
      </w:r>
    </w:p>
    <w:p w14:paraId="0000013C" w14:textId="2663B55E" w:rsidR="00D67C8C" w:rsidRDefault="00FD24C3" w:rsidP="00AF10F3">
      <w:pPr>
        <w:pStyle w:val="Paragraph"/>
      </w:pPr>
      <w:bookmarkStart w:id="216" w:name="_Hlk188025904"/>
      <w:r w:rsidRPr="00FD24C3">
        <w:t xml:space="preserve">To determine the length of time between two dates, CQL provides two approaches: duration, the number of whole periods between two dates, and difference, the number of period boundaries crossed between two dates. The expression of each period represents a time unit, such as hours, days, or months. These approaches provide options to correctly express timing relationships for implementation of measures. For example, in </w:t>
      </w:r>
      <w:r w:rsidR="003E34B9">
        <w:t>hospital</w:t>
      </w:r>
      <w:r w:rsidR="00F56868">
        <w:t xml:space="preserve"> </w:t>
      </w:r>
      <w:r w:rsidR="00672BF5">
        <w:t>-</w:t>
      </w:r>
      <w:r w:rsidRPr="00FD24C3">
        <w:t xml:space="preserve"> </w:t>
      </w:r>
      <w:r w:rsidR="00F56868">
        <w:t>i</w:t>
      </w:r>
      <w:r w:rsidRPr="00FD24C3">
        <w:t xml:space="preserve">npatient and </w:t>
      </w:r>
      <w:r w:rsidR="007A5E49">
        <w:t xml:space="preserve">hospital </w:t>
      </w:r>
      <w:r w:rsidR="00672BF5">
        <w:t>-</w:t>
      </w:r>
      <w:r w:rsidR="007A5E49">
        <w:t xml:space="preserve"> </w:t>
      </w:r>
      <w:r w:rsidRPr="00FD24C3">
        <w:t xml:space="preserve">outpatient eCQMs, the recommended timing pattern for </w:t>
      </w:r>
      <w:r w:rsidR="00D34454">
        <w:t>initial population</w:t>
      </w:r>
      <w:r w:rsidRPr="00FD24C3">
        <w:t xml:space="preserve"> criteria is an encounter that </w:t>
      </w:r>
      <w:r w:rsidR="00D34454">
        <w:t>“</w:t>
      </w:r>
      <w:r w:rsidRPr="00FD24C3">
        <w:t>ends during</w:t>
      </w:r>
      <w:r w:rsidR="00D34454">
        <w:t xml:space="preserve"> </w:t>
      </w:r>
      <w:r w:rsidRPr="00FD24C3">
        <w:t>day o</w:t>
      </w:r>
      <w:r w:rsidR="00D34454">
        <w:t>f</w:t>
      </w:r>
      <w:r w:rsidRPr="00FD24C3">
        <w:t xml:space="preserve"> </w:t>
      </w:r>
      <w:r w:rsidR="00D34454">
        <w:t>“</w:t>
      </w:r>
      <w:r w:rsidRPr="00FD24C3">
        <w:t>Measurement Period.</w:t>
      </w:r>
      <w:r w:rsidR="006C5445">
        <w:t>’</w:t>
      </w:r>
      <w:r w:rsidRPr="00FD24C3">
        <w:t xml:space="preserve">” The use of </w:t>
      </w:r>
      <w:r w:rsidR="0019478D">
        <w:t>“</w:t>
      </w:r>
      <w:r w:rsidRPr="00FD24C3">
        <w:t>ends</w:t>
      </w:r>
      <w:r w:rsidR="0019478D">
        <w:t>”</w:t>
      </w:r>
      <w:r w:rsidRPr="00FD24C3">
        <w:t xml:space="preserve"> provides a single point of time comparison within the measurement period so the receiving systems can provide reports on a quarterly basis, while </w:t>
      </w:r>
      <w:r w:rsidR="0019478D">
        <w:t>“</w:t>
      </w:r>
      <w:r w:rsidRPr="00FD24C3">
        <w:t>day of</w:t>
      </w:r>
      <w:r w:rsidR="0019478D">
        <w:t>”</w:t>
      </w:r>
      <w:r w:rsidRPr="00FD24C3">
        <w:t xml:space="preserve"> specifies day precision to avoid time zone offset and millisecond issues. In contrast, </w:t>
      </w:r>
      <w:proofErr w:type="spellStart"/>
      <w:r w:rsidRPr="00FD24C3">
        <w:t>dateTime</w:t>
      </w:r>
      <w:proofErr w:type="spellEnd"/>
      <w:r w:rsidRPr="00FD24C3">
        <w:t xml:space="preserve"> precision </w:t>
      </w:r>
      <w:r w:rsidR="006E207E">
        <w:t>might</w:t>
      </w:r>
      <w:r w:rsidR="006E207E" w:rsidRPr="00FD24C3">
        <w:t xml:space="preserve"> </w:t>
      </w:r>
      <w:r w:rsidRPr="00FD24C3">
        <w:t>result in applying a time zone offset adjustment</w:t>
      </w:r>
      <w:r>
        <w:t>, for example</w:t>
      </w:r>
      <w:r w:rsidRPr="00FD24C3">
        <w:t>.</w:t>
      </w:r>
    </w:p>
    <w:bookmarkEnd w:id="216"/>
    <w:p w14:paraId="0000013D" w14:textId="15E67F2B" w:rsidR="00D67C8C" w:rsidRDefault="006C71C4" w:rsidP="00AF10F3">
      <w:pPr>
        <w:pStyle w:val="Paragraph"/>
      </w:pPr>
      <w:r>
        <w:fldChar w:fldCharType="begin"/>
      </w:r>
      <w:r>
        <w:instrText>HYPERLINK \l "bookmark=id.3nqndbk" \h</w:instrText>
      </w:r>
      <w:r>
        <w:fldChar w:fldCharType="separate"/>
      </w:r>
      <w:r w:rsidR="00C80A11">
        <w:rPr>
          <w:color w:val="0563C1"/>
          <w:u w:val="single"/>
        </w:rPr>
        <w:t>Appendix B</w:t>
      </w:r>
      <w:r>
        <w:rPr>
          <w:color w:val="0563C1"/>
          <w:u w:val="single"/>
        </w:rPr>
        <w:fldChar w:fldCharType="end"/>
      </w:r>
      <w:r w:rsidR="00C80A11">
        <w:t xml:space="preserve"> of this document includes more information on time intervals and examples, as does </w:t>
      </w:r>
      <w:hyperlink r:id="rId75">
        <w:r w:rsidR="00C80A11">
          <w:rPr>
            <w:color w:val="0563C1"/>
            <w:u w:val="single"/>
          </w:rPr>
          <w:t>Appendix H of the CQL specification</w:t>
        </w:r>
      </w:hyperlink>
      <w:r w:rsidR="00C80A11">
        <w:t>.</w:t>
      </w:r>
    </w:p>
    <w:p w14:paraId="0000013E" w14:textId="0921F8CB" w:rsidR="00D67C8C" w:rsidRDefault="00AF10F3" w:rsidP="00AF10F3">
      <w:pPr>
        <w:pStyle w:val="H3-Num"/>
      </w:pPr>
      <w:bookmarkStart w:id="217" w:name="_heading=h.3bj1y38" w:colFirst="0" w:colLast="0"/>
      <w:bookmarkStart w:id="218" w:name="_Toc23176750"/>
      <w:bookmarkStart w:id="219" w:name="_Toc56635377"/>
      <w:bookmarkStart w:id="220" w:name="_Toc64983069"/>
      <w:bookmarkStart w:id="221" w:name="_Toc159479999"/>
      <w:bookmarkStart w:id="222" w:name="_Toc159578380"/>
      <w:bookmarkStart w:id="223" w:name="_Toc194994752"/>
      <w:bookmarkEnd w:id="217"/>
      <w:r>
        <w:t>2.5.1</w:t>
      </w:r>
      <w:r>
        <w:tab/>
      </w:r>
      <w:r w:rsidR="00C80A11" w:rsidRPr="005E64B8">
        <w:t>Duration</w:t>
      </w:r>
      <w:bookmarkEnd w:id="218"/>
      <w:bookmarkEnd w:id="219"/>
      <w:bookmarkEnd w:id="220"/>
      <w:bookmarkEnd w:id="221"/>
      <w:bookmarkEnd w:id="222"/>
      <w:bookmarkEnd w:id="223"/>
    </w:p>
    <w:p w14:paraId="0000013F" w14:textId="5A319124" w:rsidR="00D67C8C" w:rsidRDefault="00C80A11" w:rsidP="00AF10F3">
      <w:pPr>
        <w:pStyle w:val="ParagraphContinued"/>
      </w:pPr>
      <w:bookmarkStart w:id="224" w:name="_heading=h.1qoc8b1" w:colFirst="0" w:colLast="0"/>
      <w:bookmarkStart w:id="225" w:name="_Toc23176751"/>
      <w:bookmarkStart w:id="226" w:name="_Toc56635378"/>
      <w:bookmarkStart w:id="227" w:name="_Toc64983070"/>
      <w:bookmarkEnd w:id="224"/>
      <w:r>
        <w:t xml:space="preserve">CQL provides specificity when calculating duration. Conceptually, </w:t>
      </w:r>
      <w:r w:rsidR="006C7729">
        <w:t xml:space="preserve">the calculation is </w:t>
      </w:r>
      <w:r>
        <w:t>perform</w:t>
      </w:r>
      <w:r w:rsidR="006C7729">
        <w:t>ed</w:t>
      </w:r>
      <w:r>
        <w:t xml:space="preserve"> </w:t>
      </w:r>
      <w:r w:rsidR="006C7729">
        <w:t>considering</w:t>
      </w:r>
      <w:r>
        <w:t xml:space="preserve"> two dates</w:t>
      </w:r>
      <w:r w:rsidR="006E207E">
        <w:t xml:space="preserve"> or times</w:t>
      </w:r>
      <w:r>
        <w:t xml:space="preserve"> on a timeline and counting the number of whole periods (for example, years, days, hours) fitting on the timeline between the two dates</w:t>
      </w:r>
      <w:r w:rsidR="006E207E">
        <w:t xml:space="preserve"> or times</w:t>
      </w:r>
      <w:r>
        <w:t xml:space="preserve">. </w:t>
      </w:r>
    </w:p>
    <w:p w14:paraId="00000140" w14:textId="69B5EB41" w:rsidR="00D67C8C" w:rsidRDefault="00AF10F3" w:rsidP="00AF10F3">
      <w:pPr>
        <w:pStyle w:val="H3-Num"/>
      </w:pPr>
      <w:bookmarkStart w:id="228" w:name="_heading=h.4anzqyu" w:colFirst="0" w:colLast="0"/>
      <w:bookmarkStart w:id="229" w:name="_Toc159480000"/>
      <w:bookmarkStart w:id="230" w:name="_Toc159578381"/>
      <w:bookmarkStart w:id="231" w:name="_Toc194994753"/>
      <w:bookmarkEnd w:id="228"/>
      <w:r>
        <w:t>2.5.2</w:t>
      </w:r>
      <w:r>
        <w:tab/>
      </w:r>
      <w:r w:rsidR="00C80A11" w:rsidRPr="005E64B8">
        <w:t>Difference</w:t>
      </w:r>
      <w:bookmarkEnd w:id="225"/>
      <w:bookmarkEnd w:id="226"/>
      <w:bookmarkEnd w:id="227"/>
      <w:bookmarkEnd w:id="229"/>
      <w:bookmarkEnd w:id="230"/>
      <w:bookmarkEnd w:id="231"/>
    </w:p>
    <w:p w14:paraId="00000141" w14:textId="77777777" w:rsidR="00D67C8C" w:rsidRDefault="00C80A11" w:rsidP="00AF10F3">
      <w:pPr>
        <w:pStyle w:val="ParagraphContinued"/>
      </w:pPr>
      <w:r>
        <w:t xml:space="preserve">Difference calculations are achieved by truncating the date or time values at the next level of precision and then performing the corresponding duration calculation on the truncated values. </w:t>
      </w:r>
    </w:p>
    <w:p w14:paraId="00000142" w14:textId="60BE0FFF" w:rsidR="00D67C8C" w:rsidRDefault="00C80A11" w:rsidP="00AF10F3">
      <w:pPr>
        <w:pStyle w:val="Paragraph"/>
      </w:pPr>
      <w:r>
        <w:t xml:space="preserve">To illustrate </w:t>
      </w:r>
      <w:r w:rsidR="00F445BE">
        <w:t xml:space="preserve">the </w:t>
      </w:r>
      <w:r>
        <w:t>difference:</w:t>
      </w:r>
    </w:p>
    <w:p w14:paraId="00000143" w14:textId="77777777" w:rsidR="00D67C8C" w:rsidRDefault="00C80A11" w:rsidP="00C95E5D">
      <w:pPr>
        <w:pStyle w:val="Paragraph"/>
        <w:ind w:left="720"/>
      </w:pPr>
      <w:r>
        <w:t>Date 1: 2021-12-31</w:t>
      </w:r>
    </w:p>
    <w:p w14:paraId="00000144" w14:textId="77777777" w:rsidR="00D67C8C" w:rsidRDefault="00C80A11" w:rsidP="00C95E5D">
      <w:pPr>
        <w:pStyle w:val="Paragraph"/>
        <w:ind w:left="720"/>
      </w:pPr>
      <w:r>
        <w:t>Date 2: 2022-01-01</w:t>
      </w:r>
    </w:p>
    <w:p w14:paraId="00000145" w14:textId="37E65604" w:rsidR="00D67C8C" w:rsidRDefault="00C80A11" w:rsidP="00C95E5D">
      <w:pPr>
        <w:pStyle w:val="Paragraph"/>
        <w:ind w:left="720"/>
      </w:pPr>
      <w:r>
        <w:t>Duration In Years: Years between Date 1 and Date 2</w:t>
      </w:r>
      <w:r w:rsidR="00AE0055">
        <w:t xml:space="preserve"> = 0</w:t>
      </w:r>
    </w:p>
    <w:p w14:paraId="00000146" w14:textId="237B22D8" w:rsidR="00D67C8C" w:rsidRDefault="00C80A11" w:rsidP="00C95E5D">
      <w:pPr>
        <w:pStyle w:val="Paragraph"/>
        <w:ind w:left="720"/>
      </w:pPr>
      <w:r>
        <w:t xml:space="preserve">Difference In Years: Difference in </w:t>
      </w:r>
      <w:r w:rsidR="001706E6">
        <w:t>Y</w:t>
      </w:r>
      <w:r>
        <w:t xml:space="preserve">ears between Date 1 and Date 2 </w:t>
      </w:r>
      <w:r w:rsidR="00AE0055">
        <w:t>=</w:t>
      </w:r>
      <w:r w:rsidR="003425A1">
        <w:t xml:space="preserve"> </w:t>
      </w:r>
      <w:r w:rsidR="00AE0055">
        <w:t>1</w:t>
      </w:r>
    </w:p>
    <w:p w14:paraId="00000147" w14:textId="15D0D458" w:rsidR="00D67C8C" w:rsidRDefault="00C80A11" w:rsidP="00AF10F3">
      <w:pPr>
        <w:pStyle w:val="ParagraphContinued"/>
      </w:pPr>
      <w:r>
        <w:t xml:space="preserve">The Duration </w:t>
      </w:r>
      <w:proofErr w:type="gramStart"/>
      <w:r>
        <w:t>In</w:t>
      </w:r>
      <w:proofErr w:type="gramEnd"/>
      <w:r>
        <w:t xml:space="preserve"> Years expression returns zero because a full year has not passed between the two dates, but the Difference </w:t>
      </w:r>
      <w:proofErr w:type="gramStart"/>
      <w:r>
        <w:t>In</w:t>
      </w:r>
      <w:proofErr w:type="gramEnd"/>
      <w:r>
        <w:t xml:space="preserve"> Years expression returns 1 because the one-year boundary was crossed between the two truncated dates––2021 and 2022.</w:t>
      </w:r>
      <w:r w:rsidR="00DE0CEC">
        <w:t xml:space="preserve"> Please note that the difference boun</w:t>
      </w:r>
      <w:r w:rsidR="00DE0CEC" w:rsidRPr="006C7729">
        <w:t>dary at</w:t>
      </w:r>
      <w:r w:rsidR="006C7729" w:rsidRPr="006C7729">
        <w:t xml:space="preserve"> </w:t>
      </w:r>
      <w:r w:rsidR="00DE0CEC" w:rsidRPr="006C7729">
        <w:t>da</w:t>
      </w:r>
      <w:r w:rsidR="00DE0CEC">
        <w:t>y precision (</w:t>
      </w:r>
      <w:r w:rsidR="00042323">
        <w:t>that is</w:t>
      </w:r>
      <w:r w:rsidR="00DE0CEC">
        <w:t>, date) is midnight.</w:t>
      </w:r>
    </w:p>
    <w:p w14:paraId="00000148" w14:textId="60AA983F" w:rsidR="00D67C8C" w:rsidRDefault="00AF10F3" w:rsidP="00AF10F3">
      <w:pPr>
        <w:pStyle w:val="H3-Num"/>
      </w:pPr>
      <w:bookmarkStart w:id="232" w:name="_heading=h.2pta16n" w:colFirst="0" w:colLast="0"/>
      <w:bookmarkStart w:id="233" w:name="_Toc3197298"/>
      <w:bookmarkStart w:id="234" w:name="_Toc56635379"/>
      <w:bookmarkStart w:id="235" w:name="_Toc64983071"/>
      <w:bookmarkStart w:id="236" w:name="_Toc159480001"/>
      <w:bookmarkStart w:id="237" w:name="_Toc159578382"/>
      <w:bookmarkStart w:id="238" w:name="_Toc194994754"/>
      <w:bookmarkEnd w:id="232"/>
      <w:r>
        <w:t>2.5.3</w:t>
      </w:r>
      <w:r>
        <w:tab/>
      </w:r>
      <w:r w:rsidR="00C80A11" w:rsidRPr="005E64B8">
        <w:t>Intervals</w:t>
      </w:r>
      <w:bookmarkEnd w:id="233"/>
      <w:bookmarkEnd w:id="234"/>
      <w:bookmarkEnd w:id="235"/>
      <w:bookmarkEnd w:id="236"/>
      <w:bookmarkEnd w:id="237"/>
      <w:bookmarkEnd w:id="238"/>
    </w:p>
    <w:p w14:paraId="00000149" w14:textId="10D7C71A" w:rsidR="00D67C8C" w:rsidRPr="007507F0" w:rsidRDefault="00C80A11" w:rsidP="00AF10F3">
      <w:pPr>
        <w:pStyle w:val="ParagraphContinued"/>
        <w:rPr>
          <w:rFonts w:cs="Times New Roman"/>
        </w:rPr>
      </w:pPr>
      <w:r>
        <w:t>CQL supports intervals of numbers and date or time values using a standard mathematical notation to indicate open and closed. Br</w:t>
      </w:r>
      <w:r w:rsidRPr="007507F0">
        <w:rPr>
          <w:rFonts w:cs="Times New Roman"/>
        </w:rPr>
        <w:t xml:space="preserve">ackets indicate a closed endpoint, and parentheses indicate an open endpoint. An open interval boundary excludes the </w:t>
      </w:r>
      <w:proofErr w:type="gramStart"/>
      <w:r w:rsidRPr="007507F0">
        <w:rPr>
          <w:rFonts w:cs="Times New Roman"/>
        </w:rPr>
        <w:t>endpoint</w:t>
      </w:r>
      <w:proofErr w:type="gramEnd"/>
      <w:r w:rsidRPr="007507F0">
        <w:rPr>
          <w:rFonts w:cs="Times New Roman"/>
        </w:rPr>
        <w:t xml:space="preserve"> and a closed interval boundary includes it. For example, </w:t>
      </w:r>
      <w:r w:rsidR="007507F0" w:rsidRPr="007507F0">
        <w:rPr>
          <w:rFonts w:cs="Times New Roman"/>
        </w:rPr>
        <w:t>“</w:t>
      </w:r>
      <w:proofErr w:type="gramStart"/>
      <w:r w:rsidRPr="007507F0">
        <w:rPr>
          <w:rFonts w:eastAsia="Courier New" w:cs="Times New Roman"/>
          <w:szCs w:val="20"/>
        </w:rPr>
        <w:t>Interval[</w:t>
      </w:r>
      <w:proofErr w:type="gramEnd"/>
      <w:r w:rsidRPr="007507F0">
        <w:rPr>
          <w:rFonts w:eastAsia="Courier New" w:cs="Times New Roman"/>
          <w:szCs w:val="20"/>
        </w:rPr>
        <w:t>5, 10</w:t>
      </w:r>
      <w:r w:rsidR="007507F0" w:rsidRPr="007507F0">
        <w:rPr>
          <w:rFonts w:eastAsia="Courier New" w:cs="Times New Roman"/>
          <w:szCs w:val="20"/>
        </w:rPr>
        <w:t>)”</w:t>
      </w:r>
      <w:r w:rsidR="006C7729" w:rsidRPr="007507F0">
        <w:rPr>
          <w:rFonts w:eastAsia="Courier New" w:cs="Times New Roman"/>
          <w:szCs w:val="20"/>
        </w:rPr>
        <w:t xml:space="preserve"> </w:t>
      </w:r>
      <w:r w:rsidRPr="007507F0">
        <w:rPr>
          <w:rFonts w:cs="Times New Roman"/>
        </w:rPr>
        <w:t xml:space="preserve">includes the point 5 but excludes the point 10. </w:t>
      </w:r>
      <w:r w:rsidR="002626B9">
        <w:rPr>
          <w:rFonts w:cs="Times New Roman"/>
        </w:rPr>
        <w:t xml:space="preserve">For more information, please see </w:t>
      </w:r>
      <w:r w:rsidR="00A6493F">
        <w:rPr>
          <w:rFonts w:cs="Times New Roman"/>
        </w:rPr>
        <w:t xml:space="preserve">'Operating on Intervals' in </w:t>
      </w:r>
      <w:r w:rsidR="002626B9">
        <w:rPr>
          <w:rFonts w:cs="Times New Roman"/>
        </w:rPr>
        <w:t xml:space="preserve">the </w:t>
      </w:r>
      <w:hyperlink r:id="rId76" w:anchor="operating-on-intervals" w:history="1">
        <w:r w:rsidR="002626B9" w:rsidRPr="002626B9">
          <w:rPr>
            <w:rStyle w:val="Hyperlink"/>
            <w:rFonts w:cs="Times New Roman"/>
          </w:rPr>
          <w:t>Author's Guide - Clinical Quality Language Specification v1.5.3</w:t>
        </w:r>
      </w:hyperlink>
      <w:r w:rsidR="002626B9">
        <w:rPr>
          <w:rFonts w:cs="Times New Roman"/>
        </w:rPr>
        <w:t>.</w:t>
      </w:r>
    </w:p>
    <w:p w14:paraId="0000014A" w14:textId="7CA02402" w:rsidR="00D67C8C" w:rsidRDefault="00C80A11" w:rsidP="008F24A0">
      <w:pPr>
        <w:pStyle w:val="Paragraph"/>
      </w:pPr>
      <w:r>
        <w:lastRenderedPageBreak/>
        <w:t>I</w:t>
      </w:r>
      <w:r w:rsidRPr="007507F0">
        <w:rPr>
          <w:rFonts w:cs="Times New Roman"/>
        </w:rPr>
        <w:t xml:space="preserve">ntervals use a set of comparison operators such as </w:t>
      </w:r>
      <w:r w:rsidR="007507F0" w:rsidRPr="007507F0">
        <w:rPr>
          <w:rFonts w:cs="Times New Roman"/>
        </w:rPr>
        <w:t>“</w:t>
      </w:r>
      <w:r w:rsidRPr="007507F0">
        <w:rPr>
          <w:rFonts w:eastAsia="Courier New" w:cs="Times New Roman"/>
          <w:szCs w:val="20"/>
        </w:rPr>
        <w:t>A during B</w:t>
      </w:r>
      <w:r w:rsidRPr="007507F0">
        <w:rPr>
          <w:rFonts w:cs="Times New Roman"/>
        </w:rPr>
        <w:t xml:space="preserve">, </w:t>
      </w:r>
      <w:r w:rsidRPr="007507F0">
        <w:rPr>
          <w:rFonts w:eastAsia="Courier New" w:cs="Times New Roman"/>
          <w:szCs w:val="20"/>
        </w:rPr>
        <w:t>A overlaps B</w:t>
      </w:r>
      <w:r w:rsidR="007507F0" w:rsidRPr="007507F0">
        <w:rPr>
          <w:rFonts w:eastAsia="Courier New" w:cs="Times New Roman"/>
          <w:szCs w:val="20"/>
        </w:rPr>
        <w:t>”</w:t>
      </w:r>
      <w:r w:rsidRPr="007507F0">
        <w:rPr>
          <w:rFonts w:cs="Times New Roman"/>
        </w:rPr>
        <w:t xml:space="preserve">, or </w:t>
      </w:r>
      <w:r w:rsidR="007507F0" w:rsidRPr="007507F0">
        <w:rPr>
          <w:rFonts w:cs="Times New Roman"/>
        </w:rPr>
        <w:t>“</w:t>
      </w:r>
      <w:r w:rsidRPr="007507F0">
        <w:rPr>
          <w:rFonts w:eastAsia="Courier New" w:cs="Times New Roman"/>
          <w:szCs w:val="20"/>
        </w:rPr>
        <w:t>A includes B</w:t>
      </w:r>
      <w:r w:rsidRPr="007507F0">
        <w:rPr>
          <w:rFonts w:cs="Times New Roman"/>
        </w:rPr>
        <w:t>.</w:t>
      </w:r>
      <w:r w:rsidR="007507F0" w:rsidRPr="007507F0">
        <w:rPr>
          <w:rFonts w:cs="Times New Roman"/>
        </w:rPr>
        <w:t>”</w:t>
      </w:r>
      <w:r w:rsidRPr="007507F0">
        <w:rPr>
          <w:rFonts w:cs="Times New Roman"/>
        </w:rPr>
        <w:t xml:space="preserve"> Precise relationships between intervals use natural language timing phrases such as </w:t>
      </w:r>
      <w:r w:rsidR="007507F0" w:rsidRPr="007507F0">
        <w:rPr>
          <w:rFonts w:cs="Times New Roman"/>
        </w:rPr>
        <w:t>“</w:t>
      </w:r>
      <w:r w:rsidRPr="007507F0">
        <w:rPr>
          <w:rFonts w:eastAsia="Courier New" w:cs="Times New Roman"/>
          <w:szCs w:val="20"/>
        </w:rPr>
        <w:t>A starts before start B</w:t>
      </w:r>
      <w:r w:rsidR="007507F0" w:rsidRPr="007507F0">
        <w:rPr>
          <w:rFonts w:eastAsia="Courier New" w:cs="Times New Roman"/>
          <w:szCs w:val="20"/>
        </w:rPr>
        <w:t>”</w:t>
      </w:r>
      <w:r w:rsidRPr="007507F0">
        <w:rPr>
          <w:rFonts w:eastAsia="Courier New" w:cs="Times New Roman"/>
          <w:szCs w:val="20"/>
        </w:rPr>
        <w:t xml:space="preserve"> </w:t>
      </w:r>
      <w:r w:rsidRPr="007507F0">
        <w:rPr>
          <w:rFonts w:cs="Times New Roman"/>
        </w:rPr>
        <w:t xml:space="preserve">or </w:t>
      </w:r>
      <w:r w:rsidR="007507F0" w:rsidRPr="007507F0">
        <w:rPr>
          <w:rFonts w:cs="Times New Roman"/>
        </w:rPr>
        <w:t>“</w:t>
      </w:r>
      <w:r w:rsidRPr="007507F0">
        <w:rPr>
          <w:rFonts w:eastAsia="Courier New" w:cs="Times New Roman"/>
          <w:szCs w:val="20"/>
        </w:rPr>
        <w:t>A starts 1 day or less after end B</w:t>
      </w:r>
      <w:r w:rsidRPr="007507F0">
        <w:rPr>
          <w:rFonts w:cs="Times New Roman"/>
        </w:rPr>
        <w:t>.</w:t>
      </w:r>
      <w:r w:rsidR="007507F0" w:rsidRPr="007507F0">
        <w:rPr>
          <w:rFonts w:cs="Times New Roman"/>
        </w:rPr>
        <w:t>”</w:t>
      </w:r>
    </w:p>
    <w:bookmarkEnd w:id="17"/>
    <w:bookmarkEnd w:id="18"/>
    <w:bookmarkEnd w:id="19"/>
    <w:bookmarkEnd w:id="20"/>
    <w:bookmarkEnd w:id="21"/>
    <w:p w14:paraId="0000014B" w14:textId="0FC5A590" w:rsidR="00D67C8C" w:rsidRDefault="00C80A11" w:rsidP="008F24A0">
      <w:pPr>
        <w:pStyle w:val="Paragraph"/>
        <w:sectPr w:rsidR="00D67C8C">
          <w:headerReference w:type="even" r:id="rId77"/>
          <w:headerReference w:type="default" r:id="rId78"/>
          <w:footerReference w:type="default" r:id="rId79"/>
          <w:headerReference w:type="first" r:id="rId80"/>
          <w:footerReference w:type="first" r:id="rId81"/>
          <w:pgSz w:w="12240" w:h="15840"/>
          <w:pgMar w:top="1440" w:right="1440" w:bottom="1440" w:left="1440" w:header="504" w:footer="504" w:gutter="0"/>
          <w:cols w:space="720"/>
          <w:titlePg/>
        </w:sectPr>
      </w:pPr>
      <w:r>
        <w:t>The unit expressing a time interval or its duration could depend on the necessary level of accuracy for the purposes of measurement</w:t>
      </w:r>
      <w:r w:rsidR="00AE0055">
        <w:t>. Measure developers</w:t>
      </w:r>
      <w:r w:rsidR="0028120A">
        <w:t xml:space="preserve"> </w:t>
      </w:r>
      <w:r>
        <w:t xml:space="preserve">select the time unit to use according to the level of granularity required to meet the intent of the measure. </w:t>
      </w:r>
    </w:p>
    <w:p w14:paraId="0000014C" w14:textId="7569AB1B" w:rsidR="00D67C8C" w:rsidRDefault="0032379B" w:rsidP="0032379B">
      <w:pPr>
        <w:pStyle w:val="H1-Num"/>
      </w:pPr>
      <w:bookmarkStart w:id="239" w:name="_heading=h.14ykbeg" w:colFirst="0" w:colLast="0"/>
      <w:bookmarkStart w:id="240" w:name="_Toc446948760"/>
      <w:bookmarkStart w:id="241" w:name="_Toc23176753"/>
      <w:bookmarkStart w:id="242" w:name="_Toc56635380"/>
      <w:bookmarkStart w:id="243" w:name="_Toc64983072"/>
      <w:bookmarkStart w:id="244" w:name="_Toc159578383"/>
      <w:bookmarkStart w:id="245" w:name="_Toc194959008"/>
      <w:bookmarkStart w:id="246" w:name="_Toc194994755"/>
      <w:bookmarkEnd w:id="239"/>
      <w:r>
        <w:lastRenderedPageBreak/>
        <w:t>3.</w:t>
      </w:r>
      <w:r>
        <w:tab/>
      </w:r>
      <w:r w:rsidR="00C80A11" w:rsidRPr="005E64B8">
        <w:t>Data Elements and Value Sets</w:t>
      </w:r>
      <w:bookmarkEnd w:id="240"/>
      <w:bookmarkEnd w:id="241"/>
      <w:bookmarkEnd w:id="242"/>
      <w:bookmarkEnd w:id="243"/>
      <w:bookmarkEnd w:id="244"/>
      <w:bookmarkEnd w:id="245"/>
      <w:bookmarkEnd w:id="246"/>
    </w:p>
    <w:p w14:paraId="0000014D" w14:textId="4FAAE7D6" w:rsidR="00D67C8C" w:rsidRDefault="00C80A11" w:rsidP="0032379B">
      <w:pPr>
        <w:pStyle w:val="ParagraphContinued"/>
      </w:pPr>
      <w:bookmarkStart w:id="247" w:name="_heading=h.3oy7u29" w:colFirst="0" w:colLast="0"/>
      <w:bookmarkStart w:id="248" w:name="_Toc56635381"/>
      <w:bookmarkStart w:id="249" w:name="_Toc64983073"/>
      <w:bookmarkEnd w:id="247"/>
      <w:r>
        <w:t xml:space="preserve">eCQMs build data elements from the </w:t>
      </w:r>
      <w:r w:rsidR="00D2731E">
        <w:t xml:space="preserve">category, </w:t>
      </w:r>
      <w:r>
        <w:t xml:space="preserve">datatypes and attributes in the QDM. Additional reference material can be found at </w:t>
      </w:r>
      <w:hyperlink r:id="rId82">
        <w:r>
          <w:rPr>
            <w:color w:val="0563C1"/>
            <w:u w:val="single"/>
          </w:rPr>
          <w:t xml:space="preserve">QDM </w:t>
        </w:r>
        <w:r w:rsidR="006C7729">
          <w:rPr>
            <w:color w:val="0563C1"/>
            <w:u w:val="single"/>
          </w:rPr>
          <w:t>-</w:t>
        </w:r>
        <w:r>
          <w:rPr>
            <w:color w:val="0563C1"/>
            <w:u w:val="single"/>
          </w:rPr>
          <w:t xml:space="preserve"> Quality Data Model</w:t>
        </w:r>
      </w:hyperlink>
      <w:r>
        <w:t xml:space="preserve"> section of the eCQI Resource Center. </w:t>
      </w:r>
    </w:p>
    <w:p w14:paraId="0000014E" w14:textId="090B1415" w:rsidR="00D67C8C" w:rsidRDefault="0032379B" w:rsidP="0032379B">
      <w:pPr>
        <w:pStyle w:val="H2-Num"/>
      </w:pPr>
      <w:bookmarkStart w:id="250" w:name="_heading=h.243i4a2" w:colFirst="0" w:colLast="0"/>
      <w:bookmarkStart w:id="251" w:name="_Toc159578384"/>
      <w:bookmarkStart w:id="252" w:name="_Toc194959009"/>
      <w:bookmarkStart w:id="253" w:name="_Toc194994756"/>
      <w:bookmarkEnd w:id="250"/>
      <w:r>
        <w:rPr>
          <w:rFonts w:eastAsia="Arial Narrow"/>
        </w:rPr>
        <w:t>3.1</w:t>
      </w:r>
      <w:r>
        <w:rPr>
          <w:rFonts w:eastAsia="Arial Narrow"/>
        </w:rPr>
        <w:tab/>
      </w:r>
      <w:r w:rsidR="00C80A11" w:rsidRPr="005E64B8">
        <w:rPr>
          <w:rFonts w:eastAsia="Arial Narrow"/>
        </w:rPr>
        <w:t>eCQM Data Element Repository</w:t>
      </w:r>
      <w:bookmarkEnd w:id="251"/>
      <w:bookmarkEnd w:id="252"/>
      <w:bookmarkEnd w:id="253"/>
      <w:r w:rsidR="00C80A11" w:rsidRPr="005E64B8">
        <w:rPr>
          <w:rFonts w:eastAsia="Arial Narrow"/>
        </w:rPr>
        <w:t xml:space="preserve"> </w:t>
      </w:r>
      <w:bookmarkEnd w:id="248"/>
      <w:bookmarkEnd w:id="249"/>
    </w:p>
    <w:p w14:paraId="0000014F" w14:textId="320E067A" w:rsidR="00D67C8C" w:rsidRDefault="00C80A11" w:rsidP="0032379B">
      <w:pPr>
        <w:pStyle w:val="ParagraphContinued"/>
      </w:pPr>
      <w:r>
        <w:rPr>
          <w:color w:val="242424"/>
          <w:highlight w:val="white"/>
        </w:rPr>
        <w:t xml:space="preserve">The </w:t>
      </w:r>
      <w:hyperlink r:id="rId83">
        <w:r>
          <w:rPr>
            <w:color w:val="0563C1"/>
            <w:highlight w:val="white"/>
            <w:u w:val="single"/>
          </w:rPr>
          <w:t>eCQM Data Element Repository (DERep)</w:t>
        </w:r>
      </w:hyperlink>
      <w:hyperlink r:id="rId84">
        <w:r>
          <w:rPr>
            <w:color w:val="0563C1"/>
            <w:highlight w:val="white"/>
          </w:rPr>
          <w:t> </w:t>
        </w:r>
      </w:hyperlink>
      <w:r w:rsidRPr="005E64B8">
        <w:rPr>
          <w:color w:val="242424"/>
          <w:highlight w:val="white"/>
        </w:rPr>
        <w:t>provides additional clarification for all data elements associated with published and tested eCQMs used in CMS quality reporting programs, along with the definitions and clinical focus for each data element. An end user can filter information by data element, eCQM, </w:t>
      </w:r>
      <w:hyperlink r:id="rId85">
        <w:r>
          <w:rPr>
            <w:color w:val="0563C1"/>
            <w:highlight w:val="white"/>
            <w:u w:val="single"/>
          </w:rPr>
          <w:t>QDM attribute</w:t>
        </w:r>
      </w:hyperlink>
      <w:r w:rsidRPr="005E64B8">
        <w:rPr>
          <w:color w:val="242424"/>
          <w:highlight w:val="white"/>
        </w:rPr>
        <w:t>, </w:t>
      </w:r>
      <w:hyperlink r:id="rId86">
        <w:r>
          <w:rPr>
            <w:color w:val="0563C1"/>
            <w:highlight w:val="white"/>
            <w:u w:val="single"/>
          </w:rPr>
          <w:t>QDM category</w:t>
        </w:r>
      </w:hyperlink>
      <w:r w:rsidRPr="005E64B8">
        <w:rPr>
          <w:color w:val="242424"/>
          <w:highlight w:val="white"/>
        </w:rPr>
        <w:t>, </w:t>
      </w:r>
      <w:hyperlink r:id="rId87">
        <w:r>
          <w:rPr>
            <w:color w:val="0563C1"/>
            <w:highlight w:val="white"/>
            <w:u w:val="single"/>
          </w:rPr>
          <w:t>QDM datatype</w:t>
        </w:r>
      </w:hyperlink>
      <w:r w:rsidRPr="005E64B8">
        <w:rPr>
          <w:color w:val="000000"/>
          <w:highlight w:val="white"/>
        </w:rPr>
        <w:t xml:space="preserve">, or </w:t>
      </w:r>
      <w:hyperlink r:id="rId88">
        <w:r>
          <w:rPr>
            <w:color w:val="0563C1"/>
            <w:highlight w:val="white"/>
            <w:u w:val="single"/>
          </w:rPr>
          <w:t>QDM entities</w:t>
        </w:r>
      </w:hyperlink>
      <w:r w:rsidRPr="005E64B8">
        <w:rPr>
          <w:color w:val="242424"/>
          <w:highlight w:val="white"/>
        </w:rPr>
        <w:t>.</w:t>
      </w:r>
    </w:p>
    <w:p w14:paraId="00000150" w14:textId="16D81AA0" w:rsidR="00D67C8C" w:rsidRDefault="0032379B" w:rsidP="0032379B">
      <w:pPr>
        <w:pStyle w:val="H2-Num"/>
      </w:pPr>
      <w:bookmarkStart w:id="254" w:name="_heading=h.j8sehv" w:colFirst="0" w:colLast="0"/>
      <w:bookmarkStart w:id="255" w:name="_Toc23176754"/>
      <w:bookmarkStart w:id="256" w:name="_Toc56635382"/>
      <w:bookmarkStart w:id="257" w:name="_Toc64983074"/>
      <w:bookmarkStart w:id="258" w:name="_Toc159578385"/>
      <w:bookmarkStart w:id="259" w:name="_Toc194959010"/>
      <w:bookmarkStart w:id="260" w:name="_Toc194994757"/>
      <w:bookmarkEnd w:id="254"/>
      <w:r>
        <w:rPr>
          <w:rFonts w:eastAsia="Arial Narrow"/>
        </w:rPr>
        <w:t>3.2</w:t>
      </w:r>
      <w:r>
        <w:rPr>
          <w:rFonts w:eastAsia="Arial Narrow"/>
        </w:rPr>
        <w:tab/>
      </w:r>
      <w:r w:rsidR="00C80A11" w:rsidRPr="005E64B8">
        <w:rPr>
          <w:rFonts w:eastAsia="Arial Narrow"/>
        </w:rPr>
        <w:t>Value Set Location and Tools</w:t>
      </w:r>
      <w:bookmarkEnd w:id="255"/>
      <w:bookmarkEnd w:id="256"/>
      <w:bookmarkEnd w:id="257"/>
      <w:bookmarkEnd w:id="258"/>
      <w:bookmarkEnd w:id="259"/>
      <w:bookmarkEnd w:id="260"/>
    </w:p>
    <w:p w14:paraId="00000151" w14:textId="75370304" w:rsidR="00D67C8C" w:rsidRDefault="00C80A11" w:rsidP="0032379B">
      <w:pPr>
        <w:pStyle w:val="ParagraphContinued"/>
        <w:rPr>
          <w:color w:val="000000"/>
        </w:rPr>
      </w:pPr>
      <w:r>
        <w:t xml:space="preserve">Value sets are lists of unique coded identifiers with names, called descriptors, for groupings of clinical and administrative concepts selected from standard </w:t>
      </w:r>
      <w:r w:rsidR="0074761F">
        <w:t>code systems</w:t>
      </w:r>
      <w:r>
        <w:t>. They serve to define a set of concepts</w:t>
      </w:r>
      <w:r w:rsidR="007A4A8E">
        <w:t xml:space="preserve"> (</w:t>
      </w:r>
      <w:r>
        <w:t xml:space="preserve">for example, </w:t>
      </w:r>
      <w:r w:rsidR="00A6493F">
        <w:t>"</w:t>
      </w:r>
      <w:r>
        <w:t>diabetes</w:t>
      </w:r>
      <w:r w:rsidR="00A6493F">
        <w:t>"</w:t>
      </w:r>
      <w:r>
        <w:t xml:space="preserve"> or </w:t>
      </w:r>
      <w:r w:rsidR="00A6493F">
        <w:t>"</w:t>
      </w:r>
      <w:r>
        <w:t>clinical visit</w:t>
      </w:r>
      <w:r w:rsidR="00A6493F">
        <w:t>"</w:t>
      </w:r>
      <w:r w:rsidR="007A4A8E">
        <w:t>)</w:t>
      </w:r>
      <w:r>
        <w:t xml:space="preserve"> identifying selected populations and satisfy</w:t>
      </w:r>
      <w:r w:rsidR="00515757">
        <w:t>ing</w:t>
      </w:r>
      <w:r>
        <w:t xml:space="preserve"> measure criteria in eCQMs. Value sets can be found at the </w:t>
      </w:r>
      <w:hyperlink r:id="rId89">
        <w:r>
          <w:rPr>
            <w:color w:val="0563C1"/>
            <w:u w:val="single"/>
          </w:rPr>
          <w:t>Value Set Authority Center (VSAC)</w:t>
        </w:r>
      </w:hyperlink>
      <w:r>
        <w:t>, which is maintained by the National Library of Medicine</w:t>
      </w:r>
      <w:r w:rsidR="00E77CC6">
        <w:t xml:space="preserve"> (NLM)</w:t>
      </w:r>
      <w:r>
        <w:t xml:space="preserve"> in collaboration with CMS. The VSAC provides access to all official versions of value set content contained in the eCQM specifications. The value sets used in eCQMs and available in the VSAC can either directly contain code system members or reference other value sets, </w:t>
      </w:r>
      <w:r w:rsidR="00A6493F">
        <w:t>called</w:t>
      </w:r>
      <w:r>
        <w:t xml:space="preserve"> a grouping value set. The VSAC also provides value set authoring capabilities for registered value set authors and updates value set content based on each new version of the underlying code systems, such as Current Procedural Terminology (CPT), International Classification of Diseases, Tenth Revision, Clinical Modification (ICD-10-CM), Systematized Nomenclature of Medicine–Clinical Terms (SNOMED CT), or Logical Observation Identifiers Names and Codes (LOINC) used in value sets. </w:t>
      </w:r>
    </w:p>
    <w:p w14:paraId="00000152" w14:textId="731FA9D2" w:rsidR="00D67C8C" w:rsidRDefault="00C80A11" w:rsidP="0032379B">
      <w:pPr>
        <w:pStyle w:val="Paragraph"/>
      </w:pPr>
      <w:r>
        <w:t xml:space="preserve">The </w:t>
      </w:r>
      <w:r w:rsidR="005C7F04">
        <w:t>NLM</w:t>
      </w:r>
      <w:r>
        <w:t xml:space="preserve"> has an application programming interface (API) to the VSAC content in addition to a web interface. The API documentation is available on the VSA</w:t>
      </w:r>
      <w:r w:rsidRPr="00DB4AFC">
        <w:t xml:space="preserve">C </w:t>
      </w:r>
      <w:r w:rsidR="00DB4AFC" w:rsidRPr="00DB4AFC">
        <w:t xml:space="preserve">on the </w:t>
      </w:r>
      <w:hyperlink r:id="rId90" w:history="1">
        <w:r w:rsidR="00DB4AFC" w:rsidRPr="00DB4AFC">
          <w:rPr>
            <w:rStyle w:val="cf01"/>
            <w:rFonts w:ascii="Times New Roman" w:hAnsi="Times New Roman" w:cs="Times New Roman"/>
            <w:color w:val="0000FF"/>
            <w:sz w:val="24"/>
            <w:szCs w:val="24"/>
            <w:u w:val="single"/>
          </w:rPr>
          <w:t>VSAC API Resources</w:t>
        </w:r>
      </w:hyperlink>
      <w:r w:rsidR="00DB4AFC" w:rsidRPr="00DB4AFC">
        <w:t xml:space="preserve"> page</w:t>
      </w:r>
      <w:r>
        <w:t xml:space="preserve">. </w:t>
      </w:r>
    </w:p>
    <w:p w14:paraId="00000153" w14:textId="244A3F0C" w:rsidR="00D67C8C" w:rsidRDefault="00C80A11" w:rsidP="0032379B">
      <w:pPr>
        <w:pStyle w:val="Paragraph"/>
      </w:pPr>
      <w:r>
        <w:t xml:space="preserve">The VSAC also links to </w:t>
      </w:r>
      <w:hyperlink r:id="rId91" w:history="1">
        <w:r w:rsidRPr="007507F0">
          <w:rPr>
            <w:rStyle w:val="Hyperlink"/>
          </w:rPr>
          <w:t>downloadable value set content</w:t>
        </w:r>
      </w:hyperlink>
      <w:r>
        <w:t xml:space="preserve"> used in current and previous eCQM release sets. These downloads are in both Excel and sharing value sets-compliant </w:t>
      </w:r>
      <w:r w:rsidR="002A6FA8">
        <w:t xml:space="preserve">Extensible </w:t>
      </w:r>
      <w:r>
        <w:t xml:space="preserve">Markup Language (XML) for all </w:t>
      </w:r>
      <w:r w:rsidR="003E34B9">
        <w:t>hospital</w:t>
      </w:r>
      <w:r w:rsidR="00F56868">
        <w:t xml:space="preserve"> </w:t>
      </w:r>
      <w:r w:rsidR="00672BF5">
        <w:t>-</w:t>
      </w:r>
      <w:r w:rsidR="0063185B">
        <w:t xml:space="preserve"> </w:t>
      </w:r>
      <w:r w:rsidR="00F56868">
        <w:t>i</w:t>
      </w:r>
      <w:r w:rsidR="0063185B">
        <w:t>npatient</w:t>
      </w:r>
      <w:r>
        <w:t xml:space="preserve">, </w:t>
      </w:r>
      <w:r w:rsidR="007A5E49">
        <w:t xml:space="preserve">hospital </w:t>
      </w:r>
      <w:r w:rsidR="00672BF5">
        <w:t>-</w:t>
      </w:r>
      <w:r w:rsidR="007A5E49">
        <w:t xml:space="preserve"> </w:t>
      </w:r>
      <w:r w:rsidR="0063185B">
        <w:t>outpatient</w:t>
      </w:r>
      <w:r>
        <w:t xml:space="preserve">, and eligible clinician </w:t>
      </w:r>
      <w:r w:rsidR="007507F0">
        <w:t xml:space="preserve">eCQM </w:t>
      </w:r>
      <w:r>
        <w:t xml:space="preserve">value sets. </w:t>
      </w:r>
    </w:p>
    <w:p w14:paraId="00000154" w14:textId="77777777" w:rsidR="00D67C8C" w:rsidRDefault="00C80A11" w:rsidP="0032379B">
      <w:pPr>
        <w:pStyle w:val="Paragraph"/>
      </w:pPr>
      <w:r>
        <w:t xml:space="preserve">The downloadable files include a column indicating the QDM category represented by each value set. For value sets used exclusively to express QDM attributes, the QDM category column is blank because more than one QDM category may use an attribute. </w:t>
      </w:r>
    </w:p>
    <w:p w14:paraId="00000155" w14:textId="77777777" w:rsidR="00D67C8C" w:rsidRDefault="00C80A11" w:rsidP="0032379B">
      <w:pPr>
        <w:pStyle w:val="Paragraph"/>
      </w:pPr>
      <w:r>
        <w:t xml:space="preserve">The value set spreadsheets do not include the direct reference codes used in eCQMs. To obtain a separate listing of those codes, users must select the “Direct Reference Codes Specified within eCQM HQMF files Published </w:t>
      </w:r>
      <w:r>
        <w:rPr>
          <w:i/>
        </w:rPr>
        <w:t>Month DD, YYYY</w:t>
      </w:r>
      <w:r>
        <w:t>.”</w:t>
      </w:r>
    </w:p>
    <w:p w14:paraId="00000156" w14:textId="77777777" w:rsidR="00D67C8C" w:rsidRDefault="00C80A11" w:rsidP="00DC5BA2">
      <w:pPr>
        <w:pStyle w:val="Paragraph"/>
        <w:keepNext/>
        <w:keepLines/>
      </w:pPr>
      <w:r>
        <w:lastRenderedPageBreak/>
        <w:t>The VSAC provides three additional resources:</w:t>
      </w:r>
    </w:p>
    <w:p w14:paraId="00000157" w14:textId="77777777" w:rsidR="00D67C8C" w:rsidRDefault="00C80A11" w:rsidP="0032379B">
      <w:pPr>
        <w:pStyle w:val="ListBullet"/>
      </w:pPr>
      <w:bookmarkStart w:id="261" w:name="_heading=h.338fx5o" w:colFirst="0" w:colLast="0"/>
      <w:bookmarkEnd w:id="261"/>
      <w:r w:rsidRPr="005E64B8">
        <w:t xml:space="preserve">The </w:t>
      </w:r>
      <w:bookmarkStart w:id="262" w:name="_Hlk31973016"/>
      <w:r w:rsidRPr="005E64B8">
        <w:t>binding parameter specification</w:t>
      </w:r>
      <w:bookmarkEnd w:id="262"/>
      <w:r w:rsidRPr="005E64B8">
        <w:t xml:space="preserve"> documents the information used to create the value set expansions made available for an annual release or addendum. The binding parameter specification contains the code system version, the value set definition version, and the expansion profile information used to create each of the value set expansions included in the annual release, sorted by measure and QDM datatype. </w:t>
      </w:r>
    </w:p>
    <w:p w14:paraId="00000158" w14:textId="77777777" w:rsidR="00D67C8C" w:rsidRDefault="00C80A11" w:rsidP="0032379B">
      <w:pPr>
        <w:pStyle w:val="ListBullet"/>
      </w:pPr>
      <w:r w:rsidRPr="005E64B8">
        <w:t>A list of retired and legacy codes in eCQM value sets published in a value set release.</w:t>
      </w:r>
    </w:p>
    <w:p w14:paraId="00000159" w14:textId="77777777" w:rsidR="00D67C8C" w:rsidRDefault="00C80A11" w:rsidP="0032379B">
      <w:pPr>
        <w:pStyle w:val="ListBullet"/>
      </w:pPr>
      <w:r w:rsidRPr="005E64B8">
        <w:t>A list of the code system versions used in eCQM value sets published in a value set release.</w:t>
      </w:r>
    </w:p>
    <w:p w14:paraId="0000015A" w14:textId="5FFD2677" w:rsidR="00D67C8C" w:rsidRDefault="00C80A11" w:rsidP="0032379B">
      <w:pPr>
        <w:pStyle w:val="ParagraphContinued"/>
      </w:pPr>
      <w:r>
        <w:t xml:space="preserve">Access to value set details in VSAC requires a free </w:t>
      </w:r>
      <w:hyperlink r:id="rId92">
        <w:r>
          <w:rPr>
            <w:color w:val="0563C1"/>
            <w:u w:val="single"/>
          </w:rPr>
          <w:t>Unified Medical Language System</w:t>
        </w:r>
      </w:hyperlink>
      <w:hyperlink r:id="rId93">
        <w:r>
          <w:rPr>
            <w:color w:val="0563C1"/>
            <w:u w:val="single"/>
            <w:vertAlign w:val="superscript"/>
          </w:rPr>
          <w:t>®</w:t>
        </w:r>
      </w:hyperlink>
      <w:hyperlink r:id="rId94">
        <w:r>
          <w:rPr>
            <w:color w:val="0563C1"/>
            <w:u w:val="single"/>
          </w:rPr>
          <w:t xml:space="preserve"> </w:t>
        </w:r>
        <w:proofErr w:type="spellStart"/>
        <w:r>
          <w:rPr>
            <w:color w:val="0563C1"/>
            <w:u w:val="single"/>
          </w:rPr>
          <w:t>Metathesaurus</w:t>
        </w:r>
        <w:proofErr w:type="spellEnd"/>
        <w:r>
          <w:rPr>
            <w:color w:val="0563C1"/>
            <w:u w:val="single"/>
          </w:rPr>
          <w:t xml:space="preserve"> License</w:t>
        </w:r>
      </w:hyperlink>
      <w:r>
        <w:t>. Any use of value sets must be consistent with the licensing requirements and copyright protections covered by this license.</w:t>
      </w:r>
    </w:p>
    <w:p w14:paraId="0000015B" w14:textId="475BC302" w:rsidR="00D67C8C" w:rsidRDefault="0032379B" w:rsidP="0032379B">
      <w:pPr>
        <w:pStyle w:val="H2-Num"/>
      </w:pPr>
      <w:bookmarkStart w:id="263" w:name="_heading=h.1idq7dh" w:colFirst="0" w:colLast="0"/>
      <w:bookmarkStart w:id="264" w:name="_Toc91742245"/>
      <w:bookmarkStart w:id="265" w:name="_Toc91742246"/>
      <w:bookmarkStart w:id="266" w:name="_Toc91742247"/>
      <w:bookmarkStart w:id="267" w:name="_Toc23176755"/>
      <w:bookmarkStart w:id="268" w:name="_Toc56635383"/>
      <w:bookmarkStart w:id="269" w:name="_Toc64983075"/>
      <w:bookmarkStart w:id="270" w:name="_Toc159578386"/>
      <w:bookmarkStart w:id="271" w:name="_Toc194959011"/>
      <w:bookmarkStart w:id="272" w:name="_Toc194994758"/>
      <w:bookmarkStart w:id="273" w:name="_Toc446948761"/>
      <w:bookmarkEnd w:id="263"/>
      <w:bookmarkEnd w:id="264"/>
      <w:bookmarkEnd w:id="265"/>
      <w:bookmarkEnd w:id="266"/>
      <w:r>
        <w:rPr>
          <w:rFonts w:eastAsia="Arial Narrow"/>
        </w:rPr>
        <w:t>3.3</w:t>
      </w:r>
      <w:r>
        <w:rPr>
          <w:rFonts w:eastAsia="Arial Narrow"/>
        </w:rPr>
        <w:tab/>
      </w:r>
      <w:r w:rsidR="00C80A11" w:rsidRPr="005E64B8">
        <w:rPr>
          <w:rFonts w:eastAsia="Arial Narrow"/>
        </w:rPr>
        <w:t>Direct Reference Codes</w:t>
      </w:r>
      <w:bookmarkEnd w:id="267"/>
      <w:bookmarkEnd w:id="268"/>
      <w:bookmarkEnd w:id="269"/>
      <w:bookmarkEnd w:id="270"/>
      <w:bookmarkEnd w:id="271"/>
      <w:bookmarkEnd w:id="272"/>
    </w:p>
    <w:p w14:paraId="0000015C" w14:textId="5A7B96A7" w:rsidR="00D67C8C" w:rsidRDefault="00C80A11" w:rsidP="0032379B">
      <w:pPr>
        <w:pStyle w:val="ParagraphContinued"/>
      </w:pPr>
      <w:r>
        <w:t>A direct reference code</w:t>
      </w:r>
      <w:r w:rsidR="00A6493F">
        <w:t xml:space="preserve"> is a single code identified in the measure itself that</w:t>
      </w:r>
      <w:r>
        <w:t xml:space="preserve"> specifies QDM data elements in measure logic rather than </w:t>
      </w:r>
      <w:r w:rsidR="00A6493F">
        <w:t xml:space="preserve">utilizing </w:t>
      </w:r>
      <w:r>
        <w:t xml:space="preserve">single-code value sets. The use of direct reference codes prevents using an alternative identifier for a code system concept and eliminates additional implementation work to unpack the value set. These codes display directly within the measure logic and in the </w:t>
      </w:r>
      <w:r w:rsidR="0085645E">
        <w:t>T</w:t>
      </w:r>
      <w:r>
        <w:t xml:space="preserve">erminology section of the HQMF. Some value sets containing only one code, however, </w:t>
      </w:r>
      <w:r w:rsidR="00427189">
        <w:t>are appropriate</w:t>
      </w:r>
      <w:r>
        <w:t xml:space="preserve"> in the following circumstances:</w:t>
      </w:r>
    </w:p>
    <w:p w14:paraId="0000015D" w14:textId="77777777" w:rsidR="00D67C8C" w:rsidRDefault="00C80A11" w:rsidP="0032379B">
      <w:pPr>
        <w:pStyle w:val="ListBullet"/>
      </w:pPr>
      <w:r w:rsidRPr="005E64B8">
        <w:t>When authoring a value set, only one code exists but there is a reasonable expectation the measure developer may consider additional codes added to the terminology to represent the intent of the value set.</w:t>
      </w:r>
    </w:p>
    <w:p w14:paraId="0000015E" w14:textId="77777777" w:rsidR="00D67C8C" w:rsidRDefault="00C80A11" w:rsidP="0032379B">
      <w:pPr>
        <w:pStyle w:val="ListBullet"/>
      </w:pPr>
      <w:r w:rsidRPr="005E64B8">
        <w:t>A value set initially contained multiple codes, but all except one was retired by the code system or systems. Because the measure might have to allow look-back, the value set remains valid with only one active code.</w:t>
      </w:r>
    </w:p>
    <w:p w14:paraId="0000015F" w14:textId="04DF054D" w:rsidR="00D67C8C" w:rsidRDefault="00C80A11" w:rsidP="0032379B">
      <w:pPr>
        <w:pStyle w:val="ParagraphContinued"/>
      </w:pPr>
      <w:r>
        <w:t xml:space="preserve">As shown in Figures </w:t>
      </w:r>
      <w:r w:rsidR="008D6C9A">
        <w:t>3</w:t>
      </w:r>
      <w:r>
        <w:t xml:space="preserve">.1 and </w:t>
      </w:r>
      <w:r w:rsidR="008D6C9A">
        <w:t>3</w:t>
      </w:r>
      <w:r>
        <w:t>.2, direct reference codes are found in</w:t>
      </w:r>
      <w:r w:rsidR="00CE60B3">
        <w:t xml:space="preserve"> </w:t>
      </w:r>
      <w:hyperlink r:id="rId95" w:history="1">
        <w:r w:rsidR="00DB3054" w:rsidRPr="00400330">
          <w:rPr>
            <w:rStyle w:val="Hyperlink"/>
          </w:rPr>
          <w:t>CMS124v14, Cervical Cancer Screening</w:t>
        </w:r>
      </w:hyperlink>
      <w:r>
        <w:rPr>
          <w:i/>
        </w:rPr>
        <w:t xml:space="preserve">, </w:t>
      </w:r>
      <w:r>
        <w:t xml:space="preserve">in </w:t>
      </w:r>
      <w:r w:rsidR="00427189">
        <w:t>which individual codes</w:t>
      </w:r>
      <w:r w:rsidR="00427189" w:rsidRPr="00427189">
        <w:t xml:space="preserve"> within the CQL logic reference discharge to home for hospice care, discharge to healthcare facility for hospice care, hospice care assessment, and a yes response to an assessment. The measure’s Terminology section list</w:t>
      </w:r>
      <w:r w:rsidR="005C7F04">
        <w:t>s</w:t>
      </w:r>
      <w:r w:rsidR="00427189" w:rsidRPr="00427189">
        <w:t xml:space="preserve"> each of these codes</w:t>
      </w:r>
      <w:r>
        <w:t>.</w:t>
      </w:r>
    </w:p>
    <w:p w14:paraId="00000160" w14:textId="48315542" w:rsidR="00D67C8C" w:rsidRDefault="00C80A11" w:rsidP="00DC5BA2">
      <w:pPr>
        <w:pStyle w:val="FigureTitle"/>
      </w:pPr>
      <w:bookmarkStart w:id="274" w:name="_Toc159578079"/>
      <w:bookmarkStart w:id="275" w:name="_Toc195002005"/>
      <w:r w:rsidRPr="0029452B">
        <w:lastRenderedPageBreak/>
        <w:t xml:space="preserve">Figure </w:t>
      </w:r>
      <w:r w:rsidR="008D6C9A" w:rsidRPr="0029452B">
        <w:t>3</w:t>
      </w:r>
      <w:r w:rsidRPr="0029452B">
        <w:t>.1. Direct Reference Codes</w:t>
      </w:r>
      <w:bookmarkEnd w:id="274"/>
      <w:bookmarkEnd w:id="275"/>
    </w:p>
    <w:tbl>
      <w:tblPr>
        <w:tblStyle w:val="GrayCell"/>
        <w:tblW w:w="936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Look w:val="04A0" w:firstRow="1" w:lastRow="0" w:firstColumn="1" w:lastColumn="0" w:noHBand="0" w:noVBand="1"/>
      </w:tblPr>
      <w:tblGrid>
        <w:gridCol w:w="9360"/>
      </w:tblGrid>
      <w:tr w:rsidR="00F458F8" w14:paraId="25368CCF" w14:textId="77777777">
        <w:tc>
          <w:tcPr>
            <w:tcW w:w="5000" w:type="pct"/>
            <w:shd w:val="clear" w:color="auto" w:fill="auto"/>
          </w:tcPr>
          <w:p w14:paraId="691678F2" w14:textId="77777777" w:rsidR="00F458F8" w:rsidRPr="005E64B8" w:rsidRDefault="00F458F8" w:rsidP="00DC5BA2">
            <w:pPr>
              <w:pStyle w:val="FigureHeader"/>
              <w:keepNext/>
              <w:keepLines/>
              <w:rPr>
                <w:color w:val="000000"/>
                <w:sz w:val="15"/>
              </w:rPr>
            </w:pPr>
            <w:r w:rsidRPr="005E64B8">
              <w:rPr>
                <w:rFonts w:ascii="Cambria Math" w:hAnsi="Cambria Math"/>
              </w:rPr>
              <w:t>◢</w:t>
            </w:r>
            <w:r w:rsidRPr="005E64B8">
              <w:t xml:space="preserve"> </w:t>
            </w:r>
            <w:proofErr w:type="spellStart"/>
            <w:r w:rsidRPr="005E64B8">
              <w:t>Hospice.Has</w:t>
            </w:r>
            <w:proofErr w:type="spellEnd"/>
            <w:r w:rsidRPr="005E64B8">
              <w:t xml:space="preserve"> Hospice Services</w:t>
            </w:r>
            <w:r w:rsidRPr="005E64B8">
              <w:rPr>
                <w:color w:val="000000"/>
                <w:sz w:val="15"/>
              </w:rPr>
              <w:t xml:space="preserve">  </w:t>
            </w:r>
          </w:p>
          <w:p w14:paraId="358FDF71" w14:textId="77777777" w:rsidR="00DB3054" w:rsidRPr="00DB3054" w:rsidRDefault="00DB3054" w:rsidP="00DB305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ascii="Verdana" w:eastAsia="Verdana" w:hAnsi="Verdana" w:cs="Verdana"/>
                <w:color w:val="000000"/>
                <w:sz w:val="16"/>
                <w:szCs w:val="16"/>
              </w:rPr>
            </w:pPr>
            <w:r w:rsidRPr="00DB3054">
              <w:rPr>
                <w:rFonts w:ascii="Verdana" w:eastAsia="Verdana" w:hAnsi="Verdana" w:cs="Verdana"/>
                <w:color w:val="000000"/>
                <w:sz w:val="16"/>
                <w:szCs w:val="16"/>
              </w:rPr>
              <w:t xml:space="preserve">exists </w:t>
            </w:r>
            <w:proofErr w:type="gramStart"/>
            <w:r w:rsidRPr="00DB3054">
              <w:rPr>
                <w:rFonts w:ascii="Verdana" w:eastAsia="Verdana" w:hAnsi="Verdana" w:cs="Verdana"/>
                <w:color w:val="000000"/>
                <w:sz w:val="16"/>
                <w:szCs w:val="16"/>
              </w:rPr>
              <w:t>( [</w:t>
            </w:r>
            <w:proofErr w:type="gramEnd"/>
            <w:r w:rsidRPr="00DB3054">
              <w:rPr>
                <w:rFonts w:ascii="Verdana" w:eastAsia="Verdana" w:hAnsi="Verdana" w:cs="Verdana"/>
                <w:color w:val="000000"/>
                <w:sz w:val="16"/>
                <w:szCs w:val="16"/>
              </w:rPr>
              <w:t xml:space="preserve">"Encounter, Performed": "Encounter Inpatient"] </w:t>
            </w:r>
            <w:proofErr w:type="spellStart"/>
            <w:r w:rsidRPr="00DB3054">
              <w:rPr>
                <w:rFonts w:ascii="Verdana" w:eastAsia="Verdana" w:hAnsi="Verdana" w:cs="Verdana"/>
                <w:color w:val="000000"/>
                <w:sz w:val="16"/>
                <w:szCs w:val="16"/>
              </w:rPr>
              <w:t>InpatientEncounter</w:t>
            </w:r>
            <w:proofErr w:type="spellEnd"/>
          </w:p>
          <w:p w14:paraId="6B7BCF56" w14:textId="77777777" w:rsidR="00DB3054" w:rsidRPr="00DB3054" w:rsidRDefault="00DB3054" w:rsidP="00DB305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ascii="Verdana" w:eastAsia="Verdana" w:hAnsi="Verdana" w:cs="Verdana"/>
                <w:color w:val="000000"/>
                <w:sz w:val="16"/>
                <w:szCs w:val="16"/>
              </w:rPr>
            </w:pPr>
            <w:r w:rsidRPr="00DB3054">
              <w:rPr>
                <w:rFonts w:ascii="Verdana" w:eastAsia="Verdana" w:hAnsi="Verdana" w:cs="Verdana"/>
                <w:color w:val="000000"/>
                <w:sz w:val="16"/>
                <w:szCs w:val="16"/>
              </w:rPr>
              <w:t xml:space="preserve">      where </w:t>
            </w:r>
            <w:proofErr w:type="gramStart"/>
            <w:r w:rsidRPr="00DB3054">
              <w:rPr>
                <w:rFonts w:ascii="Verdana" w:eastAsia="Verdana" w:hAnsi="Verdana" w:cs="Verdana"/>
                <w:color w:val="000000"/>
                <w:sz w:val="16"/>
                <w:szCs w:val="16"/>
              </w:rPr>
              <w:t xml:space="preserve">( </w:t>
            </w:r>
            <w:proofErr w:type="spellStart"/>
            <w:r w:rsidRPr="00DB3054">
              <w:rPr>
                <w:rFonts w:ascii="Verdana" w:eastAsia="Verdana" w:hAnsi="Verdana" w:cs="Verdana"/>
                <w:color w:val="000000"/>
                <w:sz w:val="16"/>
                <w:szCs w:val="16"/>
              </w:rPr>
              <w:t>InpatientEncounter.dischargeDisposition</w:t>
            </w:r>
            <w:proofErr w:type="spellEnd"/>
            <w:proofErr w:type="gramEnd"/>
            <w:r w:rsidRPr="00DB3054">
              <w:rPr>
                <w:rFonts w:ascii="Verdana" w:eastAsia="Verdana" w:hAnsi="Verdana" w:cs="Verdana"/>
                <w:color w:val="000000"/>
                <w:sz w:val="16"/>
                <w:szCs w:val="16"/>
              </w:rPr>
              <w:t xml:space="preserve"> ~ "Discharge to home for hospice care (procedure)"</w:t>
            </w:r>
          </w:p>
          <w:p w14:paraId="07CDF58E" w14:textId="77777777" w:rsidR="00DB3054" w:rsidRPr="00DB3054" w:rsidRDefault="00DB3054" w:rsidP="00DB305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ascii="Verdana" w:eastAsia="Verdana" w:hAnsi="Verdana" w:cs="Verdana"/>
                <w:color w:val="000000"/>
                <w:sz w:val="16"/>
                <w:szCs w:val="16"/>
              </w:rPr>
            </w:pPr>
            <w:r w:rsidRPr="00DB3054">
              <w:rPr>
                <w:rFonts w:ascii="Verdana" w:eastAsia="Verdana" w:hAnsi="Verdana" w:cs="Verdana"/>
                <w:color w:val="000000"/>
                <w:sz w:val="16"/>
                <w:szCs w:val="16"/>
              </w:rPr>
              <w:t xml:space="preserve">          or </w:t>
            </w:r>
            <w:proofErr w:type="spellStart"/>
            <w:r w:rsidRPr="00DB3054">
              <w:rPr>
                <w:rFonts w:ascii="Verdana" w:eastAsia="Verdana" w:hAnsi="Verdana" w:cs="Verdana"/>
                <w:color w:val="000000"/>
                <w:sz w:val="16"/>
                <w:szCs w:val="16"/>
              </w:rPr>
              <w:t>InpatientEncounter.dischargeDisposition</w:t>
            </w:r>
            <w:proofErr w:type="spellEnd"/>
            <w:r w:rsidRPr="00DB3054">
              <w:rPr>
                <w:rFonts w:ascii="Verdana" w:eastAsia="Verdana" w:hAnsi="Verdana" w:cs="Verdana"/>
                <w:color w:val="000000"/>
                <w:sz w:val="16"/>
                <w:szCs w:val="16"/>
              </w:rPr>
              <w:t xml:space="preserve"> ~ "Discharge to healthcare facility for hospice care (procedure)"</w:t>
            </w:r>
          </w:p>
          <w:p w14:paraId="0351FDDD" w14:textId="77777777" w:rsidR="00DB3054" w:rsidRPr="00DB3054" w:rsidRDefault="00DB3054" w:rsidP="00DB305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ascii="Verdana" w:eastAsia="Verdana" w:hAnsi="Verdana" w:cs="Verdana"/>
                <w:color w:val="000000"/>
                <w:sz w:val="16"/>
                <w:szCs w:val="16"/>
              </w:rPr>
            </w:pPr>
            <w:r w:rsidRPr="00DB3054">
              <w:rPr>
                <w:rFonts w:ascii="Verdana" w:eastAsia="Verdana" w:hAnsi="Verdana" w:cs="Verdana"/>
                <w:color w:val="000000"/>
                <w:sz w:val="16"/>
                <w:szCs w:val="16"/>
              </w:rPr>
              <w:t xml:space="preserve">      )</w:t>
            </w:r>
          </w:p>
          <w:p w14:paraId="7B84C061" w14:textId="77777777" w:rsidR="00DB3054" w:rsidRPr="00DB3054" w:rsidRDefault="00DB3054" w:rsidP="00DB305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ascii="Verdana" w:eastAsia="Verdana" w:hAnsi="Verdana" w:cs="Verdana"/>
                <w:color w:val="000000"/>
                <w:sz w:val="16"/>
                <w:szCs w:val="16"/>
              </w:rPr>
            </w:pPr>
            <w:r w:rsidRPr="00DB3054">
              <w:rPr>
                <w:rFonts w:ascii="Verdana" w:eastAsia="Verdana" w:hAnsi="Verdana" w:cs="Verdana"/>
                <w:color w:val="000000"/>
                <w:sz w:val="16"/>
                <w:szCs w:val="16"/>
              </w:rPr>
              <w:t xml:space="preserve">        and </w:t>
            </w:r>
            <w:proofErr w:type="spellStart"/>
            <w:r w:rsidRPr="00DB3054">
              <w:rPr>
                <w:rFonts w:ascii="Verdana" w:eastAsia="Verdana" w:hAnsi="Verdana" w:cs="Verdana"/>
                <w:color w:val="000000"/>
                <w:sz w:val="16"/>
                <w:szCs w:val="16"/>
              </w:rPr>
              <w:t>InpatientEncounter.relevantPeriod</w:t>
            </w:r>
            <w:proofErr w:type="spellEnd"/>
            <w:r w:rsidRPr="00DB3054">
              <w:rPr>
                <w:rFonts w:ascii="Verdana" w:eastAsia="Verdana" w:hAnsi="Verdana" w:cs="Verdana"/>
                <w:color w:val="000000"/>
                <w:sz w:val="16"/>
                <w:szCs w:val="16"/>
              </w:rPr>
              <w:t xml:space="preserve"> ends during day of "Measurement Period"</w:t>
            </w:r>
          </w:p>
          <w:p w14:paraId="2ED532D1" w14:textId="77777777" w:rsidR="00DB3054" w:rsidRPr="00DB3054" w:rsidRDefault="00DB3054" w:rsidP="00DB305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ascii="Verdana" w:eastAsia="Verdana" w:hAnsi="Verdana" w:cs="Verdana"/>
                <w:color w:val="000000"/>
                <w:sz w:val="16"/>
                <w:szCs w:val="16"/>
              </w:rPr>
            </w:pPr>
            <w:r w:rsidRPr="00DB3054">
              <w:rPr>
                <w:rFonts w:ascii="Verdana" w:eastAsia="Verdana" w:hAnsi="Verdana" w:cs="Verdana"/>
                <w:color w:val="000000"/>
                <w:sz w:val="16"/>
                <w:szCs w:val="16"/>
              </w:rPr>
              <w:t xml:space="preserve">  )</w:t>
            </w:r>
          </w:p>
          <w:p w14:paraId="440B43C8" w14:textId="77777777" w:rsidR="00DB3054" w:rsidRPr="00DB3054" w:rsidRDefault="00DB3054" w:rsidP="00DB305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ascii="Verdana" w:eastAsia="Verdana" w:hAnsi="Verdana" w:cs="Verdana"/>
                <w:color w:val="000000"/>
                <w:sz w:val="16"/>
                <w:szCs w:val="16"/>
              </w:rPr>
            </w:pPr>
            <w:r w:rsidRPr="00DB3054">
              <w:rPr>
                <w:rFonts w:ascii="Verdana" w:eastAsia="Verdana" w:hAnsi="Verdana" w:cs="Verdana"/>
                <w:color w:val="000000"/>
                <w:sz w:val="16"/>
                <w:szCs w:val="16"/>
              </w:rPr>
              <w:t xml:space="preserve">    or exists </w:t>
            </w:r>
            <w:proofErr w:type="gramStart"/>
            <w:r w:rsidRPr="00DB3054">
              <w:rPr>
                <w:rFonts w:ascii="Verdana" w:eastAsia="Verdana" w:hAnsi="Verdana" w:cs="Verdana"/>
                <w:color w:val="000000"/>
                <w:sz w:val="16"/>
                <w:szCs w:val="16"/>
              </w:rPr>
              <w:t>( [</w:t>
            </w:r>
            <w:proofErr w:type="gramEnd"/>
            <w:r w:rsidRPr="00DB3054">
              <w:rPr>
                <w:rFonts w:ascii="Verdana" w:eastAsia="Verdana" w:hAnsi="Verdana" w:cs="Verdana"/>
                <w:color w:val="000000"/>
                <w:sz w:val="16"/>
                <w:szCs w:val="16"/>
              </w:rPr>
              <w:t xml:space="preserve">"Encounter, Performed": "Hospice Encounter"] </w:t>
            </w:r>
            <w:proofErr w:type="spellStart"/>
            <w:r w:rsidRPr="00DB3054">
              <w:rPr>
                <w:rFonts w:ascii="Verdana" w:eastAsia="Verdana" w:hAnsi="Verdana" w:cs="Verdana"/>
                <w:color w:val="000000"/>
                <w:sz w:val="16"/>
                <w:szCs w:val="16"/>
              </w:rPr>
              <w:t>HospiceEncounter</w:t>
            </w:r>
            <w:proofErr w:type="spellEnd"/>
          </w:p>
          <w:p w14:paraId="7F3430E9" w14:textId="77777777" w:rsidR="00DB3054" w:rsidRPr="00DB3054" w:rsidRDefault="00DB3054" w:rsidP="00DB305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ascii="Verdana" w:eastAsia="Verdana" w:hAnsi="Verdana" w:cs="Verdana"/>
                <w:color w:val="000000"/>
                <w:sz w:val="16"/>
                <w:szCs w:val="16"/>
              </w:rPr>
            </w:pPr>
            <w:r w:rsidRPr="00DB3054">
              <w:rPr>
                <w:rFonts w:ascii="Verdana" w:eastAsia="Verdana" w:hAnsi="Verdana" w:cs="Verdana"/>
                <w:color w:val="000000"/>
                <w:sz w:val="16"/>
                <w:szCs w:val="16"/>
              </w:rPr>
              <w:t xml:space="preserve">        where </w:t>
            </w:r>
            <w:proofErr w:type="spellStart"/>
            <w:r w:rsidRPr="00DB3054">
              <w:rPr>
                <w:rFonts w:ascii="Verdana" w:eastAsia="Verdana" w:hAnsi="Verdana" w:cs="Verdana"/>
                <w:color w:val="000000"/>
                <w:sz w:val="16"/>
                <w:szCs w:val="16"/>
              </w:rPr>
              <w:t>HospiceEncounter.relevantPeriod</w:t>
            </w:r>
            <w:proofErr w:type="spellEnd"/>
            <w:r w:rsidRPr="00DB3054">
              <w:rPr>
                <w:rFonts w:ascii="Verdana" w:eastAsia="Verdana" w:hAnsi="Verdana" w:cs="Verdana"/>
                <w:color w:val="000000"/>
                <w:sz w:val="16"/>
                <w:szCs w:val="16"/>
              </w:rPr>
              <w:t xml:space="preserve"> overlaps day of "Measurement Period"</w:t>
            </w:r>
          </w:p>
          <w:p w14:paraId="10455202" w14:textId="77777777" w:rsidR="00DB3054" w:rsidRPr="00DB3054" w:rsidRDefault="00DB3054" w:rsidP="00DB305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ascii="Verdana" w:eastAsia="Verdana" w:hAnsi="Verdana" w:cs="Verdana"/>
                <w:color w:val="000000"/>
                <w:sz w:val="16"/>
                <w:szCs w:val="16"/>
              </w:rPr>
            </w:pPr>
            <w:r w:rsidRPr="00DB3054">
              <w:rPr>
                <w:rFonts w:ascii="Verdana" w:eastAsia="Verdana" w:hAnsi="Verdana" w:cs="Verdana"/>
                <w:color w:val="000000"/>
                <w:sz w:val="16"/>
                <w:szCs w:val="16"/>
              </w:rPr>
              <w:t xml:space="preserve">    )</w:t>
            </w:r>
          </w:p>
          <w:p w14:paraId="4E67D7D7" w14:textId="77777777" w:rsidR="00DB3054" w:rsidRPr="00DB3054" w:rsidRDefault="00DB3054" w:rsidP="00DB305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ascii="Verdana" w:eastAsia="Verdana" w:hAnsi="Verdana" w:cs="Verdana"/>
                <w:color w:val="000000"/>
                <w:sz w:val="16"/>
                <w:szCs w:val="16"/>
              </w:rPr>
            </w:pPr>
            <w:r w:rsidRPr="00DB3054">
              <w:rPr>
                <w:rFonts w:ascii="Verdana" w:eastAsia="Verdana" w:hAnsi="Verdana" w:cs="Verdana"/>
                <w:color w:val="000000"/>
                <w:sz w:val="16"/>
                <w:szCs w:val="16"/>
              </w:rPr>
              <w:t xml:space="preserve">    or exists </w:t>
            </w:r>
            <w:proofErr w:type="gramStart"/>
            <w:r w:rsidRPr="00DB3054">
              <w:rPr>
                <w:rFonts w:ascii="Verdana" w:eastAsia="Verdana" w:hAnsi="Verdana" w:cs="Verdana"/>
                <w:color w:val="000000"/>
                <w:sz w:val="16"/>
                <w:szCs w:val="16"/>
              </w:rPr>
              <w:t>( [</w:t>
            </w:r>
            <w:proofErr w:type="gramEnd"/>
            <w:r w:rsidRPr="00DB3054">
              <w:rPr>
                <w:rFonts w:ascii="Verdana" w:eastAsia="Verdana" w:hAnsi="Verdana" w:cs="Verdana"/>
                <w:color w:val="000000"/>
                <w:sz w:val="16"/>
                <w:szCs w:val="16"/>
              </w:rPr>
              <w:t xml:space="preserve">"Assessment, Performed": "Hospice care [Minimum Data Set]"] </w:t>
            </w:r>
            <w:proofErr w:type="spellStart"/>
            <w:r w:rsidRPr="00DB3054">
              <w:rPr>
                <w:rFonts w:ascii="Verdana" w:eastAsia="Verdana" w:hAnsi="Verdana" w:cs="Verdana"/>
                <w:color w:val="000000"/>
                <w:sz w:val="16"/>
                <w:szCs w:val="16"/>
              </w:rPr>
              <w:t>HospiceAssessment</w:t>
            </w:r>
            <w:proofErr w:type="spellEnd"/>
          </w:p>
          <w:p w14:paraId="00D02708" w14:textId="77777777" w:rsidR="00DB3054" w:rsidRPr="00DB3054" w:rsidRDefault="00DB3054" w:rsidP="00DB305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ascii="Verdana" w:eastAsia="Verdana" w:hAnsi="Verdana" w:cs="Verdana"/>
                <w:color w:val="000000"/>
                <w:sz w:val="16"/>
                <w:szCs w:val="16"/>
              </w:rPr>
            </w:pPr>
            <w:r w:rsidRPr="00DB3054">
              <w:rPr>
                <w:rFonts w:ascii="Verdana" w:eastAsia="Verdana" w:hAnsi="Verdana" w:cs="Verdana"/>
                <w:color w:val="000000"/>
                <w:sz w:val="16"/>
                <w:szCs w:val="16"/>
              </w:rPr>
              <w:t xml:space="preserve">        where </w:t>
            </w:r>
            <w:proofErr w:type="spellStart"/>
            <w:r w:rsidRPr="00DB3054">
              <w:rPr>
                <w:rFonts w:ascii="Verdana" w:eastAsia="Verdana" w:hAnsi="Verdana" w:cs="Verdana"/>
                <w:color w:val="000000"/>
                <w:sz w:val="16"/>
                <w:szCs w:val="16"/>
              </w:rPr>
              <w:t>HospiceAssessment.result</w:t>
            </w:r>
            <w:proofErr w:type="spellEnd"/>
            <w:r w:rsidRPr="00DB3054">
              <w:rPr>
                <w:rFonts w:ascii="Verdana" w:eastAsia="Verdana" w:hAnsi="Verdana" w:cs="Verdana"/>
                <w:color w:val="000000"/>
                <w:sz w:val="16"/>
                <w:szCs w:val="16"/>
              </w:rPr>
              <w:t xml:space="preserve"> ~ "Yes (qualifier value)"</w:t>
            </w:r>
          </w:p>
          <w:p w14:paraId="4C75FBCD" w14:textId="77777777" w:rsidR="00DB3054" w:rsidRPr="00DB3054" w:rsidRDefault="00DB3054" w:rsidP="00DB305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ascii="Verdana" w:eastAsia="Verdana" w:hAnsi="Verdana" w:cs="Verdana"/>
                <w:color w:val="000000"/>
                <w:sz w:val="16"/>
                <w:szCs w:val="16"/>
              </w:rPr>
            </w:pPr>
            <w:r w:rsidRPr="00DB3054">
              <w:rPr>
                <w:rFonts w:ascii="Verdana" w:eastAsia="Verdana" w:hAnsi="Verdana" w:cs="Verdana"/>
                <w:color w:val="000000"/>
                <w:sz w:val="16"/>
                <w:szCs w:val="16"/>
              </w:rPr>
              <w:t xml:space="preserve">          and Global."</w:t>
            </w:r>
            <w:proofErr w:type="spellStart"/>
            <w:r w:rsidRPr="00DB3054">
              <w:rPr>
                <w:rFonts w:ascii="Verdana" w:eastAsia="Verdana" w:hAnsi="Verdana" w:cs="Verdana"/>
                <w:color w:val="000000"/>
                <w:sz w:val="16"/>
                <w:szCs w:val="16"/>
              </w:rPr>
              <w:t>NormalizeInterval</w:t>
            </w:r>
            <w:proofErr w:type="spellEnd"/>
            <w:r w:rsidRPr="00DB3054">
              <w:rPr>
                <w:rFonts w:ascii="Verdana" w:eastAsia="Verdana" w:hAnsi="Verdana" w:cs="Verdana"/>
                <w:color w:val="000000"/>
                <w:sz w:val="16"/>
                <w:szCs w:val="16"/>
              </w:rPr>
              <w:t xml:space="preserve">" </w:t>
            </w:r>
            <w:proofErr w:type="gramStart"/>
            <w:r w:rsidRPr="00DB3054">
              <w:rPr>
                <w:rFonts w:ascii="Verdana" w:eastAsia="Verdana" w:hAnsi="Verdana" w:cs="Verdana"/>
                <w:color w:val="000000"/>
                <w:sz w:val="16"/>
                <w:szCs w:val="16"/>
              </w:rPr>
              <w:t xml:space="preserve">( </w:t>
            </w:r>
            <w:proofErr w:type="spellStart"/>
            <w:r w:rsidRPr="00DB3054">
              <w:rPr>
                <w:rFonts w:ascii="Verdana" w:eastAsia="Verdana" w:hAnsi="Verdana" w:cs="Verdana"/>
                <w:color w:val="000000"/>
                <w:sz w:val="16"/>
                <w:szCs w:val="16"/>
              </w:rPr>
              <w:t>HospiceAssessment.relevantDatetime</w:t>
            </w:r>
            <w:proofErr w:type="spellEnd"/>
            <w:proofErr w:type="gramEnd"/>
            <w:r w:rsidRPr="00DB3054">
              <w:rPr>
                <w:rFonts w:ascii="Verdana" w:eastAsia="Verdana" w:hAnsi="Verdana" w:cs="Verdana"/>
                <w:color w:val="000000"/>
                <w:sz w:val="16"/>
                <w:szCs w:val="16"/>
              </w:rPr>
              <w:t xml:space="preserve">, </w:t>
            </w:r>
            <w:proofErr w:type="spellStart"/>
            <w:proofErr w:type="gramStart"/>
            <w:r w:rsidRPr="00DB3054">
              <w:rPr>
                <w:rFonts w:ascii="Verdana" w:eastAsia="Verdana" w:hAnsi="Verdana" w:cs="Verdana"/>
                <w:color w:val="000000"/>
                <w:sz w:val="16"/>
                <w:szCs w:val="16"/>
              </w:rPr>
              <w:t>HospiceAssessment.relevantPeriod</w:t>
            </w:r>
            <w:proofErr w:type="spellEnd"/>
            <w:r w:rsidRPr="00DB3054">
              <w:rPr>
                <w:rFonts w:ascii="Verdana" w:eastAsia="Verdana" w:hAnsi="Verdana" w:cs="Verdana"/>
                <w:color w:val="000000"/>
                <w:sz w:val="16"/>
                <w:szCs w:val="16"/>
              </w:rPr>
              <w:t xml:space="preserve"> )</w:t>
            </w:r>
            <w:proofErr w:type="gramEnd"/>
            <w:r w:rsidRPr="00DB3054">
              <w:rPr>
                <w:rFonts w:ascii="Verdana" w:eastAsia="Verdana" w:hAnsi="Verdana" w:cs="Verdana"/>
                <w:color w:val="000000"/>
                <w:sz w:val="16"/>
                <w:szCs w:val="16"/>
              </w:rPr>
              <w:t xml:space="preserve"> overlaps day of "Measurement Period"</w:t>
            </w:r>
          </w:p>
          <w:p w14:paraId="6549D385" w14:textId="77777777" w:rsidR="00DB3054" w:rsidRPr="00DB3054" w:rsidRDefault="00DB3054" w:rsidP="00DB305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ascii="Verdana" w:eastAsia="Verdana" w:hAnsi="Verdana" w:cs="Verdana"/>
                <w:color w:val="000000"/>
                <w:sz w:val="16"/>
                <w:szCs w:val="16"/>
              </w:rPr>
            </w:pPr>
            <w:r w:rsidRPr="00DB3054">
              <w:rPr>
                <w:rFonts w:ascii="Verdana" w:eastAsia="Verdana" w:hAnsi="Verdana" w:cs="Verdana"/>
                <w:color w:val="000000"/>
                <w:sz w:val="16"/>
                <w:szCs w:val="16"/>
              </w:rPr>
              <w:t xml:space="preserve">    )</w:t>
            </w:r>
          </w:p>
          <w:p w14:paraId="5C4477C5" w14:textId="77777777" w:rsidR="00DB3054" w:rsidRPr="00DB3054" w:rsidRDefault="00DB3054" w:rsidP="00DB305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ascii="Verdana" w:eastAsia="Verdana" w:hAnsi="Verdana" w:cs="Verdana"/>
                <w:color w:val="000000"/>
                <w:sz w:val="16"/>
                <w:szCs w:val="16"/>
              </w:rPr>
            </w:pPr>
            <w:r w:rsidRPr="00DB3054">
              <w:rPr>
                <w:rFonts w:ascii="Verdana" w:eastAsia="Verdana" w:hAnsi="Verdana" w:cs="Verdana"/>
                <w:color w:val="000000"/>
                <w:sz w:val="16"/>
                <w:szCs w:val="16"/>
              </w:rPr>
              <w:t xml:space="preserve">    or exists </w:t>
            </w:r>
            <w:proofErr w:type="gramStart"/>
            <w:r w:rsidRPr="00DB3054">
              <w:rPr>
                <w:rFonts w:ascii="Verdana" w:eastAsia="Verdana" w:hAnsi="Verdana" w:cs="Verdana"/>
                <w:color w:val="000000"/>
                <w:sz w:val="16"/>
                <w:szCs w:val="16"/>
              </w:rPr>
              <w:t>( [</w:t>
            </w:r>
            <w:proofErr w:type="gramEnd"/>
            <w:r w:rsidRPr="00DB3054">
              <w:rPr>
                <w:rFonts w:ascii="Verdana" w:eastAsia="Verdana" w:hAnsi="Verdana" w:cs="Verdana"/>
                <w:color w:val="000000"/>
                <w:sz w:val="16"/>
                <w:szCs w:val="16"/>
              </w:rPr>
              <w:t xml:space="preserve">"Intervention, Order": "Hospice Care Ambulatory"] </w:t>
            </w:r>
            <w:proofErr w:type="spellStart"/>
            <w:r w:rsidRPr="00DB3054">
              <w:rPr>
                <w:rFonts w:ascii="Verdana" w:eastAsia="Verdana" w:hAnsi="Verdana" w:cs="Verdana"/>
                <w:color w:val="000000"/>
                <w:sz w:val="16"/>
                <w:szCs w:val="16"/>
              </w:rPr>
              <w:t>HospiceOrder</w:t>
            </w:r>
            <w:proofErr w:type="spellEnd"/>
          </w:p>
          <w:p w14:paraId="49B3B455" w14:textId="77777777" w:rsidR="00DB3054" w:rsidRPr="00DB3054" w:rsidRDefault="00DB3054" w:rsidP="00DB305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ascii="Verdana" w:eastAsia="Verdana" w:hAnsi="Verdana" w:cs="Verdana"/>
                <w:color w:val="000000"/>
                <w:sz w:val="16"/>
                <w:szCs w:val="16"/>
              </w:rPr>
            </w:pPr>
            <w:r w:rsidRPr="00DB3054">
              <w:rPr>
                <w:rFonts w:ascii="Verdana" w:eastAsia="Verdana" w:hAnsi="Verdana" w:cs="Verdana"/>
                <w:color w:val="000000"/>
                <w:sz w:val="16"/>
                <w:szCs w:val="16"/>
              </w:rPr>
              <w:t xml:space="preserve">        where </w:t>
            </w:r>
            <w:proofErr w:type="spellStart"/>
            <w:r w:rsidRPr="00DB3054">
              <w:rPr>
                <w:rFonts w:ascii="Verdana" w:eastAsia="Verdana" w:hAnsi="Verdana" w:cs="Verdana"/>
                <w:color w:val="000000"/>
                <w:sz w:val="16"/>
                <w:szCs w:val="16"/>
              </w:rPr>
              <w:t>HospiceOrder.authorDatetime</w:t>
            </w:r>
            <w:proofErr w:type="spellEnd"/>
            <w:r w:rsidRPr="00DB3054">
              <w:rPr>
                <w:rFonts w:ascii="Verdana" w:eastAsia="Verdana" w:hAnsi="Verdana" w:cs="Verdana"/>
                <w:color w:val="000000"/>
                <w:sz w:val="16"/>
                <w:szCs w:val="16"/>
              </w:rPr>
              <w:t xml:space="preserve"> during day of "Measurement Period"</w:t>
            </w:r>
          </w:p>
          <w:p w14:paraId="0E19ECB6" w14:textId="77777777" w:rsidR="00DB3054" w:rsidRPr="00DB3054" w:rsidRDefault="00DB3054" w:rsidP="00DB305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ascii="Verdana" w:eastAsia="Verdana" w:hAnsi="Verdana" w:cs="Verdana"/>
                <w:color w:val="000000"/>
                <w:sz w:val="16"/>
                <w:szCs w:val="16"/>
              </w:rPr>
            </w:pPr>
            <w:r w:rsidRPr="00DB3054">
              <w:rPr>
                <w:rFonts w:ascii="Verdana" w:eastAsia="Verdana" w:hAnsi="Verdana" w:cs="Verdana"/>
                <w:color w:val="000000"/>
                <w:sz w:val="16"/>
                <w:szCs w:val="16"/>
              </w:rPr>
              <w:t xml:space="preserve">    )</w:t>
            </w:r>
          </w:p>
          <w:p w14:paraId="139AAEB4" w14:textId="77777777" w:rsidR="00DB3054" w:rsidRPr="00DB3054" w:rsidRDefault="00DB3054" w:rsidP="00DB305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ascii="Verdana" w:eastAsia="Verdana" w:hAnsi="Verdana" w:cs="Verdana"/>
                <w:color w:val="000000"/>
                <w:sz w:val="16"/>
                <w:szCs w:val="16"/>
              </w:rPr>
            </w:pPr>
            <w:r w:rsidRPr="00DB3054">
              <w:rPr>
                <w:rFonts w:ascii="Verdana" w:eastAsia="Verdana" w:hAnsi="Verdana" w:cs="Verdana"/>
                <w:color w:val="000000"/>
                <w:sz w:val="16"/>
                <w:szCs w:val="16"/>
              </w:rPr>
              <w:t xml:space="preserve">    or exists </w:t>
            </w:r>
            <w:proofErr w:type="gramStart"/>
            <w:r w:rsidRPr="00DB3054">
              <w:rPr>
                <w:rFonts w:ascii="Verdana" w:eastAsia="Verdana" w:hAnsi="Verdana" w:cs="Verdana"/>
                <w:color w:val="000000"/>
                <w:sz w:val="16"/>
                <w:szCs w:val="16"/>
              </w:rPr>
              <w:t>( [</w:t>
            </w:r>
            <w:proofErr w:type="gramEnd"/>
            <w:r w:rsidRPr="00DB3054">
              <w:rPr>
                <w:rFonts w:ascii="Verdana" w:eastAsia="Verdana" w:hAnsi="Verdana" w:cs="Verdana"/>
                <w:color w:val="000000"/>
                <w:sz w:val="16"/>
                <w:szCs w:val="16"/>
              </w:rPr>
              <w:t xml:space="preserve">"Intervention, Performed": "Hospice Care Ambulatory"] </w:t>
            </w:r>
            <w:proofErr w:type="spellStart"/>
            <w:r w:rsidRPr="00DB3054">
              <w:rPr>
                <w:rFonts w:ascii="Verdana" w:eastAsia="Verdana" w:hAnsi="Verdana" w:cs="Verdana"/>
                <w:color w:val="000000"/>
                <w:sz w:val="16"/>
                <w:szCs w:val="16"/>
              </w:rPr>
              <w:t>HospicePerformed</w:t>
            </w:r>
            <w:proofErr w:type="spellEnd"/>
          </w:p>
          <w:p w14:paraId="302CE5CA" w14:textId="77777777" w:rsidR="00DB3054" w:rsidRPr="00DB3054" w:rsidRDefault="00DB3054" w:rsidP="00DB305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ascii="Verdana" w:eastAsia="Verdana" w:hAnsi="Verdana" w:cs="Verdana"/>
                <w:color w:val="000000"/>
                <w:sz w:val="16"/>
                <w:szCs w:val="16"/>
              </w:rPr>
            </w:pPr>
            <w:r w:rsidRPr="00DB3054">
              <w:rPr>
                <w:rFonts w:ascii="Verdana" w:eastAsia="Verdana" w:hAnsi="Verdana" w:cs="Verdana"/>
                <w:color w:val="000000"/>
                <w:sz w:val="16"/>
                <w:szCs w:val="16"/>
              </w:rPr>
              <w:t xml:space="preserve">        where Global."</w:t>
            </w:r>
            <w:proofErr w:type="spellStart"/>
            <w:r w:rsidRPr="00DB3054">
              <w:rPr>
                <w:rFonts w:ascii="Verdana" w:eastAsia="Verdana" w:hAnsi="Verdana" w:cs="Verdana"/>
                <w:color w:val="000000"/>
                <w:sz w:val="16"/>
                <w:szCs w:val="16"/>
              </w:rPr>
              <w:t>NormalizeInterval</w:t>
            </w:r>
            <w:proofErr w:type="spellEnd"/>
            <w:r w:rsidRPr="00DB3054">
              <w:rPr>
                <w:rFonts w:ascii="Verdana" w:eastAsia="Verdana" w:hAnsi="Verdana" w:cs="Verdana"/>
                <w:color w:val="000000"/>
                <w:sz w:val="16"/>
                <w:szCs w:val="16"/>
              </w:rPr>
              <w:t xml:space="preserve">" </w:t>
            </w:r>
            <w:proofErr w:type="gramStart"/>
            <w:r w:rsidRPr="00DB3054">
              <w:rPr>
                <w:rFonts w:ascii="Verdana" w:eastAsia="Verdana" w:hAnsi="Verdana" w:cs="Verdana"/>
                <w:color w:val="000000"/>
                <w:sz w:val="16"/>
                <w:szCs w:val="16"/>
              </w:rPr>
              <w:t xml:space="preserve">( </w:t>
            </w:r>
            <w:proofErr w:type="spellStart"/>
            <w:r w:rsidRPr="00DB3054">
              <w:rPr>
                <w:rFonts w:ascii="Verdana" w:eastAsia="Verdana" w:hAnsi="Verdana" w:cs="Verdana"/>
                <w:color w:val="000000"/>
                <w:sz w:val="16"/>
                <w:szCs w:val="16"/>
              </w:rPr>
              <w:t>HospicePerformed.relevantDatetime</w:t>
            </w:r>
            <w:proofErr w:type="spellEnd"/>
            <w:proofErr w:type="gramEnd"/>
            <w:r w:rsidRPr="00DB3054">
              <w:rPr>
                <w:rFonts w:ascii="Verdana" w:eastAsia="Verdana" w:hAnsi="Verdana" w:cs="Verdana"/>
                <w:color w:val="000000"/>
                <w:sz w:val="16"/>
                <w:szCs w:val="16"/>
              </w:rPr>
              <w:t xml:space="preserve">, </w:t>
            </w:r>
            <w:proofErr w:type="spellStart"/>
            <w:proofErr w:type="gramStart"/>
            <w:r w:rsidRPr="00DB3054">
              <w:rPr>
                <w:rFonts w:ascii="Verdana" w:eastAsia="Verdana" w:hAnsi="Verdana" w:cs="Verdana"/>
                <w:color w:val="000000"/>
                <w:sz w:val="16"/>
                <w:szCs w:val="16"/>
              </w:rPr>
              <w:t>HospicePerformed.relevantPeriod</w:t>
            </w:r>
            <w:proofErr w:type="spellEnd"/>
            <w:r w:rsidRPr="00DB3054">
              <w:rPr>
                <w:rFonts w:ascii="Verdana" w:eastAsia="Verdana" w:hAnsi="Verdana" w:cs="Verdana"/>
                <w:color w:val="000000"/>
                <w:sz w:val="16"/>
                <w:szCs w:val="16"/>
              </w:rPr>
              <w:t xml:space="preserve"> )</w:t>
            </w:r>
            <w:proofErr w:type="gramEnd"/>
            <w:r w:rsidRPr="00DB3054">
              <w:rPr>
                <w:rFonts w:ascii="Verdana" w:eastAsia="Verdana" w:hAnsi="Verdana" w:cs="Verdana"/>
                <w:color w:val="000000"/>
                <w:sz w:val="16"/>
                <w:szCs w:val="16"/>
              </w:rPr>
              <w:t xml:space="preserve"> overlaps day of "Measurement Period"</w:t>
            </w:r>
          </w:p>
          <w:p w14:paraId="45784B47" w14:textId="77777777" w:rsidR="00DB3054" w:rsidRPr="00DB3054" w:rsidRDefault="00DB3054" w:rsidP="00DB305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ascii="Verdana" w:eastAsia="Verdana" w:hAnsi="Verdana" w:cs="Verdana"/>
                <w:color w:val="000000"/>
                <w:sz w:val="16"/>
                <w:szCs w:val="16"/>
              </w:rPr>
            </w:pPr>
            <w:r w:rsidRPr="00DB3054">
              <w:rPr>
                <w:rFonts w:ascii="Verdana" w:eastAsia="Verdana" w:hAnsi="Verdana" w:cs="Verdana"/>
                <w:color w:val="000000"/>
                <w:sz w:val="16"/>
                <w:szCs w:val="16"/>
              </w:rPr>
              <w:t xml:space="preserve">    )</w:t>
            </w:r>
          </w:p>
          <w:p w14:paraId="32ECB4EA" w14:textId="77777777" w:rsidR="00DB3054" w:rsidRPr="00DB3054" w:rsidRDefault="00DB3054" w:rsidP="00DB305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ascii="Verdana" w:eastAsia="Verdana" w:hAnsi="Verdana" w:cs="Verdana"/>
                <w:color w:val="000000"/>
                <w:sz w:val="16"/>
                <w:szCs w:val="16"/>
              </w:rPr>
            </w:pPr>
            <w:r w:rsidRPr="00DB3054">
              <w:rPr>
                <w:rFonts w:ascii="Verdana" w:eastAsia="Verdana" w:hAnsi="Verdana" w:cs="Verdana"/>
                <w:color w:val="000000"/>
                <w:sz w:val="16"/>
                <w:szCs w:val="16"/>
              </w:rPr>
              <w:t xml:space="preserve">  or exists </w:t>
            </w:r>
            <w:proofErr w:type="gramStart"/>
            <w:r w:rsidRPr="00DB3054">
              <w:rPr>
                <w:rFonts w:ascii="Verdana" w:eastAsia="Verdana" w:hAnsi="Verdana" w:cs="Verdana"/>
                <w:color w:val="000000"/>
                <w:sz w:val="16"/>
                <w:szCs w:val="16"/>
              </w:rPr>
              <w:t>( [</w:t>
            </w:r>
            <w:proofErr w:type="gramEnd"/>
            <w:r w:rsidRPr="00DB3054">
              <w:rPr>
                <w:rFonts w:ascii="Verdana" w:eastAsia="Verdana" w:hAnsi="Verdana" w:cs="Verdana"/>
                <w:color w:val="000000"/>
                <w:sz w:val="16"/>
                <w:szCs w:val="16"/>
              </w:rPr>
              <w:t xml:space="preserve">"Diagnosis": "Hospice Diagnosis"] </w:t>
            </w:r>
            <w:proofErr w:type="spellStart"/>
            <w:r w:rsidRPr="00DB3054">
              <w:rPr>
                <w:rFonts w:ascii="Verdana" w:eastAsia="Verdana" w:hAnsi="Verdana" w:cs="Verdana"/>
                <w:color w:val="000000"/>
                <w:sz w:val="16"/>
                <w:szCs w:val="16"/>
              </w:rPr>
              <w:t>HospiceCareDiagnosis</w:t>
            </w:r>
            <w:proofErr w:type="spellEnd"/>
          </w:p>
          <w:p w14:paraId="3DE551D8" w14:textId="77777777" w:rsidR="00DB3054" w:rsidRPr="00DB3054" w:rsidRDefault="00DB3054" w:rsidP="00DB305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ascii="Verdana" w:eastAsia="Verdana" w:hAnsi="Verdana" w:cs="Verdana"/>
                <w:color w:val="000000"/>
                <w:sz w:val="16"/>
                <w:szCs w:val="16"/>
              </w:rPr>
            </w:pPr>
            <w:r w:rsidRPr="00DB3054">
              <w:rPr>
                <w:rFonts w:ascii="Verdana" w:eastAsia="Verdana" w:hAnsi="Verdana" w:cs="Verdana"/>
                <w:color w:val="000000"/>
                <w:sz w:val="16"/>
                <w:szCs w:val="16"/>
              </w:rPr>
              <w:t xml:space="preserve">        where </w:t>
            </w:r>
            <w:proofErr w:type="spellStart"/>
            <w:r w:rsidRPr="00DB3054">
              <w:rPr>
                <w:rFonts w:ascii="Verdana" w:eastAsia="Verdana" w:hAnsi="Verdana" w:cs="Verdana"/>
                <w:color w:val="000000"/>
                <w:sz w:val="16"/>
                <w:szCs w:val="16"/>
              </w:rPr>
              <w:t>HospiceCareDiagnosis.prevalencePeriod</w:t>
            </w:r>
            <w:proofErr w:type="spellEnd"/>
            <w:r w:rsidRPr="00DB3054">
              <w:rPr>
                <w:rFonts w:ascii="Verdana" w:eastAsia="Verdana" w:hAnsi="Verdana" w:cs="Verdana"/>
                <w:color w:val="000000"/>
                <w:sz w:val="16"/>
                <w:szCs w:val="16"/>
              </w:rPr>
              <w:t xml:space="preserve"> overlaps day of "Measurement Period"</w:t>
            </w:r>
          </w:p>
          <w:p w14:paraId="2181A755" w14:textId="77777777" w:rsidR="00DB3054" w:rsidRPr="00DB3054" w:rsidRDefault="00DB3054" w:rsidP="00DB305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ascii="Verdana" w:eastAsia="Verdana" w:hAnsi="Verdana" w:cs="Verdana"/>
                <w:color w:val="000000"/>
                <w:sz w:val="16"/>
                <w:szCs w:val="16"/>
              </w:rPr>
            </w:pPr>
            <w:r w:rsidRPr="00DB3054">
              <w:rPr>
                <w:rFonts w:ascii="Verdana" w:eastAsia="Verdana" w:hAnsi="Verdana" w:cs="Verdana"/>
                <w:color w:val="000000"/>
                <w:sz w:val="16"/>
                <w:szCs w:val="16"/>
              </w:rPr>
              <w:t xml:space="preserve">    )</w:t>
            </w:r>
          </w:p>
          <w:p w14:paraId="0C795174" w14:textId="05FD35E2" w:rsidR="00F458F8" w:rsidRPr="00F458F8" w:rsidRDefault="00DB3054" w:rsidP="00DB3054">
            <w:pPr>
              <w:pStyle w:val="Figure"/>
              <w:keepNext/>
              <w:keepLines/>
              <w:ind w:left="720"/>
            </w:pPr>
            <w:r w:rsidRPr="00DB3054">
              <w:rPr>
                <w:rFonts w:cs="Verdana"/>
              </w:rPr>
              <w:t xml:space="preserve">  )</w:t>
            </w:r>
          </w:p>
        </w:tc>
      </w:tr>
    </w:tbl>
    <w:p w14:paraId="00000178" w14:textId="71FA3769" w:rsidR="00D67C8C" w:rsidRDefault="00C80A11" w:rsidP="00683D50">
      <w:pPr>
        <w:pStyle w:val="FigureTitle"/>
      </w:pPr>
      <w:bookmarkStart w:id="276" w:name="_Toc159578080"/>
      <w:bookmarkStart w:id="277" w:name="_Toc195002006"/>
      <w:r w:rsidRPr="005E64B8">
        <w:t xml:space="preserve">Figure </w:t>
      </w:r>
      <w:r w:rsidR="008D6C9A">
        <w:t>3</w:t>
      </w:r>
      <w:r w:rsidRPr="005E64B8">
        <w:t>.2. Terminology</w:t>
      </w:r>
      <w:bookmarkEnd w:id="276"/>
      <w:r w:rsidRPr="005E64B8">
        <w:t xml:space="preserve"> Aligned with Direct Reference Codes from Figure </w:t>
      </w:r>
      <w:r w:rsidR="00BE21ED">
        <w:t>3</w:t>
      </w:r>
      <w:r w:rsidRPr="005E64B8">
        <w:t>.1</w:t>
      </w:r>
      <w:bookmarkEnd w:id="277"/>
    </w:p>
    <w:tbl>
      <w:tblPr>
        <w:tblStyle w:val="GrayCell"/>
        <w:tblW w:w="936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Look w:val="04A0" w:firstRow="1" w:lastRow="0" w:firstColumn="1" w:lastColumn="0" w:noHBand="0" w:noVBand="1"/>
      </w:tblPr>
      <w:tblGrid>
        <w:gridCol w:w="9360"/>
      </w:tblGrid>
      <w:tr w:rsidR="00F458F8" w14:paraId="38E8018C" w14:textId="77777777">
        <w:tc>
          <w:tcPr>
            <w:tcW w:w="5000" w:type="pct"/>
            <w:shd w:val="clear" w:color="auto" w:fill="auto"/>
          </w:tcPr>
          <w:p w14:paraId="7D90A70E" w14:textId="6B40CD11" w:rsidR="00C95016" w:rsidRPr="00F93BE6" w:rsidRDefault="00C95016" w:rsidP="00C95016">
            <w:pPr>
              <w:pStyle w:val="FigureHeader"/>
              <w:rPr>
                <w:color w:val="000000"/>
                <w:sz w:val="15"/>
                <w:u w:val="single"/>
              </w:rPr>
            </w:pPr>
            <w:r w:rsidRPr="00F93BE6">
              <w:rPr>
                <w:u w:val="single"/>
              </w:rPr>
              <w:t>Terminology</w:t>
            </w:r>
            <w:r w:rsidRPr="00F93BE6">
              <w:rPr>
                <w:color w:val="000000"/>
                <w:sz w:val="15"/>
                <w:u w:val="single"/>
              </w:rPr>
              <w:t xml:space="preserve">  </w:t>
            </w:r>
          </w:p>
          <w:p w14:paraId="3165C231" w14:textId="68DB18A0" w:rsidR="00C95016" w:rsidRDefault="00C95016" w:rsidP="00DA33BC">
            <w:pPr>
              <w:pStyle w:val="Figure"/>
              <w:numPr>
                <w:ilvl w:val="0"/>
                <w:numId w:val="47"/>
              </w:numPr>
              <w:ind w:left="1080"/>
              <w:rPr>
                <w:highlight w:val="yellow"/>
              </w:rPr>
            </w:pPr>
            <w:r>
              <w:rPr>
                <w:highlight w:val="yellow"/>
              </w:rPr>
              <w:t xml:space="preserve">code </w:t>
            </w:r>
            <w:r w:rsidR="009218C5">
              <w:rPr>
                <w:highlight w:val="yellow"/>
              </w:rPr>
              <w:t>"</w:t>
            </w:r>
            <w:r>
              <w:rPr>
                <w:highlight w:val="yellow"/>
              </w:rPr>
              <w:t>Discharge to healthcare facility for hospice care (procedure)</w:t>
            </w:r>
            <w:r w:rsidR="009218C5">
              <w:rPr>
                <w:highlight w:val="yellow"/>
              </w:rPr>
              <w:t>"</w:t>
            </w:r>
            <w:r>
              <w:rPr>
                <w:highlight w:val="yellow"/>
              </w:rPr>
              <w:t xml:space="preserve"> (</w:t>
            </w:r>
            <w:r w:rsidR="009218C5">
              <w:rPr>
                <w:highlight w:val="yellow"/>
              </w:rPr>
              <w:t>"</w:t>
            </w:r>
            <w:r>
              <w:rPr>
                <w:highlight w:val="yellow"/>
              </w:rPr>
              <w:t>SNOMEDCT Code (428371000124100)</w:t>
            </w:r>
            <w:r w:rsidR="009218C5">
              <w:rPr>
                <w:highlight w:val="yellow"/>
              </w:rPr>
              <w:t>"</w:t>
            </w:r>
            <w:r>
              <w:rPr>
                <w:highlight w:val="yellow"/>
              </w:rPr>
              <w:t>)</w:t>
            </w:r>
          </w:p>
          <w:p w14:paraId="27D7A041" w14:textId="70371FA2" w:rsidR="00C95016" w:rsidRDefault="00C95016" w:rsidP="00DA33BC">
            <w:pPr>
              <w:pStyle w:val="Figure"/>
              <w:numPr>
                <w:ilvl w:val="0"/>
                <w:numId w:val="47"/>
              </w:numPr>
              <w:ind w:left="1080"/>
              <w:rPr>
                <w:highlight w:val="yellow"/>
              </w:rPr>
            </w:pPr>
            <w:r>
              <w:rPr>
                <w:highlight w:val="yellow"/>
              </w:rPr>
              <w:t xml:space="preserve">code </w:t>
            </w:r>
            <w:r w:rsidR="009218C5">
              <w:rPr>
                <w:highlight w:val="yellow"/>
              </w:rPr>
              <w:t>"</w:t>
            </w:r>
            <w:r>
              <w:rPr>
                <w:highlight w:val="yellow"/>
              </w:rPr>
              <w:t>Discharge to home for hospice care (procedure)” (“SNOMEDCT Code (428361000124107)</w:t>
            </w:r>
            <w:r w:rsidR="009218C5">
              <w:rPr>
                <w:highlight w:val="yellow"/>
              </w:rPr>
              <w:t>"</w:t>
            </w:r>
            <w:r>
              <w:rPr>
                <w:highlight w:val="yellow"/>
              </w:rPr>
              <w:t>)</w:t>
            </w:r>
          </w:p>
          <w:p w14:paraId="31E37A2A" w14:textId="7F0B8FA7" w:rsidR="00DB3054" w:rsidRDefault="00DB3054" w:rsidP="00DA33BC">
            <w:pPr>
              <w:pStyle w:val="Figure"/>
              <w:numPr>
                <w:ilvl w:val="0"/>
                <w:numId w:val="47"/>
              </w:numPr>
              <w:ind w:left="1080"/>
            </w:pPr>
            <w:r w:rsidRPr="00400330">
              <w:rPr>
                <w:rFonts w:cs="Verdana"/>
                <w:sz w:val="17"/>
                <w:szCs w:val="17"/>
              </w:rPr>
              <w:t>code "Female (finding)" ("SNOMEDCT Code (248152002)")</w:t>
            </w:r>
          </w:p>
          <w:p w14:paraId="162B97E9" w14:textId="5D25F864" w:rsidR="00C95016" w:rsidRDefault="00C95016" w:rsidP="00DA33BC">
            <w:pPr>
              <w:pStyle w:val="Figure"/>
              <w:numPr>
                <w:ilvl w:val="0"/>
                <w:numId w:val="47"/>
              </w:numPr>
              <w:ind w:left="1080"/>
            </w:pPr>
            <w:r>
              <w:t xml:space="preserve">code </w:t>
            </w:r>
            <w:r w:rsidR="009218C5">
              <w:t>"</w:t>
            </w:r>
            <w:r>
              <w:t>Functional Assessment of Chronic Illness Therapy — Palliative Care Questionnaire (FACIT-Pal)</w:t>
            </w:r>
            <w:r w:rsidR="009218C5">
              <w:t>"</w:t>
            </w:r>
            <w:r>
              <w:t xml:space="preserve"> (</w:t>
            </w:r>
            <w:r w:rsidR="009218C5">
              <w:t>"</w:t>
            </w:r>
            <w:r>
              <w:t>LOINC Code (71007-9)</w:t>
            </w:r>
            <w:r w:rsidR="009218C5">
              <w:t>"</w:t>
            </w:r>
            <w:r>
              <w:t>)</w:t>
            </w:r>
          </w:p>
          <w:p w14:paraId="216F8543" w14:textId="3BD8F667" w:rsidR="00C95016" w:rsidRDefault="00C95016" w:rsidP="00DA33BC">
            <w:pPr>
              <w:pStyle w:val="Figure"/>
              <w:numPr>
                <w:ilvl w:val="0"/>
                <w:numId w:val="47"/>
              </w:numPr>
              <w:ind w:left="1080"/>
              <w:rPr>
                <w:highlight w:val="yellow"/>
              </w:rPr>
            </w:pPr>
            <w:r>
              <w:rPr>
                <w:highlight w:val="yellow"/>
              </w:rPr>
              <w:t xml:space="preserve">code </w:t>
            </w:r>
            <w:r w:rsidR="009218C5">
              <w:rPr>
                <w:highlight w:val="yellow"/>
              </w:rPr>
              <w:t>"</w:t>
            </w:r>
            <w:r>
              <w:rPr>
                <w:highlight w:val="yellow"/>
              </w:rPr>
              <w:t>Hospice care [Minimum Data Set]</w:t>
            </w:r>
            <w:r w:rsidR="009218C5">
              <w:rPr>
                <w:highlight w:val="yellow"/>
              </w:rPr>
              <w:t>"</w:t>
            </w:r>
            <w:r>
              <w:rPr>
                <w:highlight w:val="yellow"/>
              </w:rPr>
              <w:t xml:space="preserve"> (</w:t>
            </w:r>
            <w:r w:rsidR="009218C5">
              <w:rPr>
                <w:highlight w:val="yellow"/>
              </w:rPr>
              <w:t>"</w:t>
            </w:r>
            <w:r>
              <w:rPr>
                <w:highlight w:val="yellow"/>
              </w:rPr>
              <w:t>LOINC Code (45755-6)</w:t>
            </w:r>
            <w:r w:rsidR="009218C5">
              <w:rPr>
                <w:highlight w:val="yellow"/>
              </w:rPr>
              <w:t>"</w:t>
            </w:r>
            <w:r>
              <w:rPr>
                <w:highlight w:val="yellow"/>
              </w:rPr>
              <w:t>)</w:t>
            </w:r>
          </w:p>
          <w:p w14:paraId="46A812DA" w14:textId="458DD665" w:rsidR="00F458F8" w:rsidRPr="00C95016" w:rsidRDefault="00C95016" w:rsidP="00DA33BC">
            <w:pPr>
              <w:pStyle w:val="Figure"/>
              <w:numPr>
                <w:ilvl w:val="0"/>
                <w:numId w:val="47"/>
              </w:numPr>
              <w:ind w:left="1080"/>
              <w:rPr>
                <w:highlight w:val="yellow"/>
              </w:rPr>
            </w:pPr>
            <w:r>
              <w:rPr>
                <w:highlight w:val="yellow"/>
              </w:rPr>
              <w:t xml:space="preserve">code </w:t>
            </w:r>
            <w:r w:rsidR="009218C5">
              <w:rPr>
                <w:highlight w:val="yellow"/>
              </w:rPr>
              <w:t>"</w:t>
            </w:r>
            <w:r>
              <w:rPr>
                <w:highlight w:val="yellow"/>
              </w:rPr>
              <w:t>Yes (qualifier value)</w:t>
            </w:r>
            <w:r w:rsidR="009218C5">
              <w:rPr>
                <w:highlight w:val="yellow"/>
              </w:rPr>
              <w:t>"</w:t>
            </w:r>
            <w:r>
              <w:rPr>
                <w:highlight w:val="yellow"/>
              </w:rPr>
              <w:t xml:space="preserve"> (</w:t>
            </w:r>
            <w:r w:rsidR="009218C5">
              <w:rPr>
                <w:highlight w:val="yellow"/>
              </w:rPr>
              <w:t>"</w:t>
            </w:r>
            <w:r>
              <w:rPr>
                <w:highlight w:val="yellow"/>
              </w:rPr>
              <w:t>SNOMEDCT Code (373066001)</w:t>
            </w:r>
            <w:r w:rsidR="009218C5">
              <w:rPr>
                <w:highlight w:val="yellow"/>
              </w:rPr>
              <w:t>"</w:t>
            </w:r>
            <w:r>
              <w:rPr>
                <w:highlight w:val="yellow"/>
              </w:rPr>
              <w:t>)</w:t>
            </w:r>
          </w:p>
        </w:tc>
      </w:tr>
    </w:tbl>
    <w:p w14:paraId="267F05D2" w14:textId="5A4AFBBA" w:rsidR="00E82319" w:rsidRPr="00E82319" w:rsidRDefault="00E82319" w:rsidP="00E82319">
      <w:pPr>
        <w:pStyle w:val="FigureTitle"/>
        <w:jc w:val="left"/>
        <w:rPr>
          <w:rFonts w:ascii="Times New Roman" w:hAnsi="Times New Roman" w:cs="Times New Roman"/>
          <w:b w:val="0"/>
          <w:bCs/>
          <w:szCs w:val="24"/>
        </w:rPr>
      </w:pPr>
      <w:bookmarkStart w:id="278" w:name="bookmark=id.wnyagw" w:colFirst="0" w:colLast="0"/>
      <w:bookmarkStart w:id="279" w:name="_heading=h.3gnlt4p" w:colFirst="0" w:colLast="0"/>
      <w:bookmarkStart w:id="280" w:name="d1e647"/>
      <w:bookmarkStart w:id="281" w:name="_Toc23176756"/>
      <w:bookmarkStart w:id="282" w:name="_Toc56635384"/>
      <w:bookmarkStart w:id="283" w:name="_Toc64983076"/>
      <w:bookmarkStart w:id="284" w:name="_Toc159578387"/>
      <w:bookmarkStart w:id="285" w:name="_Toc194959012"/>
      <w:bookmarkStart w:id="286" w:name="_Toc194994759"/>
      <w:bookmarkEnd w:id="278"/>
      <w:bookmarkEnd w:id="279"/>
      <w:bookmarkEnd w:id="280"/>
      <w:r w:rsidRPr="005B0660">
        <w:rPr>
          <w:rFonts w:ascii="Times New Roman" w:hAnsi="Times New Roman" w:cs="Times New Roman"/>
          <w:b w:val="0"/>
          <w:bCs/>
          <w:szCs w:val="24"/>
        </w:rPr>
        <w:t xml:space="preserve">The tilde (~) seen in the </w:t>
      </w:r>
      <w:r w:rsidR="00A6493F">
        <w:rPr>
          <w:rFonts w:ascii="Times New Roman" w:hAnsi="Times New Roman" w:cs="Times New Roman"/>
          <w:b w:val="0"/>
          <w:bCs/>
          <w:szCs w:val="24"/>
        </w:rPr>
        <w:t>CQL</w:t>
      </w:r>
      <w:r w:rsidRPr="005B0660">
        <w:rPr>
          <w:rFonts w:ascii="Times New Roman" w:hAnsi="Times New Roman" w:cs="Times New Roman"/>
          <w:b w:val="0"/>
          <w:bCs/>
          <w:szCs w:val="24"/>
        </w:rPr>
        <w:t xml:space="preserve"> in Figure 3.1 represents the equivalent operator, which returns “true” if two arguments are equivalent in value, or if they are both “null”; the operator returns “false” otherwise. </w:t>
      </w:r>
      <w:r>
        <w:rPr>
          <w:rFonts w:ascii="Times New Roman" w:hAnsi="Times New Roman" w:cs="Times New Roman"/>
          <w:b w:val="0"/>
          <w:bCs/>
          <w:szCs w:val="24"/>
        </w:rPr>
        <w:t xml:space="preserve">For more information on the equivalent operator (~), the not equivalent operator (!~), the equal operator (=), and the not equal operator (!=), visit </w:t>
      </w:r>
      <w:hyperlink r:id="rId96" w:history="1">
        <w:r w:rsidRPr="00DA68B5">
          <w:rPr>
            <w:rStyle w:val="Hyperlink"/>
            <w:rFonts w:ascii="Times New Roman" w:hAnsi="Times New Roman" w:cs="Times New Roman"/>
            <w:b w:val="0"/>
            <w:bCs/>
            <w:szCs w:val="24"/>
          </w:rPr>
          <w:t>Appendix B - CQL Reference of the CQL Specification</w:t>
        </w:r>
      </w:hyperlink>
      <w:r>
        <w:rPr>
          <w:rFonts w:ascii="Times New Roman" w:hAnsi="Times New Roman" w:cs="Times New Roman"/>
          <w:b w:val="0"/>
          <w:bCs/>
          <w:szCs w:val="24"/>
        </w:rPr>
        <w:t>.</w:t>
      </w:r>
    </w:p>
    <w:p w14:paraId="00000180" w14:textId="156D8B20" w:rsidR="00D67C8C" w:rsidRDefault="0032379B" w:rsidP="0032379B">
      <w:pPr>
        <w:pStyle w:val="H2-Num"/>
      </w:pPr>
      <w:r>
        <w:rPr>
          <w:rFonts w:eastAsia="Arial Narrow"/>
        </w:rPr>
        <w:t>3.4</w:t>
      </w:r>
      <w:r>
        <w:rPr>
          <w:rFonts w:eastAsia="Arial Narrow"/>
        </w:rPr>
        <w:tab/>
      </w:r>
      <w:r w:rsidR="00C80A11" w:rsidRPr="005E64B8">
        <w:rPr>
          <w:rFonts w:eastAsia="Arial Narrow"/>
        </w:rPr>
        <w:t xml:space="preserve">QDM Category and Code </w:t>
      </w:r>
      <w:bookmarkEnd w:id="273"/>
      <w:bookmarkEnd w:id="281"/>
      <w:bookmarkEnd w:id="282"/>
      <w:bookmarkEnd w:id="283"/>
      <w:r w:rsidR="00C80A11" w:rsidRPr="005E64B8">
        <w:rPr>
          <w:rFonts w:eastAsia="Arial Narrow"/>
        </w:rPr>
        <w:t>System</w:t>
      </w:r>
      <w:bookmarkEnd w:id="284"/>
      <w:bookmarkEnd w:id="285"/>
      <w:bookmarkEnd w:id="286"/>
    </w:p>
    <w:p w14:paraId="00000181" w14:textId="50AEA399" w:rsidR="00D67C8C" w:rsidRDefault="00C80A11" w:rsidP="0032379B">
      <w:pPr>
        <w:pStyle w:val="ParagraphContinued"/>
      </w:pPr>
      <w:r>
        <w:t>CMS’s Measures Management System (MMS) Hub published a</w:t>
      </w:r>
      <w:r w:rsidR="00571351">
        <w:t xml:space="preserve"> </w:t>
      </w:r>
      <w:r w:rsidR="00E82319" w:rsidRPr="006012B4">
        <w:t>recommended vocabularies document</w:t>
      </w:r>
      <w:r w:rsidR="00E82319">
        <w:t xml:space="preserve">, </w:t>
      </w:r>
      <w:r w:rsidR="00E82319" w:rsidRPr="005B5EB6">
        <w:t xml:space="preserve">saved as a supplemental material on the </w:t>
      </w:r>
      <w:hyperlink r:id="rId97" w:history="1">
        <w:r w:rsidR="00E82319" w:rsidRPr="005B5EB6">
          <w:rPr>
            <w:rStyle w:val="Hyperlink"/>
          </w:rPr>
          <w:t>MMS Resources and Templates</w:t>
        </w:r>
      </w:hyperlink>
      <w:r w:rsidR="00E82319" w:rsidRPr="005B5EB6">
        <w:t xml:space="preserve"> page</w:t>
      </w:r>
      <w:r w:rsidR="00E82319">
        <w:t>,</w:t>
      </w:r>
      <w:r w:rsidR="00571351">
        <w:t xml:space="preserve"> </w:t>
      </w:r>
      <w:r>
        <w:t xml:space="preserve">with the ONC-Health Information Technology Standards Committee </w:t>
      </w:r>
      <w:r w:rsidR="00BE21ED">
        <w:t>with</w:t>
      </w:r>
      <w:r>
        <w:t xml:space="preserve"> recommend</w:t>
      </w:r>
      <w:r w:rsidR="00BE21ED">
        <w:t>ed</w:t>
      </w:r>
      <w:r>
        <w:t xml:space="preserve"> code </w:t>
      </w:r>
      <w:r>
        <w:lastRenderedPageBreak/>
        <w:t>systems for each QDM category.</w:t>
      </w:r>
      <w:r>
        <w:rPr>
          <w:vertAlign w:val="superscript"/>
        </w:rPr>
        <w:footnoteReference w:id="6"/>
      </w:r>
      <w:r>
        <w:t xml:space="preserve"> Measure developers link data elements to a value set, grouping value set, or a direct reference code</w:t>
      </w:r>
      <w:r w:rsidR="00571351">
        <w:t>,</w:t>
      </w:r>
      <w:r>
        <w:t xml:space="preserve"> complying with these recommendations</w:t>
      </w:r>
      <w:r w:rsidR="00571351">
        <w:t xml:space="preserve"> when authoring measures</w:t>
      </w:r>
      <w:r>
        <w:t xml:space="preserve">. Downloadable resources of value sets by QDM datatype are also available on the </w:t>
      </w:r>
      <w:hyperlink r:id="rId98" w:history="1">
        <w:r w:rsidRPr="0020676E">
          <w:rPr>
            <w:rStyle w:val="Hyperlink"/>
          </w:rPr>
          <w:t>VSAC</w:t>
        </w:r>
        <w:r w:rsidR="00571351" w:rsidRPr="0020676E">
          <w:rPr>
            <w:rStyle w:val="Hyperlink"/>
          </w:rPr>
          <w:t xml:space="preserve"> on</w:t>
        </w:r>
        <w:r w:rsidRPr="0020676E">
          <w:rPr>
            <w:rStyle w:val="Hyperlink"/>
          </w:rPr>
          <w:t xml:space="preserve"> the </w:t>
        </w:r>
        <w:r w:rsidR="00571351" w:rsidRPr="0020676E">
          <w:rPr>
            <w:rStyle w:val="Hyperlink"/>
          </w:rPr>
          <w:t>D</w:t>
        </w:r>
        <w:r w:rsidRPr="0020676E">
          <w:rPr>
            <w:rStyle w:val="Hyperlink"/>
          </w:rPr>
          <w:t>ownload tab</w:t>
        </w:r>
      </w:hyperlink>
      <w:r>
        <w:t>.</w:t>
      </w:r>
    </w:p>
    <w:p w14:paraId="00000182" w14:textId="79B68B72" w:rsidR="00D67C8C" w:rsidRDefault="00C80A11" w:rsidP="0032379B">
      <w:pPr>
        <w:pStyle w:val="Paragraph"/>
      </w:pPr>
      <w:r>
        <w:t>Some measures combine different options</w:t>
      </w:r>
      <w:r w:rsidR="003428A9">
        <w:t xml:space="preserve">, or </w:t>
      </w:r>
      <w:r>
        <w:t>definitions</w:t>
      </w:r>
      <w:r w:rsidR="003428A9">
        <w:t>,</w:t>
      </w:r>
      <w:r>
        <w:t xml:space="preserve"> to express instances of a single QDM datatype within the logic. As shown in Figure </w:t>
      </w:r>
      <w:r w:rsidR="008D6C9A">
        <w:t>3</w:t>
      </w:r>
      <w:r>
        <w:t>.3, qualifying encounters exist in the initial population for</w:t>
      </w:r>
      <w:r w:rsidR="003428A9">
        <w:t xml:space="preserve"> </w:t>
      </w:r>
      <w:hyperlink r:id="rId99" w:history="1">
        <w:r w:rsidR="00DB3054" w:rsidRPr="00400330">
          <w:rPr>
            <w:rStyle w:val="Hyperlink"/>
          </w:rPr>
          <w:t>CMS131v14, Diabetes: Eye Exam</w:t>
        </w:r>
      </w:hyperlink>
      <w:r>
        <w:t>.</w:t>
      </w:r>
    </w:p>
    <w:p w14:paraId="00000183" w14:textId="1DC06890" w:rsidR="00D67C8C" w:rsidRDefault="00C80A11" w:rsidP="004C5DB7">
      <w:pPr>
        <w:pStyle w:val="FigureTitle"/>
      </w:pPr>
      <w:bookmarkStart w:id="287" w:name="_Toc159578081"/>
      <w:bookmarkStart w:id="288" w:name="_Toc195002007"/>
      <w:r w:rsidRPr="00C40B32">
        <w:t xml:space="preserve">Figure </w:t>
      </w:r>
      <w:r w:rsidR="008D6C9A" w:rsidRPr="00C40B32">
        <w:t>3</w:t>
      </w:r>
      <w:r w:rsidRPr="00C40B32">
        <w:t xml:space="preserve">.3. </w:t>
      </w:r>
      <w:bookmarkEnd w:id="287"/>
      <w:r w:rsidRPr="00C40B32">
        <w:t>Definition Using Multiple Data Elements to Address Terminology Requirements</w:t>
      </w:r>
      <w:bookmarkEnd w:id="288"/>
    </w:p>
    <w:tbl>
      <w:tblPr>
        <w:tblStyle w:val="GrayCell"/>
        <w:tblW w:w="936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Look w:val="04A0" w:firstRow="1" w:lastRow="0" w:firstColumn="1" w:lastColumn="0" w:noHBand="0" w:noVBand="1"/>
      </w:tblPr>
      <w:tblGrid>
        <w:gridCol w:w="9360"/>
      </w:tblGrid>
      <w:tr w:rsidR="00C95016" w14:paraId="1915952A" w14:textId="77777777">
        <w:tc>
          <w:tcPr>
            <w:tcW w:w="5000" w:type="pct"/>
            <w:shd w:val="clear" w:color="auto" w:fill="auto"/>
          </w:tcPr>
          <w:p w14:paraId="4C330D91" w14:textId="77777777" w:rsidR="00C95016" w:rsidRPr="005E64B8" w:rsidRDefault="00C95016" w:rsidP="00DB3054">
            <w:pPr>
              <w:pStyle w:val="FigureHeader"/>
              <w:spacing w:after="0"/>
            </w:pPr>
            <w:r w:rsidRPr="005E64B8">
              <w:rPr>
                <w:rFonts w:ascii="Cambria Math" w:hAnsi="Cambria Math"/>
              </w:rPr>
              <w:t>◢</w:t>
            </w:r>
            <w:r w:rsidRPr="005E64B8">
              <w:t xml:space="preserve"> Qualifying Encounters</w:t>
            </w:r>
          </w:p>
          <w:p w14:paraId="1BE640B5" w14:textId="2629B95C" w:rsidR="00DB3054" w:rsidRPr="00DB3054" w:rsidRDefault="00C95016" w:rsidP="00DB3054">
            <w:pPr>
              <w:spacing w:after="0"/>
              <w:ind w:left="720" w:hanging="360"/>
              <w:rPr>
                <w:rFonts w:ascii="Verdana" w:eastAsia="Verdana" w:hAnsi="Verdana" w:cs="Verdana"/>
                <w:sz w:val="16"/>
                <w:szCs w:val="16"/>
              </w:rPr>
            </w:pPr>
            <w:r w:rsidRPr="00DB3054">
              <w:rPr>
                <w:sz w:val="20"/>
                <w:szCs w:val="24"/>
              </w:rPr>
              <w:tab/>
            </w:r>
            <w:proofErr w:type="gramStart"/>
            <w:r w:rsidR="00DB3054" w:rsidRPr="00DB3054">
              <w:rPr>
                <w:rFonts w:ascii="Verdana" w:eastAsia="Verdana" w:hAnsi="Verdana" w:cs="Verdana"/>
                <w:sz w:val="16"/>
                <w:szCs w:val="16"/>
              </w:rPr>
              <w:t>( [</w:t>
            </w:r>
            <w:proofErr w:type="gramEnd"/>
            <w:r w:rsidR="009218C5">
              <w:rPr>
                <w:rFonts w:ascii="Verdana" w:eastAsia="Verdana" w:hAnsi="Verdana" w:cs="Verdana"/>
                <w:sz w:val="16"/>
                <w:szCs w:val="16"/>
              </w:rPr>
              <w:t>"</w:t>
            </w:r>
            <w:r w:rsidR="00DB3054" w:rsidRPr="00DB3054">
              <w:rPr>
                <w:rFonts w:ascii="Verdana" w:eastAsia="Verdana" w:hAnsi="Verdana" w:cs="Verdana"/>
                <w:sz w:val="16"/>
                <w:szCs w:val="16"/>
              </w:rPr>
              <w:t>Encounter, Performed</w:t>
            </w:r>
            <w:r w:rsidR="009218C5">
              <w:rPr>
                <w:rFonts w:ascii="Verdana" w:eastAsia="Verdana" w:hAnsi="Verdana" w:cs="Verdana"/>
                <w:sz w:val="16"/>
                <w:szCs w:val="16"/>
              </w:rPr>
              <w:t>"</w:t>
            </w:r>
            <w:r w:rsidR="00DB3054" w:rsidRPr="00DB3054">
              <w:rPr>
                <w:rFonts w:ascii="Verdana" w:eastAsia="Verdana" w:hAnsi="Verdana" w:cs="Verdana"/>
                <w:sz w:val="16"/>
                <w:szCs w:val="16"/>
              </w:rPr>
              <w:t xml:space="preserve">: </w:t>
            </w:r>
            <w:r w:rsidR="009218C5">
              <w:rPr>
                <w:rFonts w:ascii="Verdana" w:eastAsia="Verdana" w:hAnsi="Verdana" w:cs="Verdana"/>
                <w:sz w:val="16"/>
                <w:szCs w:val="16"/>
              </w:rPr>
              <w:t>"</w:t>
            </w:r>
            <w:r w:rsidR="00DB3054" w:rsidRPr="00DB3054">
              <w:rPr>
                <w:rFonts w:ascii="Verdana" w:eastAsia="Verdana" w:hAnsi="Verdana" w:cs="Verdana"/>
                <w:sz w:val="16"/>
                <w:szCs w:val="16"/>
              </w:rPr>
              <w:t>Office Visit</w:t>
            </w:r>
            <w:r w:rsidR="009218C5">
              <w:rPr>
                <w:rFonts w:ascii="Verdana" w:eastAsia="Verdana" w:hAnsi="Verdana" w:cs="Verdana"/>
                <w:sz w:val="16"/>
                <w:szCs w:val="16"/>
              </w:rPr>
              <w:t>"</w:t>
            </w:r>
            <w:r w:rsidR="00DB3054" w:rsidRPr="00DB3054">
              <w:rPr>
                <w:rFonts w:ascii="Verdana" w:eastAsia="Verdana" w:hAnsi="Verdana" w:cs="Verdana"/>
                <w:sz w:val="16"/>
                <w:szCs w:val="16"/>
              </w:rPr>
              <w:t>]</w:t>
            </w:r>
          </w:p>
          <w:p w14:paraId="6B4D2CC7" w14:textId="5F58245B" w:rsidR="00DB3054" w:rsidRPr="00DB3054" w:rsidRDefault="00DB3054" w:rsidP="00DB3054">
            <w:pPr>
              <w:spacing w:after="0" w:line="240" w:lineRule="auto"/>
              <w:ind w:left="720" w:hanging="360"/>
              <w:rPr>
                <w:rFonts w:ascii="Verdana" w:eastAsia="Verdana" w:hAnsi="Verdana" w:cs="Verdana"/>
                <w:sz w:val="16"/>
                <w:szCs w:val="16"/>
              </w:rPr>
            </w:pPr>
            <w:r w:rsidRPr="00DB3054">
              <w:rPr>
                <w:rFonts w:ascii="Verdana" w:eastAsia="Verdana" w:hAnsi="Verdana" w:cs="Verdana"/>
                <w:sz w:val="16"/>
                <w:szCs w:val="16"/>
              </w:rPr>
              <w:tab/>
              <w:t xml:space="preserve">  union [</w:t>
            </w:r>
            <w:r w:rsidR="009218C5">
              <w:rPr>
                <w:rFonts w:ascii="Verdana" w:eastAsia="Verdana" w:hAnsi="Verdana" w:cs="Verdana"/>
                <w:sz w:val="16"/>
                <w:szCs w:val="16"/>
              </w:rPr>
              <w:t>"</w:t>
            </w:r>
            <w:r w:rsidRPr="00DB3054">
              <w:rPr>
                <w:rFonts w:ascii="Verdana" w:eastAsia="Verdana" w:hAnsi="Verdana" w:cs="Verdana"/>
                <w:sz w:val="16"/>
                <w:szCs w:val="16"/>
              </w:rPr>
              <w:t>Encounter, Performed</w:t>
            </w:r>
            <w:r w:rsidR="009218C5">
              <w:rPr>
                <w:rFonts w:ascii="Verdana" w:eastAsia="Verdana" w:hAnsi="Verdana" w:cs="Verdana"/>
                <w:sz w:val="16"/>
                <w:szCs w:val="16"/>
              </w:rPr>
              <w:t>"</w:t>
            </w:r>
            <w:r w:rsidRPr="00DB3054">
              <w:rPr>
                <w:rFonts w:ascii="Verdana" w:eastAsia="Verdana" w:hAnsi="Verdana" w:cs="Verdana"/>
                <w:sz w:val="16"/>
                <w:szCs w:val="16"/>
              </w:rPr>
              <w:t xml:space="preserve">: </w:t>
            </w:r>
            <w:r w:rsidR="009218C5">
              <w:rPr>
                <w:rFonts w:ascii="Verdana" w:eastAsia="Verdana" w:hAnsi="Verdana" w:cs="Verdana"/>
                <w:sz w:val="16"/>
                <w:szCs w:val="16"/>
              </w:rPr>
              <w:t>"</w:t>
            </w:r>
            <w:r w:rsidRPr="00DB3054">
              <w:rPr>
                <w:rFonts w:ascii="Verdana" w:eastAsia="Verdana" w:hAnsi="Verdana" w:cs="Verdana"/>
                <w:sz w:val="16"/>
                <w:szCs w:val="16"/>
              </w:rPr>
              <w:t>Annual Wellness Visit</w:t>
            </w:r>
            <w:r w:rsidR="009218C5">
              <w:rPr>
                <w:rFonts w:ascii="Verdana" w:eastAsia="Verdana" w:hAnsi="Verdana" w:cs="Verdana"/>
                <w:sz w:val="16"/>
                <w:szCs w:val="16"/>
              </w:rPr>
              <w:t>"</w:t>
            </w:r>
            <w:r w:rsidRPr="00DB3054">
              <w:rPr>
                <w:rFonts w:ascii="Verdana" w:eastAsia="Verdana" w:hAnsi="Verdana" w:cs="Verdana"/>
                <w:sz w:val="16"/>
                <w:szCs w:val="16"/>
              </w:rPr>
              <w:t>]</w:t>
            </w:r>
          </w:p>
          <w:p w14:paraId="0ABBC402" w14:textId="09177F49" w:rsidR="00DB3054" w:rsidRPr="00DB3054" w:rsidRDefault="00DB3054" w:rsidP="00DB3054">
            <w:pPr>
              <w:spacing w:after="0" w:line="240" w:lineRule="auto"/>
              <w:ind w:left="720" w:hanging="360"/>
              <w:rPr>
                <w:rFonts w:ascii="Verdana" w:eastAsia="Verdana" w:hAnsi="Verdana" w:cs="Verdana"/>
                <w:sz w:val="16"/>
                <w:szCs w:val="16"/>
              </w:rPr>
            </w:pPr>
            <w:r w:rsidRPr="00DB3054">
              <w:rPr>
                <w:rFonts w:ascii="Verdana" w:eastAsia="Verdana" w:hAnsi="Verdana" w:cs="Verdana"/>
                <w:sz w:val="16"/>
                <w:szCs w:val="16"/>
              </w:rPr>
              <w:tab/>
              <w:t xml:space="preserve">  union [</w:t>
            </w:r>
            <w:r w:rsidR="009218C5">
              <w:rPr>
                <w:rFonts w:ascii="Verdana" w:eastAsia="Verdana" w:hAnsi="Verdana" w:cs="Verdana"/>
                <w:sz w:val="16"/>
                <w:szCs w:val="16"/>
              </w:rPr>
              <w:t>"</w:t>
            </w:r>
            <w:r w:rsidRPr="00DB3054">
              <w:rPr>
                <w:rFonts w:ascii="Verdana" w:eastAsia="Verdana" w:hAnsi="Verdana" w:cs="Verdana"/>
                <w:sz w:val="16"/>
                <w:szCs w:val="16"/>
              </w:rPr>
              <w:t xml:space="preserve">Encounter, </w:t>
            </w:r>
            <w:proofErr w:type="gramStart"/>
            <w:r w:rsidRPr="00DB3054">
              <w:rPr>
                <w:rFonts w:ascii="Verdana" w:eastAsia="Verdana" w:hAnsi="Verdana" w:cs="Verdana"/>
                <w:sz w:val="16"/>
                <w:szCs w:val="16"/>
              </w:rPr>
              <w:t>Performed</w:t>
            </w:r>
            <w:proofErr w:type="gramEnd"/>
            <w:r w:rsidR="009218C5">
              <w:rPr>
                <w:rFonts w:ascii="Verdana" w:eastAsia="Verdana" w:hAnsi="Verdana" w:cs="Verdana"/>
                <w:sz w:val="16"/>
                <w:szCs w:val="16"/>
              </w:rPr>
              <w:t>"</w:t>
            </w:r>
            <w:r w:rsidRPr="00DB3054">
              <w:rPr>
                <w:rFonts w:ascii="Verdana" w:eastAsia="Verdana" w:hAnsi="Verdana" w:cs="Verdana"/>
                <w:sz w:val="16"/>
                <w:szCs w:val="16"/>
              </w:rPr>
              <w:t xml:space="preserve">: </w:t>
            </w:r>
            <w:r w:rsidR="009218C5">
              <w:rPr>
                <w:rFonts w:ascii="Verdana" w:eastAsia="Verdana" w:hAnsi="Verdana" w:cs="Verdana"/>
                <w:sz w:val="16"/>
                <w:szCs w:val="16"/>
              </w:rPr>
              <w:t>"</w:t>
            </w:r>
            <w:r w:rsidRPr="00DB3054">
              <w:rPr>
                <w:rFonts w:ascii="Verdana" w:eastAsia="Verdana" w:hAnsi="Verdana" w:cs="Verdana"/>
                <w:sz w:val="16"/>
                <w:szCs w:val="16"/>
              </w:rPr>
              <w:t>Preventive Care Services Established Office Visit, 18 and Up</w:t>
            </w:r>
            <w:r w:rsidR="009218C5">
              <w:rPr>
                <w:rFonts w:ascii="Verdana" w:eastAsia="Verdana" w:hAnsi="Verdana" w:cs="Verdana"/>
                <w:sz w:val="16"/>
                <w:szCs w:val="16"/>
              </w:rPr>
              <w:t>"</w:t>
            </w:r>
            <w:r w:rsidRPr="00DB3054">
              <w:rPr>
                <w:rFonts w:ascii="Verdana" w:eastAsia="Verdana" w:hAnsi="Verdana" w:cs="Verdana"/>
                <w:sz w:val="16"/>
                <w:szCs w:val="16"/>
              </w:rPr>
              <w:t>]</w:t>
            </w:r>
          </w:p>
          <w:p w14:paraId="605B41FD" w14:textId="2A266821" w:rsidR="00DB3054" w:rsidRPr="00DB3054" w:rsidRDefault="00DB3054" w:rsidP="00DB3054">
            <w:pPr>
              <w:spacing w:after="0" w:line="240" w:lineRule="auto"/>
              <w:ind w:left="720" w:hanging="360"/>
              <w:rPr>
                <w:rFonts w:ascii="Verdana" w:eastAsia="Verdana" w:hAnsi="Verdana" w:cs="Verdana"/>
                <w:sz w:val="16"/>
                <w:szCs w:val="16"/>
              </w:rPr>
            </w:pPr>
            <w:r w:rsidRPr="00DB3054">
              <w:rPr>
                <w:rFonts w:ascii="Verdana" w:eastAsia="Verdana" w:hAnsi="Verdana" w:cs="Verdana"/>
                <w:sz w:val="16"/>
                <w:szCs w:val="16"/>
              </w:rPr>
              <w:tab/>
              <w:t xml:space="preserve">  union [</w:t>
            </w:r>
            <w:r w:rsidR="009218C5">
              <w:rPr>
                <w:rFonts w:ascii="Verdana" w:eastAsia="Verdana" w:hAnsi="Verdana" w:cs="Verdana"/>
                <w:sz w:val="16"/>
                <w:szCs w:val="16"/>
              </w:rPr>
              <w:t>"</w:t>
            </w:r>
            <w:r w:rsidRPr="00DB3054">
              <w:rPr>
                <w:rFonts w:ascii="Verdana" w:eastAsia="Verdana" w:hAnsi="Verdana" w:cs="Verdana"/>
                <w:sz w:val="16"/>
                <w:szCs w:val="16"/>
              </w:rPr>
              <w:t>Encounter, Performed</w:t>
            </w:r>
            <w:r w:rsidR="009218C5">
              <w:rPr>
                <w:rFonts w:ascii="Verdana" w:eastAsia="Verdana" w:hAnsi="Verdana" w:cs="Verdana"/>
                <w:sz w:val="16"/>
                <w:szCs w:val="16"/>
              </w:rPr>
              <w:t>"</w:t>
            </w:r>
            <w:r w:rsidRPr="00DB3054">
              <w:rPr>
                <w:rFonts w:ascii="Verdana" w:eastAsia="Verdana" w:hAnsi="Verdana" w:cs="Verdana"/>
                <w:sz w:val="16"/>
                <w:szCs w:val="16"/>
              </w:rPr>
              <w:t xml:space="preserve">: </w:t>
            </w:r>
            <w:r w:rsidR="009218C5">
              <w:rPr>
                <w:rFonts w:ascii="Verdana" w:eastAsia="Verdana" w:hAnsi="Verdana" w:cs="Verdana"/>
                <w:sz w:val="16"/>
                <w:szCs w:val="16"/>
              </w:rPr>
              <w:t>"</w:t>
            </w:r>
            <w:r w:rsidRPr="00DB3054">
              <w:rPr>
                <w:rFonts w:ascii="Verdana" w:eastAsia="Verdana" w:hAnsi="Verdana" w:cs="Verdana"/>
                <w:sz w:val="16"/>
                <w:szCs w:val="16"/>
              </w:rPr>
              <w:t>Preventive Care Service</w:t>
            </w:r>
            <w:r w:rsidR="000A0297">
              <w:rPr>
                <w:rFonts w:ascii="Verdana" w:eastAsia="Verdana" w:hAnsi="Verdana" w:cs="Verdana"/>
                <w:sz w:val="16"/>
                <w:szCs w:val="16"/>
              </w:rPr>
              <w:t>s</w:t>
            </w:r>
            <w:r w:rsidRPr="00DB3054">
              <w:rPr>
                <w:rFonts w:ascii="Verdana" w:eastAsia="Verdana" w:hAnsi="Verdana" w:cs="Verdana"/>
                <w:sz w:val="16"/>
                <w:szCs w:val="16"/>
              </w:rPr>
              <w:t xml:space="preserve"> Initial Office Visit, 18 and Up</w:t>
            </w:r>
            <w:r w:rsidR="009218C5">
              <w:rPr>
                <w:rFonts w:ascii="Verdana" w:eastAsia="Verdana" w:hAnsi="Verdana" w:cs="Verdana"/>
                <w:sz w:val="16"/>
                <w:szCs w:val="16"/>
              </w:rPr>
              <w:t>"</w:t>
            </w:r>
            <w:r w:rsidRPr="00DB3054">
              <w:rPr>
                <w:rFonts w:ascii="Verdana" w:eastAsia="Verdana" w:hAnsi="Verdana" w:cs="Verdana"/>
                <w:sz w:val="16"/>
                <w:szCs w:val="16"/>
              </w:rPr>
              <w:t>]</w:t>
            </w:r>
          </w:p>
          <w:p w14:paraId="27FF68C5" w14:textId="66EB3166" w:rsidR="00DB3054" w:rsidRPr="00DB3054" w:rsidRDefault="00DB3054" w:rsidP="00DB3054">
            <w:pPr>
              <w:spacing w:after="0" w:line="240" w:lineRule="auto"/>
              <w:ind w:left="720" w:hanging="360"/>
              <w:rPr>
                <w:rFonts w:ascii="Verdana" w:eastAsia="Verdana" w:hAnsi="Verdana" w:cs="Verdana"/>
                <w:sz w:val="16"/>
                <w:szCs w:val="16"/>
              </w:rPr>
            </w:pPr>
            <w:r w:rsidRPr="00DB3054">
              <w:rPr>
                <w:rFonts w:ascii="Verdana" w:eastAsia="Verdana" w:hAnsi="Verdana" w:cs="Verdana"/>
                <w:sz w:val="16"/>
                <w:szCs w:val="16"/>
              </w:rPr>
              <w:tab/>
              <w:t xml:space="preserve">  union [</w:t>
            </w:r>
            <w:r w:rsidR="009218C5">
              <w:rPr>
                <w:rFonts w:ascii="Verdana" w:eastAsia="Verdana" w:hAnsi="Verdana" w:cs="Verdana"/>
                <w:sz w:val="16"/>
                <w:szCs w:val="16"/>
              </w:rPr>
              <w:t>"</w:t>
            </w:r>
            <w:r w:rsidRPr="00DB3054">
              <w:rPr>
                <w:rFonts w:ascii="Verdana" w:eastAsia="Verdana" w:hAnsi="Verdana" w:cs="Verdana"/>
                <w:sz w:val="16"/>
                <w:szCs w:val="16"/>
              </w:rPr>
              <w:t>Encounter, Performed</w:t>
            </w:r>
            <w:r w:rsidR="009218C5">
              <w:rPr>
                <w:rFonts w:ascii="Verdana" w:eastAsia="Verdana" w:hAnsi="Verdana" w:cs="Verdana"/>
                <w:sz w:val="16"/>
                <w:szCs w:val="16"/>
              </w:rPr>
              <w:t>"</w:t>
            </w:r>
            <w:r w:rsidRPr="00DB3054">
              <w:rPr>
                <w:rFonts w:ascii="Verdana" w:eastAsia="Verdana" w:hAnsi="Verdana" w:cs="Verdana"/>
                <w:sz w:val="16"/>
                <w:szCs w:val="16"/>
              </w:rPr>
              <w:t xml:space="preserve">: </w:t>
            </w:r>
            <w:r w:rsidR="009218C5">
              <w:rPr>
                <w:rFonts w:ascii="Verdana" w:eastAsia="Verdana" w:hAnsi="Verdana" w:cs="Verdana"/>
                <w:sz w:val="16"/>
                <w:szCs w:val="16"/>
              </w:rPr>
              <w:t>"</w:t>
            </w:r>
            <w:r w:rsidRPr="00DB3054">
              <w:rPr>
                <w:rFonts w:ascii="Verdana" w:eastAsia="Verdana" w:hAnsi="Verdana" w:cs="Verdana"/>
                <w:sz w:val="16"/>
                <w:szCs w:val="16"/>
              </w:rPr>
              <w:t>Home Healthcare Services</w:t>
            </w:r>
            <w:r w:rsidR="009218C5">
              <w:rPr>
                <w:rFonts w:ascii="Verdana" w:eastAsia="Verdana" w:hAnsi="Verdana" w:cs="Verdana"/>
                <w:sz w:val="16"/>
                <w:szCs w:val="16"/>
              </w:rPr>
              <w:t>"</w:t>
            </w:r>
            <w:r w:rsidRPr="00DB3054">
              <w:rPr>
                <w:rFonts w:ascii="Verdana" w:eastAsia="Verdana" w:hAnsi="Verdana" w:cs="Verdana"/>
                <w:sz w:val="16"/>
                <w:szCs w:val="16"/>
              </w:rPr>
              <w:t>]</w:t>
            </w:r>
          </w:p>
          <w:p w14:paraId="0C630996" w14:textId="1BC9BAC8" w:rsidR="00DB3054" w:rsidRPr="00DB3054" w:rsidRDefault="00DB3054" w:rsidP="00DB3054">
            <w:pPr>
              <w:spacing w:after="0" w:line="240" w:lineRule="auto"/>
              <w:ind w:left="720" w:hanging="360"/>
              <w:rPr>
                <w:rFonts w:ascii="Verdana" w:eastAsia="Verdana" w:hAnsi="Verdana" w:cs="Verdana"/>
                <w:sz w:val="16"/>
                <w:szCs w:val="16"/>
              </w:rPr>
            </w:pPr>
            <w:r w:rsidRPr="00DB3054">
              <w:rPr>
                <w:rFonts w:ascii="Verdana" w:eastAsia="Verdana" w:hAnsi="Verdana" w:cs="Verdana"/>
                <w:sz w:val="16"/>
                <w:szCs w:val="16"/>
              </w:rPr>
              <w:tab/>
              <w:t xml:space="preserve">  union [</w:t>
            </w:r>
            <w:r w:rsidR="009218C5">
              <w:rPr>
                <w:rFonts w:ascii="Verdana" w:eastAsia="Verdana" w:hAnsi="Verdana" w:cs="Verdana"/>
                <w:sz w:val="16"/>
                <w:szCs w:val="16"/>
              </w:rPr>
              <w:t>"</w:t>
            </w:r>
            <w:r w:rsidRPr="00DB3054">
              <w:rPr>
                <w:rFonts w:ascii="Verdana" w:eastAsia="Verdana" w:hAnsi="Verdana" w:cs="Verdana"/>
                <w:sz w:val="16"/>
                <w:szCs w:val="16"/>
              </w:rPr>
              <w:t>Encounter, Performed</w:t>
            </w:r>
            <w:r w:rsidR="009218C5">
              <w:rPr>
                <w:rFonts w:ascii="Verdana" w:eastAsia="Verdana" w:hAnsi="Verdana" w:cs="Verdana"/>
                <w:sz w:val="16"/>
                <w:szCs w:val="16"/>
              </w:rPr>
              <w:t>"</w:t>
            </w:r>
            <w:r w:rsidRPr="00DB3054">
              <w:rPr>
                <w:rFonts w:ascii="Verdana" w:eastAsia="Verdana" w:hAnsi="Verdana" w:cs="Verdana"/>
                <w:sz w:val="16"/>
                <w:szCs w:val="16"/>
              </w:rPr>
              <w:t xml:space="preserve">: </w:t>
            </w:r>
            <w:r w:rsidR="009218C5">
              <w:rPr>
                <w:rFonts w:ascii="Verdana" w:eastAsia="Verdana" w:hAnsi="Verdana" w:cs="Verdana"/>
                <w:sz w:val="16"/>
                <w:szCs w:val="16"/>
              </w:rPr>
              <w:t>"</w:t>
            </w:r>
            <w:r w:rsidRPr="00DB3054">
              <w:rPr>
                <w:rFonts w:ascii="Verdana" w:eastAsia="Verdana" w:hAnsi="Verdana" w:cs="Verdana"/>
                <w:sz w:val="16"/>
                <w:szCs w:val="16"/>
              </w:rPr>
              <w:t>Ophthalmological Services</w:t>
            </w:r>
            <w:r w:rsidR="009218C5">
              <w:rPr>
                <w:rFonts w:ascii="Verdana" w:eastAsia="Verdana" w:hAnsi="Verdana" w:cs="Verdana"/>
                <w:sz w:val="16"/>
                <w:szCs w:val="16"/>
              </w:rPr>
              <w:t>"</w:t>
            </w:r>
            <w:r w:rsidRPr="00DB3054">
              <w:rPr>
                <w:rFonts w:ascii="Verdana" w:eastAsia="Verdana" w:hAnsi="Verdana" w:cs="Verdana"/>
                <w:sz w:val="16"/>
                <w:szCs w:val="16"/>
              </w:rPr>
              <w:t>]</w:t>
            </w:r>
          </w:p>
          <w:p w14:paraId="4E7385ED" w14:textId="3A193145" w:rsidR="00DB3054" w:rsidRPr="00DB3054" w:rsidRDefault="00DB3054" w:rsidP="00DB3054">
            <w:pPr>
              <w:spacing w:after="0" w:line="240" w:lineRule="auto"/>
              <w:ind w:left="720" w:hanging="360"/>
              <w:rPr>
                <w:rFonts w:ascii="Verdana" w:eastAsia="Verdana" w:hAnsi="Verdana" w:cs="Verdana"/>
                <w:sz w:val="16"/>
                <w:szCs w:val="16"/>
              </w:rPr>
            </w:pPr>
            <w:r w:rsidRPr="00DB3054">
              <w:rPr>
                <w:rFonts w:ascii="Verdana" w:eastAsia="Verdana" w:hAnsi="Verdana" w:cs="Verdana"/>
                <w:sz w:val="16"/>
                <w:szCs w:val="16"/>
              </w:rPr>
              <w:tab/>
              <w:t xml:space="preserve">  union [</w:t>
            </w:r>
            <w:r w:rsidR="009218C5">
              <w:rPr>
                <w:rFonts w:ascii="Verdana" w:eastAsia="Verdana" w:hAnsi="Verdana" w:cs="Verdana"/>
                <w:sz w:val="16"/>
                <w:szCs w:val="16"/>
              </w:rPr>
              <w:t>"</w:t>
            </w:r>
            <w:r w:rsidRPr="00DB3054">
              <w:rPr>
                <w:rFonts w:ascii="Verdana" w:eastAsia="Verdana" w:hAnsi="Verdana" w:cs="Verdana"/>
                <w:sz w:val="16"/>
                <w:szCs w:val="16"/>
              </w:rPr>
              <w:t>Encounter, Performed</w:t>
            </w:r>
            <w:r w:rsidR="009218C5">
              <w:rPr>
                <w:rFonts w:ascii="Verdana" w:eastAsia="Verdana" w:hAnsi="Verdana" w:cs="Verdana"/>
                <w:sz w:val="16"/>
                <w:szCs w:val="16"/>
              </w:rPr>
              <w:t>"</w:t>
            </w:r>
            <w:r w:rsidRPr="00DB3054">
              <w:rPr>
                <w:rFonts w:ascii="Verdana" w:eastAsia="Verdana" w:hAnsi="Verdana" w:cs="Verdana"/>
                <w:sz w:val="16"/>
                <w:szCs w:val="16"/>
              </w:rPr>
              <w:t xml:space="preserve">: </w:t>
            </w:r>
            <w:r w:rsidR="009218C5">
              <w:rPr>
                <w:rFonts w:ascii="Verdana" w:eastAsia="Verdana" w:hAnsi="Verdana" w:cs="Verdana"/>
                <w:sz w:val="16"/>
                <w:szCs w:val="16"/>
              </w:rPr>
              <w:t>"</w:t>
            </w:r>
            <w:r w:rsidRPr="00DB3054">
              <w:rPr>
                <w:rFonts w:ascii="Verdana" w:eastAsia="Verdana" w:hAnsi="Verdana" w:cs="Verdana"/>
                <w:sz w:val="16"/>
                <w:szCs w:val="16"/>
              </w:rPr>
              <w:t>Telephone Visits</w:t>
            </w:r>
            <w:r w:rsidR="009218C5">
              <w:rPr>
                <w:rFonts w:ascii="Verdana" w:eastAsia="Verdana" w:hAnsi="Verdana" w:cs="Verdana"/>
                <w:sz w:val="16"/>
                <w:szCs w:val="16"/>
              </w:rPr>
              <w:t>"</w:t>
            </w:r>
            <w:proofErr w:type="gramStart"/>
            <w:r w:rsidRPr="00DB3054">
              <w:rPr>
                <w:rFonts w:ascii="Verdana" w:eastAsia="Verdana" w:hAnsi="Verdana" w:cs="Verdana"/>
                <w:sz w:val="16"/>
                <w:szCs w:val="16"/>
              </w:rPr>
              <w:t>] )</w:t>
            </w:r>
            <w:proofErr w:type="gramEnd"/>
            <w:r w:rsidRPr="00DB3054">
              <w:rPr>
                <w:rFonts w:ascii="Verdana" w:eastAsia="Verdana" w:hAnsi="Verdana" w:cs="Verdana"/>
                <w:sz w:val="16"/>
                <w:szCs w:val="16"/>
              </w:rPr>
              <w:t xml:space="preserve"> </w:t>
            </w:r>
            <w:proofErr w:type="spellStart"/>
            <w:r w:rsidRPr="00DB3054">
              <w:rPr>
                <w:rFonts w:ascii="Verdana" w:eastAsia="Verdana" w:hAnsi="Verdana" w:cs="Verdana"/>
                <w:sz w:val="16"/>
                <w:szCs w:val="16"/>
              </w:rPr>
              <w:t>ValidEncounters</w:t>
            </w:r>
            <w:proofErr w:type="spellEnd"/>
          </w:p>
          <w:p w14:paraId="78D1862E" w14:textId="28C4C98F" w:rsidR="00C95016" w:rsidRPr="00DB3054" w:rsidRDefault="00DB3054" w:rsidP="00DB3054">
            <w:pPr>
              <w:spacing w:after="0" w:line="240" w:lineRule="auto"/>
              <w:ind w:left="720" w:hanging="360"/>
              <w:rPr>
                <w:rFonts w:ascii="Verdana" w:eastAsia="Verdana" w:hAnsi="Verdana" w:cs="Verdana"/>
                <w:sz w:val="15"/>
                <w:szCs w:val="15"/>
              </w:rPr>
            </w:pPr>
            <w:r w:rsidRPr="00DB3054">
              <w:rPr>
                <w:rFonts w:ascii="Verdana" w:eastAsia="Verdana" w:hAnsi="Verdana" w:cs="Verdana"/>
                <w:sz w:val="16"/>
                <w:szCs w:val="16"/>
              </w:rPr>
              <w:tab/>
              <w:t xml:space="preserve">  where </w:t>
            </w:r>
            <w:proofErr w:type="spellStart"/>
            <w:r w:rsidRPr="00DB3054">
              <w:rPr>
                <w:rFonts w:ascii="Verdana" w:eastAsia="Verdana" w:hAnsi="Verdana" w:cs="Verdana"/>
                <w:sz w:val="16"/>
                <w:szCs w:val="16"/>
              </w:rPr>
              <w:t>ValidEncounters.relevantPeriod</w:t>
            </w:r>
            <w:proofErr w:type="spellEnd"/>
            <w:r w:rsidRPr="00DB3054">
              <w:rPr>
                <w:rFonts w:ascii="Verdana" w:eastAsia="Verdana" w:hAnsi="Verdana" w:cs="Verdana"/>
                <w:sz w:val="16"/>
                <w:szCs w:val="16"/>
              </w:rPr>
              <w:t xml:space="preserve"> during day of </w:t>
            </w:r>
            <w:r w:rsidR="009218C5">
              <w:rPr>
                <w:rFonts w:ascii="Verdana" w:eastAsia="Verdana" w:hAnsi="Verdana" w:cs="Verdana"/>
                <w:sz w:val="16"/>
                <w:szCs w:val="16"/>
              </w:rPr>
              <w:t>"</w:t>
            </w:r>
            <w:r w:rsidRPr="00DB3054">
              <w:rPr>
                <w:rFonts w:ascii="Verdana" w:eastAsia="Verdana" w:hAnsi="Verdana" w:cs="Verdana"/>
                <w:sz w:val="16"/>
                <w:szCs w:val="16"/>
              </w:rPr>
              <w:t>Measurement Period</w:t>
            </w:r>
            <w:r w:rsidR="009218C5">
              <w:rPr>
                <w:rFonts w:ascii="Verdana" w:eastAsia="Verdana" w:hAnsi="Verdana" w:cs="Verdana"/>
                <w:sz w:val="16"/>
                <w:szCs w:val="16"/>
              </w:rPr>
              <w:t>"</w:t>
            </w:r>
          </w:p>
        </w:tc>
      </w:tr>
    </w:tbl>
    <w:p w14:paraId="0000018D" w14:textId="1E758B5D" w:rsidR="00D67C8C" w:rsidRDefault="00C80A11" w:rsidP="00C95016">
      <w:pPr>
        <w:pStyle w:val="ParagraphContinued"/>
      </w:pPr>
      <w:r>
        <w:t>I</w:t>
      </w:r>
      <w:r w:rsidRPr="0020676E">
        <w:rPr>
          <w:rFonts w:cs="Times New Roman"/>
        </w:rPr>
        <w:t>n this example, the seven encounters all use the same QDM datatype (</w:t>
      </w:r>
      <w:r w:rsidR="0020676E" w:rsidRPr="0020676E">
        <w:rPr>
          <w:rFonts w:cs="Times New Roman"/>
        </w:rPr>
        <w:t>“</w:t>
      </w:r>
      <w:r w:rsidRPr="0020676E">
        <w:rPr>
          <w:rFonts w:eastAsia="Courier New" w:cs="Times New Roman"/>
          <w:szCs w:val="20"/>
        </w:rPr>
        <w:t xml:space="preserve">Encounter, </w:t>
      </w:r>
      <w:proofErr w:type="gramStart"/>
      <w:r w:rsidRPr="0020676E">
        <w:rPr>
          <w:rFonts w:eastAsia="Courier New" w:cs="Times New Roman"/>
          <w:szCs w:val="20"/>
        </w:rPr>
        <w:t>Performed</w:t>
      </w:r>
      <w:proofErr w:type="gramEnd"/>
      <w:r w:rsidR="0020676E" w:rsidRPr="0020676E">
        <w:rPr>
          <w:rFonts w:eastAsia="Courier New" w:cs="Times New Roman"/>
          <w:szCs w:val="20"/>
        </w:rPr>
        <w:t>”</w:t>
      </w:r>
      <w:r w:rsidRPr="0020676E">
        <w:rPr>
          <w:rFonts w:cs="Times New Roman"/>
        </w:rPr>
        <w:t>)</w:t>
      </w:r>
      <w:r w:rsidR="00DE0711" w:rsidRPr="0020676E">
        <w:rPr>
          <w:rFonts w:cs="Times New Roman"/>
        </w:rPr>
        <w:t xml:space="preserve">, </w:t>
      </w:r>
      <w:r w:rsidRPr="0020676E">
        <w:rPr>
          <w:rFonts w:cs="Times New Roman"/>
        </w:rPr>
        <w:t>and each binds a grouping value set and the logic (</w:t>
      </w:r>
      <w:r w:rsidR="0020676E" w:rsidRPr="0020676E">
        <w:rPr>
          <w:rFonts w:cs="Times New Roman"/>
        </w:rPr>
        <w:t>“</w:t>
      </w:r>
      <w:r w:rsidRPr="0020676E">
        <w:rPr>
          <w:rFonts w:eastAsia="Courier New" w:cs="Times New Roman"/>
          <w:szCs w:val="20"/>
        </w:rPr>
        <w:t>union</w:t>
      </w:r>
      <w:r w:rsidR="0020676E" w:rsidRPr="0020676E">
        <w:rPr>
          <w:rFonts w:eastAsia="Courier New" w:cs="Times New Roman"/>
          <w:szCs w:val="20"/>
        </w:rPr>
        <w:t>”</w:t>
      </w:r>
      <w:r w:rsidRPr="0020676E">
        <w:rPr>
          <w:rFonts w:cs="Times New Roman"/>
        </w:rPr>
        <w:t>) to express these encounter types meet the measure criteria. Together, these seven encounters provide codes covering the recommended code system, SNOMED CT, as well as the native capture terminolog</w:t>
      </w:r>
      <w:r>
        <w:t xml:space="preserve">ies (formerly referred to as </w:t>
      </w:r>
      <w:r w:rsidR="0020676E">
        <w:t>“</w:t>
      </w:r>
      <w:r>
        <w:t>transition code systems</w:t>
      </w:r>
      <w:r w:rsidR="0020676E">
        <w:t>”</w:t>
      </w:r>
      <w:r>
        <w:t>), CPT and Healthcare Common Procedure Coding System (HCPCS).</w:t>
      </w:r>
    </w:p>
    <w:p w14:paraId="0000018E" w14:textId="38999925" w:rsidR="00D67C8C" w:rsidRPr="007733C7" w:rsidRDefault="00C80A11" w:rsidP="008D0AF9">
      <w:pPr>
        <w:pStyle w:val="Paragraph"/>
        <w:rPr>
          <w:color w:val="0563C1"/>
          <w:u w:val="single"/>
        </w:rPr>
      </w:pPr>
      <w:r>
        <w:t>CMS encourages users of the eCQMs updated for</w:t>
      </w:r>
      <w:r w:rsidR="003428A9">
        <w:t xml:space="preserve"> </w:t>
      </w:r>
      <w:r w:rsidR="00415519">
        <w:t xml:space="preserve">2027 </w:t>
      </w:r>
      <w:r>
        <w:t xml:space="preserve">reporting or performance to suggest additions and deletions to data elements, both within value sets and between code systems. Users can submit their suggestions via the </w:t>
      </w:r>
      <w:hyperlink r:id="rId100" w:history="1">
        <w:r w:rsidR="005B00A8" w:rsidRPr="005B00A8">
          <w:rPr>
            <w:rStyle w:val="Hyperlink"/>
          </w:rPr>
          <w:t>ASTP/ONC Project Tracking System (Jira) QDM Issue Tracker</w:t>
        </w:r>
      </w:hyperlink>
      <w:r w:rsidR="005B00A8">
        <w:t>.</w:t>
      </w:r>
    </w:p>
    <w:p w14:paraId="0000018F" w14:textId="066C281B" w:rsidR="00D67C8C" w:rsidRPr="00BE21ED" w:rsidRDefault="008D0AF9" w:rsidP="008D0AF9">
      <w:pPr>
        <w:pStyle w:val="H2-Num"/>
      </w:pPr>
      <w:bookmarkStart w:id="289" w:name="_heading=h.4fsjm0b" w:colFirst="0" w:colLast="0"/>
      <w:bookmarkStart w:id="290" w:name="_Toc446948762"/>
      <w:bookmarkStart w:id="291" w:name="_Toc23176757"/>
      <w:bookmarkStart w:id="292" w:name="_Toc56635385"/>
      <w:bookmarkStart w:id="293" w:name="_Toc64983077"/>
      <w:bookmarkStart w:id="294" w:name="_Toc159578388"/>
      <w:bookmarkStart w:id="295" w:name="_Toc194959013"/>
      <w:bookmarkStart w:id="296" w:name="_Toc194994760"/>
      <w:bookmarkStart w:id="297" w:name="_Hlk157780198"/>
      <w:bookmarkEnd w:id="289"/>
      <w:r>
        <w:rPr>
          <w:rFonts w:eastAsia="Arial Narrow"/>
        </w:rPr>
        <w:t>3.5</w:t>
      </w:r>
      <w:r>
        <w:rPr>
          <w:rFonts w:eastAsia="Arial Narrow"/>
        </w:rPr>
        <w:tab/>
      </w:r>
      <w:r w:rsidR="00C80A11" w:rsidRPr="00BE21ED">
        <w:rPr>
          <w:rFonts w:eastAsia="Arial Narrow"/>
        </w:rPr>
        <w:t xml:space="preserve">Drug Representations Used in Value </w:t>
      </w:r>
      <w:bookmarkEnd w:id="290"/>
      <w:bookmarkEnd w:id="291"/>
      <w:bookmarkEnd w:id="292"/>
      <w:bookmarkEnd w:id="293"/>
      <w:r w:rsidR="00C80A11" w:rsidRPr="00BE21ED">
        <w:rPr>
          <w:rFonts w:eastAsia="Arial Narrow"/>
        </w:rPr>
        <w:t>Sets</w:t>
      </w:r>
      <w:bookmarkEnd w:id="294"/>
      <w:bookmarkEnd w:id="295"/>
      <w:bookmarkEnd w:id="296"/>
    </w:p>
    <w:bookmarkStart w:id="298" w:name="_heading=h.2uxtw84" w:colFirst="0" w:colLast="0"/>
    <w:bookmarkStart w:id="299" w:name="_Toc446948763"/>
    <w:bookmarkStart w:id="300" w:name="_Toc23176758"/>
    <w:bookmarkStart w:id="301" w:name="_Toc56635386"/>
    <w:bookmarkStart w:id="302" w:name="_Toc64983078"/>
    <w:bookmarkEnd w:id="298"/>
    <w:p w14:paraId="00000190" w14:textId="103E130B" w:rsidR="00D67C8C" w:rsidRDefault="00CE7594" w:rsidP="008D0AF9">
      <w:pPr>
        <w:pStyle w:val="ParagraphContinued"/>
      </w:pPr>
      <w:r>
        <w:rPr>
          <w:color w:val="0563C1"/>
          <w:u w:val="single"/>
        </w:rPr>
        <w:fldChar w:fldCharType="begin"/>
      </w:r>
      <w:r>
        <w:rPr>
          <w:color w:val="0563C1"/>
          <w:u w:val="single"/>
        </w:rPr>
        <w:instrText>HYPERLINK "https://ecqi.healthit.gov/value-set-information?qt-tabs_vsg=about"</w:instrText>
      </w:r>
      <w:r>
        <w:rPr>
          <w:color w:val="0563C1"/>
          <w:u w:val="single"/>
        </w:rPr>
      </w:r>
      <w:r>
        <w:rPr>
          <w:color w:val="0563C1"/>
          <w:u w:val="single"/>
        </w:rPr>
        <w:fldChar w:fldCharType="separate"/>
      </w:r>
      <w:r w:rsidR="00C80A11" w:rsidRPr="00CE7594">
        <w:rPr>
          <w:rStyle w:val="Hyperlink"/>
        </w:rPr>
        <w:t>Value sets</w:t>
      </w:r>
      <w:r>
        <w:rPr>
          <w:color w:val="0563C1"/>
          <w:u w:val="single"/>
        </w:rPr>
        <w:fldChar w:fldCharType="end"/>
      </w:r>
      <w:r w:rsidR="00C80A11">
        <w:t xml:space="preserve"> referring to specific non-vaccine, prescribable medications use generalized drug concepts,</w:t>
      </w:r>
      <w:r w:rsidR="00DE0CEC">
        <w:t xml:space="preserve"> s</w:t>
      </w:r>
      <w:r w:rsidR="00C80A11">
        <w:t xml:space="preserve">uch as </w:t>
      </w:r>
      <w:hyperlink r:id="rId101">
        <w:proofErr w:type="spellStart"/>
        <w:r w:rsidR="00C80A11">
          <w:rPr>
            <w:color w:val="0563C1"/>
            <w:u w:val="single"/>
          </w:rPr>
          <w:t>RxNorm</w:t>
        </w:r>
        <w:proofErr w:type="spellEnd"/>
        <w:r w:rsidR="00C80A11">
          <w:rPr>
            <w:color w:val="0563C1"/>
            <w:u w:val="single"/>
          </w:rPr>
          <w:t xml:space="preserve"> Semantic Clinical Drugs [SCDs]</w:t>
        </w:r>
      </w:hyperlink>
      <w:r w:rsidR="00C80A11">
        <w:t>. Health information technology</w:t>
      </w:r>
      <w:r w:rsidR="00ED06F8">
        <w:t xml:space="preserve"> (IT)</w:t>
      </w:r>
      <w:r w:rsidR="00C80A11">
        <w:t xml:space="preserve"> vendors or measured entities report the drug entities in patient data using the generalized drug concepts included in the defined value sets. These concur with CMS’s guidance regarding the preferred use of generalized drug concepts. eCQM implementers should use the relationships found in </w:t>
      </w:r>
      <w:hyperlink r:id="rId102">
        <w:proofErr w:type="spellStart"/>
        <w:r w:rsidR="00C80A11">
          <w:rPr>
            <w:color w:val="0563C1"/>
            <w:u w:val="single"/>
          </w:rPr>
          <w:t>RxNorm</w:t>
        </w:r>
        <w:proofErr w:type="spellEnd"/>
      </w:hyperlink>
      <w:r w:rsidR="00C80A11">
        <w:t xml:space="preserve"> to support mapping between specific drug entities found in patient records to those found in the provided value sets. </w:t>
      </w:r>
      <w:r w:rsidR="00B37DB2" w:rsidRPr="00B37DB2">
        <w:t xml:space="preserve">If mapping is conducted, </w:t>
      </w:r>
      <w:r w:rsidR="00B37DB2">
        <w:t>implementers</w:t>
      </w:r>
      <w:r w:rsidR="00B37DB2" w:rsidRPr="00B37DB2">
        <w:t xml:space="preserve"> should maintain documentation in case of a CMS audit</w:t>
      </w:r>
      <w:r w:rsidR="00B37DB2">
        <w:t xml:space="preserve">. </w:t>
      </w:r>
      <w:r w:rsidR="00C80A11">
        <w:t xml:space="preserve">Administered vaccines are currently represented in value sets using </w:t>
      </w:r>
      <w:hyperlink r:id="rId103" w:history="1">
        <w:r w:rsidR="00C80A11" w:rsidRPr="0095691F">
          <w:rPr>
            <w:rStyle w:val="Hyperlink"/>
          </w:rPr>
          <w:t>Clinical Vaccine Formulation (CVX)</w:t>
        </w:r>
      </w:hyperlink>
      <w:r w:rsidR="00C80A11">
        <w:t xml:space="preserve"> codes. </w:t>
      </w:r>
    </w:p>
    <w:p w14:paraId="00000191" w14:textId="6020D264" w:rsidR="00D67C8C" w:rsidRDefault="008D0AF9" w:rsidP="008D0AF9">
      <w:pPr>
        <w:pStyle w:val="H2-Num"/>
      </w:pPr>
      <w:bookmarkStart w:id="303" w:name="_heading=h.1a346fx" w:colFirst="0" w:colLast="0"/>
      <w:bookmarkStart w:id="304" w:name="_Toc159578389"/>
      <w:bookmarkStart w:id="305" w:name="_Toc194959014"/>
      <w:bookmarkStart w:id="306" w:name="_Toc194994761"/>
      <w:bookmarkEnd w:id="297"/>
      <w:bookmarkEnd w:id="303"/>
      <w:r>
        <w:rPr>
          <w:rFonts w:eastAsia="Arial Narrow"/>
        </w:rPr>
        <w:lastRenderedPageBreak/>
        <w:t>3.6</w:t>
      </w:r>
      <w:r>
        <w:rPr>
          <w:rFonts w:eastAsia="Arial Narrow"/>
        </w:rPr>
        <w:tab/>
      </w:r>
      <w:r w:rsidR="00C80A11" w:rsidRPr="005E64B8">
        <w:rPr>
          <w:rFonts w:eastAsia="Arial Narrow"/>
        </w:rPr>
        <w:t xml:space="preserve">Discharge </w:t>
      </w:r>
      <w:bookmarkEnd w:id="299"/>
      <w:bookmarkEnd w:id="300"/>
      <w:bookmarkEnd w:id="301"/>
      <w:bookmarkEnd w:id="302"/>
      <w:r w:rsidR="00C80A11" w:rsidRPr="005E64B8">
        <w:rPr>
          <w:rFonts w:eastAsia="Arial Narrow"/>
        </w:rPr>
        <w:t>Medications</w:t>
      </w:r>
      <w:bookmarkEnd w:id="304"/>
      <w:bookmarkEnd w:id="305"/>
      <w:bookmarkEnd w:id="306"/>
    </w:p>
    <w:p w14:paraId="00000192" w14:textId="1E702C4E" w:rsidR="00D67C8C" w:rsidRDefault="00C80A11" w:rsidP="008D0AF9">
      <w:pPr>
        <w:pStyle w:val="ParagraphContinued"/>
      </w:pPr>
      <w:r>
        <w:t>The use of</w:t>
      </w:r>
      <w:r w:rsidRPr="0020676E">
        <w:rPr>
          <w:rFonts w:cs="Times New Roman"/>
        </w:rPr>
        <w:t xml:space="preserve"> </w:t>
      </w:r>
      <w:r w:rsidR="0020676E">
        <w:rPr>
          <w:rFonts w:cs="Times New Roman"/>
        </w:rPr>
        <w:t xml:space="preserve">the </w:t>
      </w:r>
      <w:r w:rsidRPr="0020676E">
        <w:rPr>
          <w:rFonts w:cs="Times New Roman"/>
        </w:rPr>
        <w:t>“</w:t>
      </w:r>
      <w:r w:rsidRPr="0020676E">
        <w:rPr>
          <w:rFonts w:eastAsia="Courier New" w:cs="Times New Roman"/>
          <w:szCs w:val="20"/>
        </w:rPr>
        <w:t>Medication, Discharge</w:t>
      </w:r>
      <w:r w:rsidRPr="0020676E">
        <w:rPr>
          <w:rFonts w:cs="Times New Roman"/>
        </w:rPr>
        <w:t xml:space="preserve">” </w:t>
      </w:r>
      <w:r w:rsidR="0020676E">
        <w:rPr>
          <w:rFonts w:cs="Times New Roman"/>
        </w:rPr>
        <w:t xml:space="preserve">QDM datatype </w:t>
      </w:r>
      <w:r w:rsidRPr="0020676E">
        <w:rPr>
          <w:rFonts w:cs="Times New Roman"/>
        </w:rPr>
        <w:t xml:space="preserve">has a very specific meaning in </w:t>
      </w:r>
      <w:r w:rsidR="003E34B9" w:rsidRPr="0020676E">
        <w:rPr>
          <w:rFonts w:cs="Times New Roman"/>
        </w:rPr>
        <w:t>hospital</w:t>
      </w:r>
      <w:r w:rsidR="00DE4D30" w:rsidRPr="0020676E">
        <w:rPr>
          <w:rFonts w:cs="Times New Roman"/>
        </w:rPr>
        <w:t xml:space="preserve"> </w:t>
      </w:r>
      <w:r w:rsidR="0020676E">
        <w:rPr>
          <w:rFonts w:cs="Times New Roman"/>
        </w:rPr>
        <w:t>-</w:t>
      </w:r>
      <w:r w:rsidR="007A5E49" w:rsidRPr="0020676E">
        <w:rPr>
          <w:rFonts w:cs="Times New Roman"/>
        </w:rPr>
        <w:t xml:space="preserve"> i</w:t>
      </w:r>
      <w:r w:rsidR="00DE4D30" w:rsidRPr="0020676E">
        <w:rPr>
          <w:rFonts w:cs="Times New Roman"/>
        </w:rPr>
        <w:t>npatient</w:t>
      </w:r>
      <w:r w:rsidRPr="0020676E">
        <w:rPr>
          <w:rFonts w:cs="Times New Roman"/>
        </w:rPr>
        <w:t xml:space="preserve"> eCQMs. This designation refers to medications reconciled in the clinical environment and documented on the patient’s discharge medication list. </w:t>
      </w:r>
      <w:r w:rsidRPr="00F73409">
        <w:rPr>
          <w:rFonts w:cs="Times New Roman"/>
          <w:b/>
          <w:bCs/>
        </w:rPr>
        <w:t>“</w:t>
      </w:r>
      <w:r w:rsidRPr="00F73409">
        <w:rPr>
          <w:rFonts w:eastAsia="Courier New" w:cs="Times New Roman"/>
          <w:b/>
          <w:bCs/>
        </w:rPr>
        <w:t>Medication, Discharge</w:t>
      </w:r>
      <w:r w:rsidRPr="00F73409">
        <w:rPr>
          <w:rFonts w:cs="Times New Roman"/>
          <w:b/>
          <w:bCs/>
        </w:rPr>
        <w:t>”</w:t>
      </w:r>
      <w:r w:rsidRPr="0020676E">
        <w:rPr>
          <w:rFonts w:cs="Times New Roman"/>
          <w:b/>
        </w:rPr>
        <w:t xml:space="preserve"> events </w:t>
      </w:r>
      <w:r w:rsidR="00BA5566" w:rsidRPr="0020676E">
        <w:rPr>
          <w:rFonts w:cs="Times New Roman"/>
          <w:b/>
        </w:rPr>
        <w:t xml:space="preserve">are not equivalent to </w:t>
      </w:r>
      <w:r w:rsidRPr="0020676E">
        <w:rPr>
          <w:rFonts w:cs="Times New Roman"/>
          <w:b/>
        </w:rPr>
        <w:t>medications that happen to be active at the time of discharge.</w:t>
      </w:r>
      <w:r w:rsidRPr="0020676E">
        <w:rPr>
          <w:rFonts w:cs="Times New Roman"/>
        </w:rPr>
        <w:t xml:space="preserve"> Discharge medications represent those medications the patient should be taking in the next </w:t>
      </w:r>
      <w:r>
        <w:t>setting of care</w:t>
      </w:r>
      <w:r w:rsidR="00A54F03">
        <w:t xml:space="preserve">, </w:t>
      </w:r>
      <w:r>
        <w:t xml:space="preserve">generally used for discharges to home. These discharge medications will be the same as the subsequent home medication list resulting from medication reconciliation in the ambulatory patient medical record. This reconciled medication list </w:t>
      </w:r>
      <w:r w:rsidR="007716EA">
        <w:t>may</w:t>
      </w:r>
      <w:r>
        <w:t xml:space="preserve"> be different from the ambulatory medication list existing before admission to the hospital since the discharge medication list will account for new clinical considerations identified during the hospitalization.</w:t>
      </w:r>
    </w:p>
    <w:p w14:paraId="00000193" w14:textId="30D1BAFF" w:rsidR="00D67C8C" w:rsidRDefault="00C80A11" w:rsidP="008D0AF9">
      <w:pPr>
        <w:pStyle w:val="Paragraph"/>
      </w:pPr>
      <w:r>
        <w:t xml:space="preserve">Figure </w:t>
      </w:r>
      <w:r w:rsidR="008D6C9A">
        <w:t>3</w:t>
      </w:r>
      <w:r>
        <w:t>.4 is an example of measure logic for</w:t>
      </w:r>
      <w:r w:rsidRPr="00F73409">
        <w:rPr>
          <w:rFonts w:cs="Times New Roman"/>
        </w:rPr>
        <w:t xml:space="preserve"> </w:t>
      </w:r>
      <w:r w:rsidRPr="00F73409">
        <w:rPr>
          <w:rFonts w:eastAsia="Courier New" w:cs="Times New Roman"/>
          <w:szCs w:val="20"/>
        </w:rPr>
        <w:t>“Medication, Discharge”</w:t>
      </w:r>
      <w:r w:rsidRPr="00F73409">
        <w:rPr>
          <w:rFonts w:cs="Times New Roman"/>
        </w:rPr>
        <w:t xml:space="preserve"> in </w:t>
      </w:r>
      <w:hyperlink r:id="rId104" w:history="1">
        <w:r w:rsidR="00AE1D0B" w:rsidRPr="00F73409">
          <w:rPr>
            <w:rStyle w:val="Hyperlink"/>
            <w:rFonts w:cs="Times New Roman"/>
          </w:rPr>
          <w:t>CMS104v14, Discharged on Antithrombotic Therapy</w:t>
        </w:r>
      </w:hyperlink>
      <w:r w:rsidRPr="00F73409">
        <w:rPr>
          <w:rFonts w:cs="Times New Roman"/>
        </w:rPr>
        <w:t>, in which the numerator logic contains</w:t>
      </w:r>
      <w:r w:rsidR="00F73409">
        <w:rPr>
          <w:rFonts w:cs="Times New Roman"/>
        </w:rPr>
        <w:t xml:space="preserve"> the</w:t>
      </w:r>
      <w:r w:rsidRPr="00F73409">
        <w:rPr>
          <w:rFonts w:cs="Times New Roman"/>
        </w:rPr>
        <w:t xml:space="preserve"> </w:t>
      </w:r>
      <w:r w:rsidRPr="00F73409">
        <w:rPr>
          <w:rFonts w:eastAsia="Courier New" w:cs="Times New Roman"/>
          <w:szCs w:val="20"/>
        </w:rPr>
        <w:t>[“Medication, Discharge”: “</w:t>
      </w:r>
      <w:r w:rsidRPr="00F73409">
        <w:rPr>
          <w:rFonts w:cs="Times New Roman"/>
        </w:rPr>
        <w:t xml:space="preserve"> </w:t>
      </w:r>
      <w:r w:rsidRPr="00F73409">
        <w:rPr>
          <w:rFonts w:eastAsia="Courier New" w:cs="Times New Roman"/>
          <w:szCs w:val="20"/>
        </w:rPr>
        <w:t>Antithrombotic Therapy for Ischemic Stroke”]</w:t>
      </w:r>
      <w:r w:rsidRPr="00F73409">
        <w:rPr>
          <w:rFonts w:cs="Times New Roman"/>
        </w:rPr>
        <w:t xml:space="preserve"> </w:t>
      </w:r>
      <w:r w:rsidR="00F73409">
        <w:rPr>
          <w:rFonts w:cs="Times New Roman"/>
        </w:rPr>
        <w:t xml:space="preserve">data element </w:t>
      </w:r>
      <w:r w:rsidRPr="00F73409">
        <w:rPr>
          <w:rFonts w:cs="Times New Roman"/>
        </w:rPr>
        <w:t>and refers to the presence of an antithrombotic therapy on</w:t>
      </w:r>
      <w:r>
        <w:t xml:space="preserve"> the discharge medication list of the ischemic stroke encounter.</w:t>
      </w:r>
    </w:p>
    <w:p w14:paraId="00000195" w14:textId="3B06E81E" w:rsidR="00D67C8C" w:rsidRDefault="00C80A11" w:rsidP="004C5DB7">
      <w:pPr>
        <w:pStyle w:val="FigureTitle"/>
      </w:pPr>
      <w:bookmarkStart w:id="307" w:name="_Toc159578082"/>
      <w:bookmarkStart w:id="308" w:name="_Toc195002008"/>
      <w:r w:rsidRPr="00C13F4C">
        <w:t xml:space="preserve">Figure </w:t>
      </w:r>
      <w:r w:rsidR="008D6C9A" w:rsidRPr="00C13F4C">
        <w:t>3</w:t>
      </w:r>
      <w:r w:rsidRPr="00C13F4C">
        <w:t xml:space="preserve">.4. </w:t>
      </w:r>
      <w:bookmarkEnd w:id="307"/>
      <w:r w:rsidRPr="00C13F4C">
        <w:t>Discharge Medication Example</w:t>
      </w:r>
      <w:bookmarkEnd w:id="308"/>
    </w:p>
    <w:tbl>
      <w:tblPr>
        <w:tblStyle w:val="GrayCell"/>
        <w:tblW w:w="936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Look w:val="04A0" w:firstRow="1" w:lastRow="0" w:firstColumn="1" w:lastColumn="0" w:noHBand="0" w:noVBand="1"/>
      </w:tblPr>
      <w:tblGrid>
        <w:gridCol w:w="9360"/>
      </w:tblGrid>
      <w:tr w:rsidR="00C95016" w14:paraId="641C58C0" w14:textId="77777777">
        <w:tc>
          <w:tcPr>
            <w:tcW w:w="5000" w:type="pct"/>
            <w:shd w:val="clear" w:color="auto" w:fill="auto"/>
          </w:tcPr>
          <w:p w14:paraId="28FFC04E" w14:textId="77777777" w:rsidR="00C95016" w:rsidRPr="005E64B8" w:rsidRDefault="00C95016" w:rsidP="00C95016">
            <w:pPr>
              <w:pStyle w:val="FigureHeader"/>
            </w:pPr>
            <w:r w:rsidRPr="005E64B8">
              <w:rPr>
                <w:rFonts w:ascii="Cambria Math" w:hAnsi="Cambria Math"/>
              </w:rPr>
              <w:t>◢</w:t>
            </w:r>
            <w:r w:rsidRPr="005E64B8">
              <w:t xml:space="preserve"> Numerator</w:t>
            </w:r>
            <w:r w:rsidRPr="005E64B8">
              <w:rPr>
                <w:sz w:val="15"/>
              </w:rPr>
              <w:t xml:space="preserve"> </w:t>
            </w:r>
          </w:p>
          <w:p w14:paraId="3F586B79" w14:textId="79421EAF" w:rsidR="00AE1D0B" w:rsidRPr="00AE1D0B" w:rsidRDefault="00AE1D0B" w:rsidP="00AE1D0B">
            <w:pPr>
              <w:spacing w:after="0" w:line="240" w:lineRule="auto"/>
              <w:ind w:left="720"/>
              <w:rPr>
                <w:rFonts w:ascii="Verdana" w:eastAsia="Verdana" w:hAnsi="Verdana" w:cs="Verdana"/>
                <w:sz w:val="16"/>
                <w:szCs w:val="16"/>
              </w:rPr>
            </w:pPr>
            <w:proofErr w:type="spellStart"/>
            <w:r w:rsidRPr="00AE1D0B">
              <w:rPr>
                <w:rFonts w:ascii="Verdana" w:eastAsia="Verdana" w:hAnsi="Verdana" w:cs="Verdana"/>
                <w:sz w:val="16"/>
                <w:szCs w:val="16"/>
              </w:rPr>
              <w:t>TJC.</w:t>
            </w:r>
            <w:r w:rsidR="00D64C1E">
              <w:rPr>
                <w:rFonts w:ascii="Verdana" w:eastAsia="Verdana" w:hAnsi="Verdana" w:cs="Verdana"/>
                <w:sz w:val="16"/>
                <w:szCs w:val="16"/>
              </w:rPr>
              <w:t>"</w:t>
            </w:r>
            <w:r w:rsidRPr="00AE1D0B">
              <w:rPr>
                <w:rFonts w:ascii="Verdana" w:eastAsia="Verdana" w:hAnsi="Verdana" w:cs="Verdana"/>
                <w:sz w:val="16"/>
                <w:szCs w:val="16"/>
              </w:rPr>
              <w:t>Ischemic</w:t>
            </w:r>
            <w:proofErr w:type="spellEnd"/>
            <w:r w:rsidRPr="00AE1D0B">
              <w:rPr>
                <w:rFonts w:ascii="Verdana" w:eastAsia="Verdana" w:hAnsi="Verdana" w:cs="Verdana"/>
                <w:sz w:val="16"/>
                <w:szCs w:val="16"/>
              </w:rPr>
              <w:t xml:space="preserve"> Stroke Encounter</w:t>
            </w:r>
            <w:r w:rsidR="00D64C1E">
              <w:rPr>
                <w:rFonts w:ascii="Verdana" w:eastAsia="Verdana" w:hAnsi="Verdana" w:cs="Verdana"/>
                <w:sz w:val="16"/>
                <w:szCs w:val="16"/>
              </w:rPr>
              <w:t>"</w:t>
            </w:r>
            <w:r w:rsidRPr="00AE1D0B">
              <w:rPr>
                <w:rFonts w:ascii="Verdana" w:eastAsia="Verdana" w:hAnsi="Verdana" w:cs="Verdana"/>
                <w:sz w:val="16"/>
                <w:szCs w:val="16"/>
              </w:rPr>
              <w:t xml:space="preserve"> </w:t>
            </w:r>
            <w:proofErr w:type="spellStart"/>
            <w:r w:rsidRPr="00AE1D0B">
              <w:rPr>
                <w:rFonts w:ascii="Verdana" w:eastAsia="Verdana" w:hAnsi="Verdana" w:cs="Verdana"/>
                <w:sz w:val="16"/>
                <w:szCs w:val="16"/>
              </w:rPr>
              <w:t>IschemicStrokeEncounter</w:t>
            </w:r>
            <w:proofErr w:type="spellEnd"/>
          </w:p>
          <w:p w14:paraId="3E1FE61C" w14:textId="0B56B14D" w:rsidR="00AE1D0B" w:rsidRPr="00AE1D0B" w:rsidRDefault="00AE1D0B" w:rsidP="00AE1D0B">
            <w:pPr>
              <w:spacing w:after="0" w:line="240" w:lineRule="auto"/>
              <w:ind w:left="720"/>
              <w:rPr>
                <w:rFonts w:ascii="Verdana" w:eastAsia="Verdana" w:hAnsi="Verdana" w:cs="Verdana"/>
                <w:sz w:val="16"/>
                <w:szCs w:val="16"/>
              </w:rPr>
            </w:pPr>
            <w:r w:rsidRPr="00AE1D0B">
              <w:rPr>
                <w:rFonts w:ascii="Verdana" w:eastAsia="Verdana" w:hAnsi="Verdana" w:cs="Verdana"/>
                <w:sz w:val="16"/>
                <w:szCs w:val="16"/>
              </w:rPr>
              <w:t>with [</w:t>
            </w:r>
            <w:r w:rsidR="00D64C1E">
              <w:rPr>
                <w:rFonts w:ascii="Verdana" w:eastAsia="Verdana" w:hAnsi="Verdana" w:cs="Verdana"/>
                <w:sz w:val="16"/>
                <w:szCs w:val="16"/>
              </w:rPr>
              <w:t>"</w:t>
            </w:r>
            <w:r w:rsidRPr="00AE1D0B">
              <w:rPr>
                <w:rFonts w:ascii="Verdana" w:eastAsia="Verdana" w:hAnsi="Verdana" w:cs="Verdana"/>
                <w:sz w:val="16"/>
                <w:szCs w:val="16"/>
              </w:rPr>
              <w:t>Medication, Discharge</w:t>
            </w:r>
            <w:r w:rsidR="00D64C1E">
              <w:rPr>
                <w:rFonts w:ascii="Verdana" w:eastAsia="Verdana" w:hAnsi="Verdana" w:cs="Verdana"/>
                <w:sz w:val="16"/>
                <w:szCs w:val="16"/>
              </w:rPr>
              <w:t>"</w:t>
            </w:r>
            <w:r w:rsidRPr="00AE1D0B">
              <w:rPr>
                <w:rFonts w:ascii="Verdana" w:eastAsia="Verdana" w:hAnsi="Verdana" w:cs="Verdana"/>
                <w:sz w:val="16"/>
                <w:szCs w:val="16"/>
              </w:rPr>
              <w:t xml:space="preserve">: </w:t>
            </w:r>
            <w:r w:rsidR="00D64C1E">
              <w:rPr>
                <w:rFonts w:ascii="Verdana" w:eastAsia="Verdana" w:hAnsi="Verdana" w:cs="Verdana"/>
                <w:sz w:val="16"/>
                <w:szCs w:val="16"/>
              </w:rPr>
              <w:t>"</w:t>
            </w:r>
            <w:r w:rsidRPr="00AE1D0B">
              <w:rPr>
                <w:rFonts w:ascii="Verdana" w:eastAsia="Verdana" w:hAnsi="Verdana" w:cs="Verdana"/>
                <w:sz w:val="16"/>
                <w:szCs w:val="16"/>
              </w:rPr>
              <w:t>Antithrombotic Therapy for Ischemic Stroke</w:t>
            </w:r>
            <w:r w:rsidR="00D64C1E">
              <w:rPr>
                <w:rFonts w:ascii="Verdana" w:eastAsia="Verdana" w:hAnsi="Verdana" w:cs="Verdana"/>
                <w:sz w:val="16"/>
                <w:szCs w:val="16"/>
              </w:rPr>
              <w:t>"</w:t>
            </w:r>
            <w:r w:rsidRPr="00AE1D0B">
              <w:rPr>
                <w:rFonts w:ascii="Verdana" w:eastAsia="Verdana" w:hAnsi="Verdana" w:cs="Verdana"/>
                <w:sz w:val="16"/>
                <w:szCs w:val="16"/>
              </w:rPr>
              <w:t xml:space="preserve">] </w:t>
            </w:r>
            <w:proofErr w:type="spellStart"/>
            <w:r w:rsidRPr="00AE1D0B">
              <w:rPr>
                <w:rFonts w:ascii="Verdana" w:eastAsia="Verdana" w:hAnsi="Verdana" w:cs="Verdana"/>
                <w:sz w:val="16"/>
                <w:szCs w:val="16"/>
              </w:rPr>
              <w:t>DischargeAntithrombotic</w:t>
            </w:r>
            <w:proofErr w:type="spellEnd"/>
            <w:r w:rsidRPr="00AE1D0B">
              <w:rPr>
                <w:rFonts w:ascii="Verdana" w:eastAsia="Verdana" w:hAnsi="Verdana" w:cs="Verdana"/>
                <w:sz w:val="16"/>
                <w:szCs w:val="16"/>
              </w:rPr>
              <w:t xml:space="preserve"> </w:t>
            </w:r>
          </w:p>
          <w:p w14:paraId="07AF1DF1" w14:textId="506064AE" w:rsidR="00C95016" w:rsidRPr="00C95016" w:rsidRDefault="00AE1D0B" w:rsidP="00AE1D0B">
            <w:pPr>
              <w:pStyle w:val="Figure"/>
              <w:ind w:left="720"/>
            </w:pPr>
            <w:r w:rsidRPr="00AE1D0B">
              <w:rPr>
                <w:rFonts w:cs="Verdana"/>
                <w:color w:val="auto"/>
              </w:rPr>
              <w:t xml:space="preserve">such that </w:t>
            </w:r>
            <w:proofErr w:type="spellStart"/>
            <w:r w:rsidRPr="00AE1D0B">
              <w:rPr>
                <w:rFonts w:cs="Verdana"/>
                <w:color w:val="auto"/>
              </w:rPr>
              <w:t>DischargeAntithrombotic.</w:t>
            </w:r>
            <w:r w:rsidR="00F56A02">
              <w:rPr>
                <w:rFonts w:cs="Verdana"/>
                <w:color w:val="auto"/>
              </w:rPr>
              <w:t>initial</w:t>
            </w:r>
            <w:r w:rsidR="00F56A02" w:rsidRPr="00AE1D0B">
              <w:rPr>
                <w:rFonts w:cs="Verdana"/>
                <w:color w:val="auto"/>
              </w:rPr>
              <w:t>time</w:t>
            </w:r>
            <w:proofErr w:type="spellEnd"/>
            <w:r w:rsidR="00F56A02" w:rsidRPr="00AE1D0B">
              <w:rPr>
                <w:rFonts w:cs="Verdana"/>
                <w:color w:val="auto"/>
              </w:rPr>
              <w:t xml:space="preserve"> </w:t>
            </w:r>
            <w:r w:rsidRPr="00AE1D0B">
              <w:rPr>
                <w:rFonts w:cs="Verdana"/>
                <w:color w:val="auto"/>
              </w:rPr>
              <w:t xml:space="preserve">during </w:t>
            </w:r>
            <w:proofErr w:type="spellStart"/>
            <w:r w:rsidRPr="00AE1D0B">
              <w:rPr>
                <w:rFonts w:cs="Verdana"/>
                <w:color w:val="auto"/>
              </w:rPr>
              <w:t>IschemicStrokeEncounter.relevantPeriod</w:t>
            </w:r>
            <w:proofErr w:type="spellEnd"/>
          </w:p>
        </w:tc>
      </w:tr>
    </w:tbl>
    <w:p w14:paraId="0000019A" w14:textId="4F02501E" w:rsidR="00D67C8C" w:rsidRDefault="00C80A11" w:rsidP="00C95016">
      <w:pPr>
        <w:pStyle w:val="ParagraphContinued"/>
      </w:pPr>
      <w:bookmarkStart w:id="309" w:name="_heading=h.2981zbj" w:colFirst="0" w:colLast="0"/>
      <w:bookmarkStart w:id="310" w:name="_Toc64983079"/>
      <w:bookmarkStart w:id="311" w:name="_Toc56635387"/>
      <w:bookmarkStart w:id="312" w:name="_Toc23176759"/>
      <w:bookmarkStart w:id="313" w:name="_Toc446948764"/>
      <w:bookmarkEnd w:id="309"/>
      <w:r>
        <w:t xml:space="preserve">Health </w:t>
      </w:r>
      <w:r w:rsidR="00ED06F8">
        <w:t>IT</w:t>
      </w:r>
      <w:r>
        <w:t xml:space="preserve"> vendors and measured entities generating Quality Reporting Document Architecture (QRDA) Category I output will have to generate </w:t>
      </w:r>
      <w:r w:rsidRPr="00F73409">
        <w:rPr>
          <w:rFonts w:eastAsia="Courier New" w:cs="Times New Roman"/>
          <w:szCs w:val="20"/>
        </w:rPr>
        <w:t>“Medication, Discharge”</w:t>
      </w:r>
      <w:r w:rsidRPr="00F73409">
        <w:rPr>
          <w:rFonts w:cs="Times New Roman"/>
        </w:rPr>
        <w:t xml:space="preserve"> events for all medications on the discharge list with appropriate ti</w:t>
      </w:r>
      <w:r>
        <w:t>me stamps to enable the correct function of measure logic.</w:t>
      </w:r>
    </w:p>
    <w:p w14:paraId="0000019B" w14:textId="3EA3E59E" w:rsidR="00D67C8C" w:rsidRDefault="008D0AF9" w:rsidP="008D0AF9">
      <w:pPr>
        <w:pStyle w:val="H2-Num"/>
      </w:pPr>
      <w:bookmarkStart w:id="314" w:name="_heading=h.odc9jc" w:colFirst="0" w:colLast="0"/>
      <w:bookmarkStart w:id="315" w:name="_Toc159578390"/>
      <w:bookmarkStart w:id="316" w:name="_Toc194959015"/>
      <w:bookmarkStart w:id="317" w:name="_Toc194994762"/>
      <w:bookmarkEnd w:id="314"/>
      <w:r>
        <w:rPr>
          <w:rFonts w:eastAsia="Arial Narrow"/>
        </w:rPr>
        <w:t>3.7</w:t>
      </w:r>
      <w:r>
        <w:rPr>
          <w:rFonts w:eastAsia="Arial Narrow"/>
        </w:rPr>
        <w:tab/>
      </w:r>
      <w:r w:rsidR="00C80A11" w:rsidRPr="005E64B8">
        <w:rPr>
          <w:rFonts w:eastAsia="Arial Narrow"/>
        </w:rPr>
        <w:t>Allergies to Medications and Other Substances</w:t>
      </w:r>
      <w:bookmarkEnd w:id="310"/>
      <w:bookmarkEnd w:id="311"/>
      <w:bookmarkEnd w:id="312"/>
      <w:bookmarkEnd w:id="313"/>
      <w:bookmarkEnd w:id="315"/>
      <w:bookmarkEnd w:id="316"/>
      <w:bookmarkEnd w:id="317"/>
    </w:p>
    <w:p w14:paraId="0000019C" w14:textId="77714AAE" w:rsidR="00D67C8C" w:rsidRDefault="00C80A11" w:rsidP="008D0AF9">
      <w:pPr>
        <w:pStyle w:val="ParagraphContinued"/>
      </w:pPr>
      <w:r>
        <w:t xml:space="preserve">Allergy value sets referenced in eCQMs contain appropriate codes from </w:t>
      </w:r>
      <w:proofErr w:type="spellStart"/>
      <w:r>
        <w:t>RxNorm</w:t>
      </w:r>
      <w:proofErr w:type="spellEnd"/>
      <w:r>
        <w:t xml:space="preserve"> align</w:t>
      </w:r>
      <w:r w:rsidR="00007E87">
        <w:t>ed with</w:t>
      </w:r>
      <w:r>
        <w:t xml:space="preserve"> ingredient-level concepts. Users can use </w:t>
      </w:r>
      <w:proofErr w:type="spellStart"/>
      <w:r>
        <w:t>RxNorm</w:t>
      </w:r>
      <w:proofErr w:type="spellEnd"/>
      <w:r>
        <w:t xml:space="preserve"> relationships to link ingredients to the specific drug entities that could occur in patients’ records. eCQMs generally express reactions that may occur, such as rash or wheezing, using appropriate SNOMED CT codes representing the condition.</w:t>
      </w:r>
    </w:p>
    <w:p w14:paraId="0000019D" w14:textId="77777777" w:rsidR="00D67C8C" w:rsidRDefault="00C80A11" w:rsidP="008D0AF9">
      <w:pPr>
        <w:pStyle w:val="Paragraph"/>
      </w:pPr>
      <w:r>
        <w:t>This means that value sets used by eCQMs to identify medication allergens for the QDM datat</w:t>
      </w:r>
      <w:r w:rsidRPr="00F73409">
        <w:rPr>
          <w:rFonts w:cs="Times New Roman"/>
        </w:rPr>
        <w:t xml:space="preserve">ype </w:t>
      </w:r>
      <w:r w:rsidRPr="00F73409">
        <w:rPr>
          <w:rFonts w:cs="Times New Roman"/>
          <w:color w:val="000000"/>
        </w:rPr>
        <w:t>“</w:t>
      </w:r>
      <w:r w:rsidRPr="00F73409">
        <w:rPr>
          <w:rFonts w:eastAsia="Courier New" w:cs="Times New Roman"/>
          <w:color w:val="000000"/>
          <w:szCs w:val="20"/>
        </w:rPr>
        <w:t>Allergy/Intolerance</w:t>
      </w:r>
      <w:r w:rsidRPr="00F73409">
        <w:rPr>
          <w:rFonts w:cs="Times New Roman"/>
          <w:color w:val="000000"/>
        </w:rPr>
        <w:t xml:space="preserve">” </w:t>
      </w:r>
      <w:r w:rsidRPr="00F73409">
        <w:rPr>
          <w:rFonts w:cs="Times New Roman"/>
        </w:rPr>
        <w:t xml:space="preserve">use </w:t>
      </w:r>
      <w:proofErr w:type="spellStart"/>
      <w:r w:rsidRPr="00F73409">
        <w:rPr>
          <w:rFonts w:cs="Times New Roman"/>
        </w:rPr>
        <w:t>RxNorm</w:t>
      </w:r>
      <w:proofErr w:type="spellEnd"/>
      <w:r w:rsidRPr="00F73409">
        <w:rPr>
          <w:rFonts w:cs="Times New Roman"/>
        </w:rPr>
        <w:t xml:space="preserve"> ingredient-type concepts. These concepts only identify the ingredient and not the form or strength, and they have the </w:t>
      </w:r>
      <w:proofErr w:type="spellStart"/>
      <w:r w:rsidRPr="00F73409">
        <w:rPr>
          <w:rFonts w:cs="Times New Roman"/>
        </w:rPr>
        <w:t>RxNorm</w:t>
      </w:r>
      <w:proofErr w:type="spellEnd"/>
      <w:r w:rsidRPr="00F73409">
        <w:rPr>
          <w:rFonts w:cs="Times New Roman"/>
        </w:rPr>
        <w:t xml:space="preserve"> term type consistent with ingredient-level identifiers. If the</w:t>
      </w:r>
      <w:r>
        <w:t xml:space="preserve"> EHR does not record patient allergy and intolerance data using an </w:t>
      </w:r>
      <w:proofErr w:type="spellStart"/>
      <w:r>
        <w:t>RxNorm</w:t>
      </w:r>
      <w:proofErr w:type="spellEnd"/>
      <w:r>
        <w:t xml:space="preserve"> ingredient-type concept, measured entities will have to use </w:t>
      </w:r>
      <w:proofErr w:type="spellStart"/>
      <w:r>
        <w:t>RxNorm</w:t>
      </w:r>
      <w:proofErr w:type="spellEnd"/>
      <w:r>
        <w:t xml:space="preserve"> relationships to identify the correct ingredient concept for the drug concept used in the EHR. </w:t>
      </w:r>
    </w:p>
    <w:p w14:paraId="0000019E" w14:textId="489745D4" w:rsidR="00D67C8C" w:rsidRDefault="00A84666" w:rsidP="008D0AF9">
      <w:pPr>
        <w:pStyle w:val="Paragraph"/>
      </w:pPr>
      <w:r>
        <w:t xml:space="preserve">eCQM developers can add </w:t>
      </w:r>
      <w:bookmarkStart w:id="318" w:name="bookmark=id.1nia2ey" w:colFirst="0" w:colLast="0"/>
      <w:bookmarkStart w:id="319" w:name="bookmark=id.38czs75" w:colFirst="0" w:colLast="0"/>
      <w:bookmarkStart w:id="320" w:name="OLE_LINK5"/>
      <w:bookmarkStart w:id="321" w:name="OLE_LINK6"/>
      <w:bookmarkEnd w:id="318"/>
      <w:bookmarkEnd w:id="319"/>
      <w:r>
        <w:t xml:space="preserve">SNOMED CT </w:t>
      </w:r>
      <w:bookmarkEnd w:id="320"/>
      <w:bookmarkEnd w:id="321"/>
      <w:r>
        <w:t xml:space="preserve">drug class concepts to represent medication allergens. If a drug class concept is appropriate for use in the measure, the following should </w:t>
      </w:r>
      <w:r w:rsidR="00007E87">
        <w:t>apply</w:t>
      </w:r>
      <w:r>
        <w:t>:</w:t>
      </w:r>
    </w:p>
    <w:p w14:paraId="0000019F" w14:textId="77777777" w:rsidR="00D67C8C" w:rsidRDefault="00C80A11" w:rsidP="008D0AF9">
      <w:pPr>
        <w:pStyle w:val="ListBullet"/>
      </w:pPr>
      <w:r w:rsidRPr="005E64B8">
        <w:lastRenderedPageBreak/>
        <w:t>eCQM specifications will only include SNOMED CT drug class concepts when a general drug class concept is expected to be found in patient records as an indication that the patient is considered allergic to all drugs in the class.</w:t>
      </w:r>
    </w:p>
    <w:p w14:paraId="000001A0" w14:textId="537BB387" w:rsidR="00D67C8C" w:rsidRDefault="00C80A11" w:rsidP="008D0AF9">
      <w:pPr>
        <w:pStyle w:val="ListBullet"/>
      </w:pPr>
      <w:r w:rsidRPr="005E64B8">
        <w:t>Implementers should keep in mind that when using a drug class concept to represent a measure exclusion or exception, the patient should receive no drug in the class for expected therapy.</w:t>
      </w:r>
    </w:p>
    <w:p w14:paraId="000001A1" w14:textId="77777777" w:rsidR="00D67C8C" w:rsidRDefault="00C80A11" w:rsidP="008D0AF9">
      <w:pPr>
        <w:pStyle w:val="ListBullet"/>
      </w:pPr>
      <w:r w:rsidRPr="005E64B8">
        <w:t xml:space="preserve">eCQM specifications will include review of all defined drugs in the class when choosing to include the SNOMED CT drug class concept and will define an </w:t>
      </w:r>
      <w:proofErr w:type="spellStart"/>
      <w:r w:rsidRPr="005E64B8">
        <w:t>RxNorm</w:t>
      </w:r>
      <w:proofErr w:type="spellEnd"/>
      <w:r w:rsidRPr="005E64B8">
        <w:t xml:space="preserve"> allergy value set with the specific ingredient (IN) and precise ingredient (PIN) term </w:t>
      </w:r>
      <w:proofErr w:type="gramStart"/>
      <w:r w:rsidRPr="005E64B8">
        <w:t>types</w:t>
      </w:r>
      <w:proofErr w:type="gramEnd"/>
      <w:r w:rsidRPr="005E64B8">
        <w:t xml:space="preserve"> drug ingredients representing the drug class.</w:t>
      </w:r>
    </w:p>
    <w:p w14:paraId="000001A2" w14:textId="77777777" w:rsidR="00D67C8C" w:rsidRDefault="00C80A11" w:rsidP="008D0AF9">
      <w:pPr>
        <w:pStyle w:val="ListBullet"/>
      </w:pPr>
      <w:r w:rsidRPr="005E64B8">
        <w:t xml:space="preserve">Some value sets group both the </w:t>
      </w:r>
      <w:proofErr w:type="spellStart"/>
      <w:r w:rsidRPr="005E64B8">
        <w:t>RxNorm</w:t>
      </w:r>
      <w:proofErr w:type="spellEnd"/>
      <w:r w:rsidRPr="005E64B8">
        <w:t xml:space="preserve"> ingredient-type allergy value set and the SNOMED CT drug class allergy value set into one grouping value set referenced by the eCQM.</w:t>
      </w:r>
    </w:p>
    <w:p w14:paraId="000001A3" w14:textId="77777777" w:rsidR="00D67C8C" w:rsidRDefault="00C80A11" w:rsidP="008D0AF9">
      <w:pPr>
        <w:pStyle w:val="ListBullet"/>
      </w:pPr>
      <w:r w:rsidRPr="005E64B8">
        <w:t xml:space="preserve">Value sets used to identify nonmedication allergy-inducing entities use concepts found in the SNOMED CT substance semantic types. </w:t>
      </w:r>
    </w:p>
    <w:p w14:paraId="000001A4" w14:textId="073CA8D9" w:rsidR="00D67C8C" w:rsidRDefault="006C5AA7" w:rsidP="006C5AA7">
      <w:pPr>
        <w:pStyle w:val="H2-Num"/>
      </w:pPr>
      <w:bookmarkStart w:id="322" w:name="_heading=h.47hxl2r" w:colFirst="0" w:colLast="0"/>
      <w:bookmarkStart w:id="323" w:name="_Toc446948765"/>
      <w:bookmarkStart w:id="324" w:name="_Toc23176760"/>
      <w:bookmarkStart w:id="325" w:name="_Toc56635388"/>
      <w:bookmarkStart w:id="326" w:name="_Toc64983080"/>
      <w:bookmarkStart w:id="327" w:name="_Toc159578391"/>
      <w:bookmarkStart w:id="328" w:name="_Toc194959016"/>
      <w:bookmarkStart w:id="329" w:name="_Toc194994763"/>
      <w:bookmarkEnd w:id="322"/>
      <w:r>
        <w:rPr>
          <w:rFonts w:eastAsia="Arial Narrow"/>
        </w:rPr>
        <w:t>3.8</w:t>
      </w:r>
      <w:r>
        <w:rPr>
          <w:rFonts w:eastAsia="Arial Narrow"/>
        </w:rPr>
        <w:tab/>
      </w:r>
      <w:r w:rsidR="00C80A11" w:rsidRPr="005E64B8">
        <w:rPr>
          <w:rFonts w:eastAsia="Arial Narrow"/>
        </w:rPr>
        <w:t>Principal Diagnosis in Inpatient Encounters</w:t>
      </w:r>
      <w:bookmarkEnd w:id="323"/>
      <w:bookmarkEnd w:id="324"/>
      <w:bookmarkEnd w:id="325"/>
      <w:bookmarkEnd w:id="326"/>
      <w:bookmarkEnd w:id="327"/>
      <w:bookmarkEnd w:id="328"/>
      <w:bookmarkEnd w:id="329"/>
    </w:p>
    <w:p w14:paraId="000001A5" w14:textId="77777777" w:rsidR="00D67C8C" w:rsidRDefault="00C80A11" w:rsidP="006C5AA7">
      <w:pPr>
        <w:pStyle w:val="ParagraphContinued"/>
        <w:rPr>
          <w:color w:val="000000"/>
        </w:rPr>
      </w:pPr>
      <w:r>
        <w:t xml:space="preserve">In EHRs, the principal diagnosis is defined as the condition established to be chiefly responsible for the admission of a patient to the hospital for care according to the Uniform Hospital Discharge Data Set definition. </w:t>
      </w:r>
    </w:p>
    <w:p w14:paraId="000001A6" w14:textId="32D0EE83" w:rsidR="00D67C8C" w:rsidRDefault="00C80A11" w:rsidP="006C5AA7">
      <w:pPr>
        <w:pStyle w:val="Paragraph"/>
      </w:pPr>
      <w:r>
        <w:t>QDM v5.</w:t>
      </w:r>
      <w:r w:rsidR="00555678">
        <w:t>6</w:t>
      </w:r>
      <w:r>
        <w:t xml:space="preserve"> add</w:t>
      </w:r>
      <w:r w:rsidR="00555678">
        <w:t>s</w:t>
      </w:r>
      <w:r>
        <w:t xml:space="preserve"> the attribute </w:t>
      </w:r>
      <w:r>
        <w:rPr>
          <w:i/>
        </w:rPr>
        <w:t>rank</w:t>
      </w:r>
      <w:r>
        <w:t xml:space="preserve"> with an integer value. A principal diagnosis is the encounter-related billing diagnosis with a </w:t>
      </w:r>
      <w:r>
        <w:rPr>
          <w:i/>
        </w:rPr>
        <w:t>rank</w:t>
      </w:r>
      <w:r>
        <w:t xml:space="preserve"> of 1. For example,</w:t>
      </w:r>
      <w:r w:rsidR="00A84666">
        <w:t xml:space="preserve"> </w:t>
      </w:r>
      <w:hyperlink r:id="rId105" w:history="1">
        <w:r w:rsidR="00AE1D0B" w:rsidRPr="008408C4">
          <w:rPr>
            <w:rStyle w:val="Hyperlink"/>
          </w:rPr>
          <w:t>CMS108v14: Venous Thromboembolism Prophylaxis</w:t>
        </w:r>
      </w:hyperlink>
      <w:r>
        <w:t xml:space="preserve">, is depicted in Figure </w:t>
      </w:r>
      <w:r w:rsidR="008D6C9A">
        <w:t>3</w:t>
      </w:r>
      <w:r>
        <w:t>.5.</w:t>
      </w:r>
    </w:p>
    <w:p w14:paraId="000001A7" w14:textId="29E00AF1" w:rsidR="00D67C8C" w:rsidRDefault="00C80A11" w:rsidP="004C5DB7">
      <w:pPr>
        <w:pStyle w:val="FigureTitle"/>
      </w:pPr>
      <w:bookmarkStart w:id="330" w:name="_Toc159578083"/>
      <w:bookmarkStart w:id="331" w:name="_Toc195002009"/>
      <w:r w:rsidRPr="00C13F4C">
        <w:t xml:space="preserve">Figure </w:t>
      </w:r>
      <w:r w:rsidR="008D6C9A" w:rsidRPr="00C13F4C">
        <w:t>3</w:t>
      </w:r>
      <w:r w:rsidRPr="00C13F4C">
        <w:t>.5. Principal Diagnosis</w:t>
      </w:r>
      <w:bookmarkEnd w:id="330"/>
      <w:r w:rsidRPr="00C13F4C">
        <w:t xml:space="preserve"> Example</w:t>
      </w:r>
      <w:bookmarkEnd w:id="331"/>
    </w:p>
    <w:tbl>
      <w:tblPr>
        <w:tblStyle w:val="GrayCell"/>
        <w:tblW w:w="9648"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Look w:val="04A0" w:firstRow="1" w:lastRow="0" w:firstColumn="1" w:lastColumn="0" w:noHBand="0" w:noVBand="1"/>
      </w:tblPr>
      <w:tblGrid>
        <w:gridCol w:w="9648"/>
      </w:tblGrid>
      <w:tr w:rsidR="00C95016" w14:paraId="3AF0B795" w14:textId="77777777" w:rsidTr="00C95016">
        <w:tc>
          <w:tcPr>
            <w:tcW w:w="5000" w:type="pct"/>
            <w:shd w:val="clear" w:color="auto" w:fill="auto"/>
          </w:tcPr>
          <w:p w14:paraId="09EF8D20" w14:textId="127099C7" w:rsidR="00C95016" w:rsidRPr="005E64B8" w:rsidRDefault="00C95016" w:rsidP="00AE1D0B">
            <w:pPr>
              <w:pStyle w:val="FigureHeader"/>
              <w:spacing w:after="0"/>
            </w:pPr>
            <w:r w:rsidRPr="005E64B8">
              <w:rPr>
                <w:rFonts w:ascii="Cambria Math" w:hAnsi="Cambria Math"/>
              </w:rPr>
              <w:t>◢</w:t>
            </w:r>
            <w:r w:rsidRPr="005E64B8">
              <w:t xml:space="preserve"> Encounter </w:t>
            </w:r>
            <w:proofErr w:type="gramStart"/>
            <w:r w:rsidRPr="005E64B8">
              <w:t>With</w:t>
            </w:r>
            <w:proofErr w:type="gramEnd"/>
            <w:r w:rsidRPr="005E64B8">
              <w:t xml:space="preserve"> Principal Diagnosis </w:t>
            </w:r>
            <w:proofErr w:type="gramStart"/>
            <w:r w:rsidR="00AE1D0B">
              <w:t>O</w:t>
            </w:r>
            <w:r w:rsidRPr="005E64B8">
              <w:t>f</w:t>
            </w:r>
            <w:proofErr w:type="gramEnd"/>
            <w:r w:rsidRPr="005E64B8">
              <w:t xml:space="preserve"> Mental Disorder </w:t>
            </w:r>
            <w:proofErr w:type="gramStart"/>
            <w:r w:rsidR="00AE1D0B">
              <w:t>O</w:t>
            </w:r>
            <w:r w:rsidRPr="005E64B8">
              <w:t>r</w:t>
            </w:r>
            <w:proofErr w:type="gramEnd"/>
            <w:r w:rsidRPr="005E64B8">
              <w:t xml:space="preserve"> Stroke</w:t>
            </w:r>
          </w:p>
          <w:p w14:paraId="1CE92F81" w14:textId="7686F137" w:rsidR="00AE1D0B" w:rsidRPr="00AE1D0B" w:rsidRDefault="00C95016" w:rsidP="00AE1D0B">
            <w:pPr>
              <w:spacing w:after="0" w:line="240" w:lineRule="auto"/>
              <w:ind w:left="720" w:hanging="360"/>
              <w:rPr>
                <w:rFonts w:ascii="Verdana" w:eastAsia="Verdana" w:hAnsi="Verdana" w:cs="Verdana"/>
                <w:sz w:val="16"/>
                <w:szCs w:val="16"/>
              </w:rPr>
            </w:pPr>
            <w:r>
              <w:tab/>
            </w:r>
            <w:proofErr w:type="spellStart"/>
            <w:r w:rsidR="00AE1D0B" w:rsidRPr="00AE1D0B">
              <w:rPr>
                <w:rFonts w:ascii="Verdana" w:eastAsia="Verdana" w:hAnsi="Verdana" w:cs="Verdana"/>
                <w:sz w:val="16"/>
                <w:szCs w:val="16"/>
              </w:rPr>
              <w:t>VTE.</w:t>
            </w:r>
            <w:r w:rsidR="00D64C1E">
              <w:rPr>
                <w:rFonts w:ascii="Verdana" w:eastAsia="Verdana" w:hAnsi="Verdana" w:cs="Verdana"/>
                <w:sz w:val="16"/>
                <w:szCs w:val="16"/>
              </w:rPr>
              <w:t>"</w:t>
            </w:r>
            <w:r w:rsidR="00AE1D0B" w:rsidRPr="00AE1D0B">
              <w:rPr>
                <w:rFonts w:ascii="Verdana" w:eastAsia="Verdana" w:hAnsi="Verdana" w:cs="Verdana"/>
                <w:sz w:val="16"/>
                <w:szCs w:val="16"/>
              </w:rPr>
              <w:t>Encounter</w:t>
            </w:r>
            <w:proofErr w:type="spellEnd"/>
            <w:r w:rsidR="00AE1D0B" w:rsidRPr="00AE1D0B">
              <w:rPr>
                <w:rFonts w:ascii="Verdana" w:eastAsia="Verdana" w:hAnsi="Verdana" w:cs="Verdana"/>
                <w:sz w:val="16"/>
                <w:szCs w:val="16"/>
              </w:rPr>
              <w:t xml:space="preserve"> </w:t>
            </w:r>
            <w:proofErr w:type="gramStart"/>
            <w:r w:rsidR="00AE1D0B" w:rsidRPr="00AE1D0B">
              <w:rPr>
                <w:rFonts w:ascii="Verdana" w:eastAsia="Verdana" w:hAnsi="Verdana" w:cs="Verdana"/>
                <w:sz w:val="16"/>
                <w:szCs w:val="16"/>
              </w:rPr>
              <w:t>With</w:t>
            </w:r>
            <w:proofErr w:type="gramEnd"/>
            <w:r w:rsidR="00AE1D0B" w:rsidRPr="00AE1D0B">
              <w:rPr>
                <w:rFonts w:ascii="Verdana" w:eastAsia="Verdana" w:hAnsi="Verdana" w:cs="Verdana"/>
                <w:sz w:val="16"/>
                <w:szCs w:val="16"/>
              </w:rPr>
              <w:t xml:space="preserve"> Age Range </w:t>
            </w:r>
            <w:proofErr w:type="gramStart"/>
            <w:r w:rsidR="00AE1D0B" w:rsidRPr="00AE1D0B">
              <w:rPr>
                <w:rFonts w:ascii="Verdana" w:eastAsia="Verdana" w:hAnsi="Verdana" w:cs="Verdana"/>
                <w:sz w:val="16"/>
                <w:szCs w:val="16"/>
              </w:rPr>
              <w:t>And</w:t>
            </w:r>
            <w:proofErr w:type="gramEnd"/>
            <w:r w:rsidR="00AE1D0B" w:rsidRPr="00AE1D0B">
              <w:rPr>
                <w:rFonts w:ascii="Verdana" w:eastAsia="Verdana" w:hAnsi="Verdana" w:cs="Verdana"/>
                <w:sz w:val="16"/>
                <w:szCs w:val="16"/>
              </w:rPr>
              <w:t xml:space="preserve"> Without VTE Diagnosis </w:t>
            </w:r>
            <w:proofErr w:type="gramStart"/>
            <w:r w:rsidR="00AE1D0B" w:rsidRPr="00AE1D0B">
              <w:rPr>
                <w:rFonts w:ascii="Verdana" w:eastAsia="Verdana" w:hAnsi="Verdana" w:cs="Verdana"/>
                <w:sz w:val="16"/>
                <w:szCs w:val="16"/>
              </w:rPr>
              <w:t>Or</w:t>
            </w:r>
            <w:proofErr w:type="gramEnd"/>
            <w:r w:rsidR="00AE1D0B" w:rsidRPr="00AE1D0B">
              <w:rPr>
                <w:rFonts w:ascii="Verdana" w:eastAsia="Verdana" w:hAnsi="Verdana" w:cs="Verdana"/>
                <w:sz w:val="16"/>
                <w:szCs w:val="16"/>
              </w:rPr>
              <w:t xml:space="preserve"> Obstetrical Conditions</w:t>
            </w:r>
            <w:r w:rsidR="00D64C1E">
              <w:rPr>
                <w:rFonts w:ascii="Verdana" w:eastAsia="Verdana" w:hAnsi="Verdana" w:cs="Verdana"/>
                <w:sz w:val="16"/>
                <w:szCs w:val="16"/>
              </w:rPr>
              <w:t>"</w:t>
            </w:r>
            <w:r w:rsidR="00AE1D0B" w:rsidRPr="00AE1D0B">
              <w:rPr>
                <w:rFonts w:ascii="Verdana" w:eastAsia="Verdana" w:hAnsi="Verdana" w:cs="Verdana"/>
                <w:sz w:val="16"/>
                <w:szCs w:val="16"/>
              </w:rPr>
              <w:t xml:space="preserve"> Qualifying Encounter</w:t>
            </w:r>
          </w:p>
          <w:p w14:paraId="38D03198" w14:textId="77777777" w:rsidR="00AE1D0B" w:rsidRPr="00AE1D0B" w:rsidRDefault="00AE1D0B" w:rsidP="00AE1D0B">
            <w:pPr>
              <w:spacing w:after="0" w:line="240" w:lineRule="auto"/>
              <w:ind w:left="720" w:hanging="360"/>
              <w:rPr>
                <w:rFonts w:ascii="Verdana" w:eastAsia="Verdana" w:hAnsi="Verdana" w:cs="Verdana"/>
                <w:sz w:val="16"/>
                <w:szCs w:val="16"/>
              </w:rPr>
            </w:pPr>
            <w:r w:rsidRPr="00AE1D0B">
              <w:rPr>
                <w:rFonts w:ascii="Verdana" w:eastAsia="Verdana" w:hAnsi="Verdana" w:cs="Verdana"/>
                <w:sz w:val="16"/>
                <w:szCs w:val="16"/>
              </w:rPr>
              <w:tab/>
              <w:t xml:space="preserve">   where exists </w:t>
            </w:r>
            <w:proofErr w:type="gramStart"/>
            <w:r w:rsidRPr="00AE1D0B">
              <w:rPr>
                <w:rFonts w:ascii="Verdana" w:eastAsia="Verdana" w:hAnsi="Verdana" w:cs="Verdana"/>
                <w:sz w:val="16"/>
                <w:szCs w:val="16"/>
              </w:rPr>
              <w:t xml:space="preserve">( </w:t>
            </w:r>
            <w:proofErr w:type="spellStart"/>
            <w:r w:rsidRPr="00AE1D0B">
              <w:rPr>
                <w:rFonts w:ascii="Verdana" w:eastAsia="Verdana" w:hAnsi="Verdana" w:cs="Verdana"/>
                <w:sz w:val="16"/>
                <w:szCs w:val="16"/>
              </w:rPr>
              <w:t>QualifyingEncounter.diagnoses</w:t>
            </w:r>
            <w:proofErr w:type="spellEnd"/>
            <w:proofErr w:type="gramEnd"/>
            <w:r w:rsidRPr="00AE1D0B">
              <w:rPr>
                <w:rFonts w:ascii="Verdana" w:eastAsia="Verdana" w:hAnsi="Verdana" w:cs="Verdana"/>
                <w:sz w:val="16"/>
                <w:szCs w:val="16"/>
              </w:rPr>
              <w:t xml:space="preserve"> </w:t>
            </w:r>
            <w:proofErr w:type="spellStart"/>
            <w:r w:rsidRPr="00AE1D0B">
              <w:rPr>
                <w:rFonts w:ascii="Verdana" w:eastAsia="Verdana" w:hAnsi="Verdana" w:cs="Verdana"/>
                <w:sz w:val="16"/>
                <w:szCs w:val="16"/>
              </w:rPr>
              <w:t>EncounterDiagnoses</w:t>
            </w:r>
            <w:proofErr w:type="spellEnd"/>
            <w:r w:rsidRPr="00AE1D0B">
              <w:rPr>
                <w:rFonts w:ascii="Verdana" w:eastAsia="Verdana" w:hAnsi="Verdana" w:cs="Verdana"/>
                <w:sz w:val="16"/>
                <w:szCs w:val="16"/>
              </w:rPr>
              <w:t xml:space="preserve"> </w:t>
            </w:r>
          </w:p>
          <w:p w14:paraId="260B63DF" w14:textId="77777777" w:rsidR="00AE1D0B" w:rsidRPr="00AE1D0B" w:rsidRDefault="00AE1D0B" w:rsidP="00AE1D0B">
            <w:pPr>
              <w:spacing w:after="0" w:line="240" w:lineRule="auto"/>
              <w:ind w:left="720" w:hanging="360"/>
              <w:rPr>
                <w:rFonts w:ascii="Verdana" w:eastAsia="Verdana" w:hAnsi="Verdana" w:cs="Verdana"/>
                <w:sz w:val="16"/>
                <w:szCs w:val="16"/>
              </w:rPr>
            </w:pPr>
            <w:r w:rsidRPr="00AE1D0B">
              <w:rPr>
                <w:rFonts w:ascii="Verdana" w:eastAsia="Verdana" w:hAnsi="Verdana" w:cs="Verdana"/>
                <w:sz w:val="16"/>
                <w:szCs w:val="16"/>
              </w:rPr>
              <w:tab/>
              <w:t xml:space="preserve">      where </w:t>
            </w:r>
            <w:proofErr w:type="spellStart"/>
            <w:r w:rsidRPr="00AE1D0B">
              <w:rPr>
                <w:rFonts w:ascii="Verdana" w:eastAsia="Verdana" w:hAnsi="Verdana" w:cs="Verdana"/>
                <w:sz w:val="16"/>
                <w:szCs w:val="16"/>
              </w:rPr>
              <w:t>EncounterDiagnoses.rank</w:t>
            </w:r>
            <w:proofErr w:type="spellEnd"/>
            <w:r w:rsidRPr="00AE1D0B">
              <w:rPr>
                <w:rFonts w:ascii="Verdana" w:eastAsia="Verdana" w:hAnsi="Verdana" w:cs="Verdana"/>
                <w:sz w:val="16"/>
                <w:szCs w:val="16"/>
              </w:rPr>
              <w:t xml:space="preserve"> = 1</w:t>
            </w:r>
          </w:p>
          <w:p w14:paraId="1E0318B6" w14:textId="158F7677" w:rsidR="00AE1D0B" w:rsidRPr="00AE1D0B" w:rsidRDefault="00AE1D0B" w:rsidP="00AE1D0B">
            <w:pPr>
              <w:spacing w:after="0" w:line="240" w:lineRule="auto"/>
              <w:ind w:left="720" w:hanging="360"/>
              <w:rPr>
                <w:rFonts w:ascii="Verdana" w:eastAsia="Verdana" w:hAnsi="Verdana" w:cs="Verdana"/>
                <w:sz w:val="16"/>
                <w:szCs w:val="16"/>
              </w:rPr>
            </w:pPr>
            <w:r w:rsidRPr="00AE1D0B">
              <w:rPr>
                <w:rFonts w:ascii="Verdana" w:eastAsia="Verdana" w:hAnsi="Verdana" w:cs="Verdana"/>
                <w:sz w:val="16"/>
                <w:szCs w:val="16"/>
              </w:rPr>
              <w:tab/>
              <w:t xml:space="preserve">        and </w:t>
            </w:r>
            <w:proofErr w:type="gramStart"/>
            <w:r w:rsidRPr="00AE1D0B">
              <w:rPr>
                <w:rFonts w:ascii="Verdana" w:eastAsia="Verdana" w:hAnsi="Verdana" w:cs="Verdana"/>
                <w:sz w:val="16"/>
                <w:szCs w:val="16"/>
              </w:rPr>
              <w:t xml:space="preserve">( </w:t>
            </w:r>
            <w:proofErr w:type="spellStart"/>
            <w:r w:rsidRPr="00AE1D0B">
              <w:rPr>
                <w:rFonts w:ascii="Verdana" w:eastAsia="Verdana" w:hAnsi="Verdana" w:cs="Verdana"/>
                <w:sz w:val="16"/>
                <w:szCs w:val="16"/>
              </w:rPr>
              <w:t>EncounterDiagnoses.code</w:t>
            </w:r>
            <w:proofErr w:type="spellEnd"/>
            <w:proofErr w:type="gramEnd"/>
            <w:r w:rsidRPr="00AE1D0B">
              <w:rPr>
                <w:rFonts w:ascii="Verdana" w:eastAsia="Verdana" w:hAnsi="Verdana" w:cs="Verdana"/>
                <w:sz w:val="16"/>
                <w:szCs w:val="16"/>
              </w:rPr>
              <w:t xml:space="preserve"> in </w:t>
            </w:r>
            <w:r w:rsidR="00D64C1E">
              <w:rPr>
                <w:rFonts w:ascii="Verdana" w:eastAsia="Verdana" w:hAnsi="Verdana" w:cs="Verdana"/>
                <w:sz w:val="16"/>
                <w:szCs w:val="16"/>
              </w:rPr>
              <w:t>"</w:t>
            </w:r>
            <w:r w:rsidRPr="00AE1D0B">
              <w:rPr>
                <w:rFonts w:ascii="Verdana" w:eastAsia="Verdana" w:hAnsi="Verdana" w:cs="Verdana"/>
                <w:sz w:val="16"/>
                <w:szCs w:val="16"/>
              </w:rPr>
              <w:t>Mental Health Diagnoses</w:t>
            </w:r>
            <w:r w:rsidR="00D64C1E">
              <w:rPr>
                <w:rFonts w:ascii="Verdana" w:eastAsia="Verdana" w:hAnsi="Verdana" w:cs="Verdana"/>
                <w:sz w:val="16"/>
                <w:szCs w:val="16"/>
              </w:rPr>
              <w:t>"</w:t>
            </w:r>
          </w:p>
          <w:p w14:paraId="77D7C885" w14:textId="60E8CBA3" w:rsidR="00AE1D0B" w:rsidRPr="00AE1D0B" w:rsidRDefault="00AE1D0B" w:rsidP="00AE1D0B">
            <w:pPr>
              <w:spacing w:after="0" w:line="240" w:lineRule="auto"/>
              <w:ind w:left="720" w:hanging="360"/>
              <w:rPr>
                <w:rFonts w:ascii="Verdana" w:eastAsia="Verdana" w:hAnsi="Verdana" w:cs="Verdana"/>
                <w:sz w:val="16"/>
                <w:szCs w:val="16"/>
              </w:rPr>
            </w:pPr>
            <w:r w:rsidRPr="00AE1D0B">
              <w:rPr>
                <w:rFonts w:ascii="Verdana" w:eastAsia="Verdana" w:hAnsi="Verdana" w:cs="Verdana"/>
                <w:sz w:val="16"/>
                <w:szCs w:val="16"/>
              </w:rPr>
              <w:tab/>
            </w:r>
            <w:r w:rsidRPr="00AE1D0B">
              <w:rPr>
                <w:rFonts w:ascii="Verdana" w:eastAsia="Verdana" w:hAnsi="Verdana" w:cs="Verdana"/>
                <w:sz w:val="16"/>
                <w:szCs w:val="16"/>
              </w:rPr>
              <w:tab/>
              <w:t xml:space="preserve">or </w:t>
            </w:r>
            <w:proofErr w:type="spellStart"/>
            <w:r w:rsidRPr="00AE1D0B">
              <w:rPr>
                <w:rFonts w:ascii="Verdana" w:eastAsia="Verdana" w:hAnsi="Verdana" w:cs="Verdana"/>
                <w:sz w:val="16"/>
                <w:szCs w:val="16"/>
              </w:rPr>
              <w:t>EncounterDiagnoses.code</w:t>
            </w:r>
            <w:proofErr w:type="spellEnd"/>
            <w:r w:rsidRPr="00AE1D0B">
              <w:rPr>
                <w:rFonts w:ascii="Verdana" w:eastAsia="Verdana" w:hAnsi="Verdana" w:cs="Verdana"/>
                <w:sz w:val="16"/>
                <w:szCs w:val="16"/>
              </w:rPr>
              <w:t xml:space="preserve"> in </w:t>
            </w:r>
            <w:r w:rsidR="00D64C1E">
              <w:rPr>
                <w:rFonts w:ascii="Verdana" w:eastAsia="Verdana" w:hAnsi="Verdana" w:cs="Verdana"/>
                <w:sz w:val="16"/>
                <w:szCs w:val="16"/>
              </w:rPr>
              <w:t>"</w:t>
            </w:r>
            <w:r w:rsidRPr="00AE1D0B">
              <w:rPr>
                <w:rFonts w:ascii="Verdana" w:eastAsia="Verdana" w:hAnsi="Verdana" w:cs="Verdana"/>
                <w:sz w:val="16"/>
                <w:szCs w:val="16"/>
              </w:rPr>
              <w:t>Hemorrhagic Stroke</w:t>
            </w:r>
            <w:r w:rsidR="00D64C1E">
              <w:rPr>
                <w:rFonts w:ascii="Verdana" w:eastAsia="Verdana" w:hAnsi="Verdana" w:cs="Verdana"/>
                <w:sz w:val="16"/>
                <w:szCs w:val="16"/>
              </w:rPr>
              <w:t>"</w:t>
            </w:r>
          </w:p>
          <w:p w14:paraId="2C347E52" w14:textId="6CF79428" w:rsidR="00AE1D0B" w:rsidRPr="00AE1D0B" w:rsidRDefault="00AE1D0B" w:rsidP="00AE1D0B">
            <w:pPr>
              <w:spacing w:after="0" w:line="240" w:lineRule="auto"/>
              <w:ind w:left="720" w:hanging="360"/>
              <w:rPr>
                <w:rFonts w:ascii="Verdana" w:eastAsia="Verdana" w:hAnsi="Verdana" w:cs="Verdana"/>
                <w:sz w:val="16"/>
                <w:szCs w:val="16"/>
              </w:rPr>
            </w:pPr>
            <w:r w:rsidRPr="00AE1D0B">
              <w:rPr>
                <w:rFonts w:ascii="Verdana" w:eastAsia="Verdana" w:hAnsi="Verdana" w:cs="Verdana"/>
                <w:sz w:val="16"/>
                <w:szCs w:val="16"/>
              </w:rPr>
              <w:tab/>
            </w:r>
            <w:r w:rsidRPr="00AE1D0B">
              <w:rPr>
                <w:rFonts w:ascii="Verdana" w:eastAsia="Verdana" w:hAnsi="Verdana" w:cs="Verdana"/>
                <w:sz w:val="16"/>
                <w:szCs w:val="16"/>
              </w:rPr>
              <w:tab/>
              <w:t xml:space="preserve">or </w:t>
            </w:r>
            <w:proofErr w:type="spellStart"/>
            <w:r w:rsidRPr="00AE1D0B">
              <w:rPr>
                <w:rFonts w:ascii="Verdana" w:eastAsia="Verdana" w:hAnsi="Verdana" w:cs="Verdana"/>
                <w:sz w:val="16"/>
                <w:szCs w:val="16"/>
              </w:rPr>
              <w:t>EncounterDiagnoses.code</w:t>
            </w:r>
            <w:proofErr w:type="spellEnd"/>
            <w:r w:rsidRPr="00AE1D0B">
              <w:rPr>
                <w:rFonts w:ascii="Verdana" w:eastAsia="Verdana" w:hAnsi="Verdana" w:cs="Verdana"/>
                <w:sz w:val="16"/>
                <w:szCs w:val="16"/>
              </w:rPr>
              <w:t xml:space="preserve"> in </w:t>
            </w:r>
            <w:r w:rsidR="00D64C1E">
              <w:rPr>
                <w:rFonts w:ascii="Verdana" w:eastAsia="Verdana" w:hAnsi="Verdana" w:cs="Verdana"/>
                <w:sz w:val="16"/>
                <w:szCs w:val="16"/>
              </w:rPr>
              <w:t>"</w:t>
            </w:r>
            <w:r w:rsidRPr="00AE1D0B">
              <w:rPr>
                <w:rFonts w:ascii="Verdana" w:eastAsia="Verdana" w:hAnsi="Verdana" w:cs="Verdana"/>
                <w:sz w:val="16"/>
                <w:szCs w:val="16"/>
              </w:rPr>
              <w:t>Ischemic Stroke</w:t>
            </w:r>
            <w:r w:rsidR="00D64C1E">
              <w:rPr>
                <w:rFonts w:ascii="Verdana" w:eastAsia="Verdana" w:hAnsi="Verdana" w:cs="Verdana"/>
                <w:sz w:val="16"/>
                <w:szCs w:val="16"/>
              </w:rPr>
              <w:t>"</w:t>
            </w:r>
          </w:p>
          <w:p w14:paraId="74DEC7C2" w14:textId="77777777" w:rsidR="00AE1D0B" w:rsidRPr="00AE1D0B" w:rsidRDefault="00AE1D0B" w:rsidP="00AE1D0B">
            <w:pPr>
              <w:spacing w:after="0" w:line="240" w:lineRule="auto"/>
              <w:ind w:left="720" w:hanging="360"/>
              <w:rPr>
                <w:rFonts w:ascii="Verdana" w:eastAsia="Verdana" w:hAnsi="Verdana" w:cs="Verdana"/>
                <w:sz w:val="16"/>
                <w:szCs w:val="16"/>
              </w:rPr>
            </w:pPr>
            <w:r w:rsidRPr="00AE1D0B">
              <w:rPr>
                <w:rFonts w:ascii="Verdana" w:eastAsia="Verdana" w:hAnsi="Verdana" w:cs="Verdana"/>
                <w:sz w:val="16"/>
                <w:szCs w:val="16"/>
              </w:rPr>
              <w:tab/>
              <w:t xml:space="preserve">        )</w:t>
            </w:r>
          </w:p>
          <w:p w14:paraId="65103C93" w14:textId="025D0DD1" w:rsidR="00C95016" w:rsidRPr="00AE1D0B" w:rsidRDefault="00AE1D0B" w:rsidP="00AE1D0B">
            <w:pPr>
              <w:spacing w:after="0" w:line="240" w:lineRule="auto"/>
              <w:ind w:left="720" w:hanging="360"/>
              <w:rPr>
                <w:rFonts w:ascii="Verdana" w:eastAsia="Verdana" w:hAnsi="Verdana" w:cs="Verdana"/>
                <w:sz w:val="15"/>
                <w:szCs w:val="15"/>
              </w:rPr>
            </w:pPr>
            <w:r w:rsidRPr="00AE1D0B">
              <w:rPr>
                <w:rFonts w:ascii="Verdana" w:eastAsia="Verdana" w:hAnsi="Verdana" w:cs="Verdana"/>
                <w:sz w:val="16"/>
                <w:szCs w:val="16"/>
              </w:rPr>
              <w:tab/>
              <w:t xml:space="preserve">   )</w:t>
            </w:r>
          </w:p>
        </w:tc>
      </w:tr>
    </w:tbl>
    <w:p w14:paraId="000001B1" w14:textId="386F0A25" w:rsidR="00D67C8C" w:rsidRDefault="00C80A11" w:rsidP="00C95016">
      <w:pPr>
        <w:pStyle w:val="ParagraphContinued"/>
      </w:pPr>
      <w:bookmarkStart w:id="332" w:name="_heading=h.11si5id" w:colFirst="0" w:colLast="0"/>
      <w:bookmarkStart w:id="333" w:name="_Toc446948767"/>
      <w:bookmarkStart w:id="334" w:name="_Toc23176762"/>
      <w:bookmarkStart w:id="335" w:name="_Toc56635389"/>
      <w:bookmarkStart w:id="336" w:name="_Toc64983081"/>
      <w:bookmarkEnd w:id="332"/>
      <w:r>
        <w:t xml:space="preserve">eCQM requests for all encounter-related diagnoses, regardless of rank, use the encounter attribute </w:t>
      </w:r>
      <w:r w:rsidRPr="00E81AD5">
        <w:rPr>
          <w:rFonts w:eastAsia="Courier New" w:cs="Times New Roman"/>
          <w:i/>
          <w:iCs/>
          <w:szCs w:val="20"/>
        </w:rPr>
        <w:t>diagnosis</w:t>
      </w:r>
      <w:r>
        <w:t xml:space="preserve">. Note that, by definition, a principal diagnosis must be present at the time of the initiation of the encounter. The attribute </w:t>
      </w:r>
      <w:r w:rsidRPr="00E81AD5">
        <w:rPr>
          <w:rFonts w:eastAsia="Courier New" w:cs="Times New Roman"/>
          <w:i/>
          <w:iCs/>
          <w:szCs w:val="20"/>
        </w:rPr>
        <w:t>diagnosis</w:t>
      </w:r>
      <w:r>
        <w:t xml:space="preserve"> does not specify the exact timing relationship. Therefore, to express the timing rela</w:t>
      </w:r>
      <w:r w:rsidRPr="00F73409">
        <w:rPr>
          <w:rFonts w:cs="Times New Roman"/>
        </w:rPr>
        <w:t xml:space="preserve">tionship of a specific diagnosis with an encounter, the eCQM must use the QDM datatype </w:t>
      </w:r>
      <w:r w:rsidRPr="00F73409">
        <w:rPr>
          <w:rFonts w:eastAsia="Courier New" w:cs="Times New Roman"/>
          <w:szCs w:val="20"/>
        </w:rPr>
        <w:t>“Diagnosis”</w:t>
      </w:r>
      <w:r w:rsidRPr="00F73409">
        <w:rPr>
          <w:rFonts w:cs="Times New Roman"/>
        </w:rPr>
        <w:t xml:space="preserve"> to associate with the </w:t>
      </w:r>
      <w:r w:rsidRPr="00F73409">
        <w:rPr>
          <w:rFonts w:eastAsia="Courier New" w:cs="Times New Roman"/>
          <w:szCs w:val="20"/>
        </w:rPr>
        <w:t xml:space="preserve">“Encounter, </w:t>
      </w:r>
      <w:proofErr w:type="gramStart"/>
      <w:r w:rsidRPr="00F73409">
        <w:rPr>
          <w:rFonts w:eastAsia="Courier New" w:cs="Times New Roman"/>
          <w:szCs w:val="20"/>
        </w:rPr>
        <w:t>Performed</w:t>
      </w:r>
      <w:proofErr w:type="gramEnd"/>
      <w:r w:rsidRPr="00F73409">
        <w:rPr>
          <w:rFonts w:eastAsia="Courier New" w:cs="Times New Roman"/>
          <w:szCs w:val="20"/>
        </w:rPr>
        <w:t>”</w:t>
      </w:r>
      <w:r w:rsidR="005B2702" w:rsidRPr="00F73409">
        <w:rPr>
          <w:rFonts w:eastAsia="Courier New" w:cs="Times New Roman"/>
          <w:szCs w:val="20"/>
        </w:rPr>
        <w:t>,</w:t>
      </w:r>
      <w:r w:rsidRPr="00F73409">
        <w:rPr>
          <w:rFonts w:cs="Times New Roman"/>
        </w:rPr>
        <w:t xml:space="preserve"> that is, onset at the start or end of the episode of care. The admission or discharge diagnoses recorded by the m</w:t>
      </w:r>
      <w:r>
        <w:t>easured entity should not substitute for the principal diagnosis unless it is concordant with the principal diagnosis as defined by CMS.</w:t>
      </w:r>
    </w:p>
    <w:p w14:paraId="1C615662" w14:textId="52B56030" w:rsidR="00E81AD5" w:rsidRDefault="000F195C" w:rsidP="00E81AD5">
      <w:pPr>
        <w:pStyle w:val="Paragraph"/>
      </w:pPr>
      <w:r>
        <w:t>Several</w:t>
      </w:r>
      <w:r w:rsidR="00E81AD5">
        <w:t xml:space="preserve"> hospital eCQMs </w:t>
      </w:r>
      <w:r w:rsidR="00882F55">
        <w:t>use</w:t>
      </w:r>
      <w:r w:rsidR="00E81AD5">
        <w:t xml:space="preserve"> Present on Admission (POA) indicators</w:t>
      </w:r>
      <w:r w:rsidR="00AE286D">
        <w:t>, as found in a hospital’s billings/claims system</w:t>
      </w:r>
      <w:r w:rsidR="00E81AD5">
        <w:t>.</w:t>
      </w:r>
      <w:r w:rsidR="00AE286D">
        <w:t xml:space="preserve"> POA indicators, defined below, can be used</w:t>
      </w:r>
      <w:r w:rsidR="00882F55">
        <w:t xml:space="preserve"> to</w:t>
      </w:r>
      <w:r w:rsidR="00AE286D">
        <w:t xml:space="preserve"> differentiate conditions </w:t>
      </w:r>
      <w:r w:rsidR="00AE286D">
        <w:lastRenderedPageBreak/>
        <w:t xml:space="preserve">present at the time of hospital admission from those conditions that develop during a patient’s hospitalization. </w:t>
      </w:r>
    </w:p>
    <w:p w14:paraId="60550BD5" w14:textId="094F2055" w:rsidR="00AE286D" w:rsidRDefault="00AE286D" w:rsidP="00DA33BC">
      <w:pPr>
        <w:pStyle w:val="Paragraph"/>
        <w:numPr>
          <w:ilvl w:val="0"/>
          <w:numId w:val="50"/>
        </w:numPr>
      </w:pPr>
      <w:r>
        <w:t>POA Indicator of Y = Yes (Diagnosis was present at time of inpatient admission.)</w:t>
      </w:r>
    </w:p>
    <w:p w14:paraId="39B3D800" w14:textId="39B6D8F0" w:rsidR="00AE286D" w:rsidRDefault="00AE286D" w:rsidP="00DA33BC">
      <w:pPr>
        <w:pStyle w:val="Paragraph"/>
        <w:numPr>
          <w:ilvl w:val="0"/>
          <w:numId w:val="50"/>
        </w:numPr>
      </w:pPr>
      <w:r>
        <w:t>POA Indicator of N = No (Diagnosis was not present at time of inpatient admission.)</w:t>
      </w:r>
    </w:p>
    <w:p w14:paraId="437247E0" w14:textId="21B482BA" w:rsidR="00AE286D" w:rsidRDefault="00AE286D" w:rsidP="00DA33BC">
      <w:pPr>
        <w:pStyle w:val="Paragraph"/>
        <w:numPr>
          <w:ilvl w:val="0"/>
          <w:numId w:val="50"/>
        </w:numPr>
      </w:pPr>
      <w:r>
        <w:t>POA Indicator of W = Clinically undetermined</w:t>
      </w:r>
    </w:p>
    <w:p w14:paraId="25FC72B1" w14:textId="48A83626" w:rsidR="00AE286D" w:rsidRDefault="00AE286D" w:rsidP="00DA33BC">
      <w:pPr>
        <w:pStyle w:val="Paragraph"/>
        <w:numPr>
          <w:ilvl w:val="0"/>
          <w:numId w:val="50"/>
        </w:numPr>
      </w:pPr>
      <w:r>
        <w:t>A POA Indicator of U = Documentation insufficient to determine if the condition was present at the time of inpatient admission</w:t>
      </w:r>
    </w:p>
    <w:p w14:paraId="3B41A294" w14:textId="63975C8F" w:rsidR="00882F55" w:rsidRDefault="00882F55" w:rsidP="00882F55">
      <w:pPr>
        <w:pStyle w:val="Paragraph"/>
      </w:pPr>
      <w:r>
        <w:t xml:space="preserve">The </w:t>
      </w:r>
      <w:proofErr w:type="spellStart"/>
      <w:r>
        <w:rPr>
          <w:i/>
          <w:iCs/>
        </w:rPr>
        <w:t>presentOnAdmissionIndicator</w:t>
      </w:r>
      <w:proofErr w:type="spellEnd"/>
      <w:r>
        <w:t xml:space="preserve"> attribute can be used with a value set or direct reference code that represents one or multiple POA indicators. For example, </w:t>
      </w:r>
      <w:hyperlink r:id="rId106" w:history="1">
        <w:r w:rsidRPr="00882F55">
          <w:rPr>
            <w:rStyle w:val="Hyperlink"/>
          </w:rPr>
          <w:t>CMS1017v2: Hospital Harm - Falls with Injury</w:t>
        </w:r>
      </w:hyperlink>
      <w:r w:rsidR="00E952D5">
        <w:t xml:space="preserve">, </w:t>
      </w:r>
      <w:r>
        <w:t>depicted in Figure 3.6</w:t>
      </w:r>
      <w:r w:rsidR="00E952D5">
        <w:t xml:space="preserve">, identifies falls where a major injury occurred where the major injury was </w:t>
      </w:r>
      <w:r w:rsidR="00E952D5">
        <w:rPr>
          <w:i/>
          <w:iCs/>
        </w:rPr>
        <w:t>not</w:t>
      </w:r>
      <w:r w:rsidR="00E952D5">
        <w:t xml:space="preserve"> present on admission, as indicated by the </w:t>
      </w:r>
      <w:proofErr w:type="spellStart"/>
      <w:r w:rsidR="00E952D5">
        <w:rPr>
          <w:i/>
          <w:iCs/>
        </w:rPr>
        <w:t>presentOnAdmissionIndicator</w:t>
      </w:r>
      <w:proofErr w:type="spellEnd"/>
      <w:r w:rsidR="00E952D5">
        <w:rPr>
          <w:i/>
          <w:iCs/>
        </w:rPr>
        <w:t xml:space="preserve"> </w:t>
      </w:r>
      <w:r w:rsidR="00E952D5">
        <w:t xml:space="preserve">attribute with a </w:t>
      </w:r>
      <w:proofErr w:type="spellStart"/>
      <w:r w:rsidR="00E952D5">
        <w:t>PresentOnAdmission</w:t>
      </w:r>
      <w:proofErr w:type="spellEnd"/>
      <w:r w:rsidR="00E952D5">
        <w:t xml:space="preserve"> code of “N” or “U” in the “Not Present On Admission or Documentation Insufficient to Determine” value set</w:t>
      </w:r>
      <w:r>
        <w:t>.</w:t>
      </w:r>
    </w:p>
    <w:p w14:paraId="20CF4FF6" w14:textId="58448A5C" w:rsidR="00882F55" w:rsidRDefault="00882F55" w:rsidP="00882F55">
      <w:pPr>
        <w:pStyle w:val="FigureTitle"/>
      </w:pPr>
      <w:r w:rsidRPr="00C13F4C">
        <w:t>Figure 3.</w:t>
      </w:r>
      <w:r>
        <w:t>6</w:t>
      </w:r>
      <w:r w:rsidRPr="00C13F4C">
        <w:t xml:space="preserve">. </w:t>
      </w:r>
      <w:r>
        <w:t>POA Indicators</w:t>
      </w:r>
      <w:r w:rsidRPr="00C13F4C">
        <w:t xml:space="preserve"> Example</w:t>
      </w:r>
    </w:p>
    <w:tbl>
      <w:tblPr>
        <w:tblStyle w:val="GrayCell"/>
        <w:tblW w:w="9648"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Look w:val="04A0" w:firstRow="1" w:lastRow="0" w:firstColumn="1" w:lastColumn="0" w:noHBand="0" w:noVBand="1"/>
      </w:tblPr>
      <w:tblGrid>
        <w:gridCol w:w="9648"/>
      </w:tblGrid>
      <w:tr w:rsidR="00882F55" w14:paraId="45516BB4" w14:textId="77777777">
        <w:tc>
          <w:tcPr>
            <w:tcW w:w="5000" w:type="pct"/>
            <w:shd w:val="clear" w:color="auto" w:fill="auto"/>
          </w:tcPr>
          <w:p w14:paraId="4C3B609D" w14:textId="22D926C6" w:rsidR="00882F55" w:rsidRPr="005E64B8" w:rsidRDefault="00882F55">
            <w:pPr>
              <w:pStyle w:val="FigureHeader"/>
              <w:spacing w:after="0"/>
            </w:pPr>
            <w:r w:rsidRPr="005E64B8">
              <w:rPr>
                <w:rFonts w:ascii="Cambria Math" w:hAnsi="Cambria Math"/>
              </w:rPr>
              <w:t>◢</w:t>
            </w:r>
            <w:r w:rsidRPr="005E64B8">
              <w:t xml:space="preserve"> </w:t>
            </w:r>
            <w:r w:rsidR="00E952D5" w:rsidRPr="00E952D5">
              <w:t>Encounter where a Fall and Major Injury Occurred</w:t>
            </w:r>
          </w:p>
          <w:p w14:paraId="5F7766BA" w14:textId="77777777" w:rsidR="00E952D5" w:rsidRPr="00E952D5" w:rsidRDefault="00882F55" w:rsidP="00E952D5">
            <w:pPr>
              <w:spacing w:after="0" w:line="240" w:lineRule="auto"/>
              <w:ind w:left="720" w:hanging="360"/>
              <w:rPr>
                <w:rFonts w:ascii="Verdana" w:eastAsia="Verdana" w:hAnsi="Verdana" w:cs="Verdana"/>
                <w:sz w:val="16"/>
                <w:szCs w:val="16"/>
              </w:rPr>
            </w:pPr>
            <w:r>
              <w:tab/>
            </w:r>
            <w:r w:rsidR="00E952D5" w:rsidRPr="00E952D5">
              <w:rPr>
                <w:rFonts w:ascii="Verdana" w:eastAsia="Verdana" w:hAnsi="Verdana" w:cs="Verdana"/>
                <w:sz w:val="16"/>
                <w:szCs w:val="16"/>
              </w:rPr>
              <w:t xml:space="preserve">"Encounter where a Fall Occurred" </w:t>
            </w:r>
            <w:proofErr w:type="spellStart"/>
            <w:r w:rsidR="00E952D5" w:rsidRPr="00E952D5">
              <w:rPr>
                <w:rFonts w:ascii="Verdana" w:eastAsia="Verdana" w:hAnsi="Verdana" w:cs="Verdana"/>
                <w:sz w:val="16"/>
                <w:szCs w:val="16"/>
              </w:rPr>
              <w:t>FallOccurred</w:t>
            </w:r>
            <w:proofErr w:type="spellEnd"/>
          </w:p>
          <w:p w14:paraId="02ACDE31" w14:textId="77777777" w:rsidR="00E952D5" w:rsidRPr="00E952D5" w:rsidRDefault="00E952D5" w:rsidP="00E952D5">
            <w:pPr>
              <w:spacing w:after="0" w:line="240" w:lineRule="auto"/>
              <w:ind w:left="720" w:hanging="360"/>
              <w:rPr>
                <w:rFonts w:ascii="Verdana" w:eastAsia="Verdana" w:hAnsi="Verdana" w:cs="Verdana"/>
                <w:sz w:val="16"/>
                <w:szCs w:val="16"/>
              </w:rPr>
            </w:pPr>
            <w:r w:rsidRPr="00E952D5">
              <w:rPr>
                <w:rFonts w:ascii="Verdana" w:eastAsia="Verdana" w:hAnsi="Verdana" w:cs="Verdana"/>
                <w:sz w:val="16"/>
                <w:szCs w:val="16"/>
              </w:rPr>
              <w:t xml:space="preserve">    where exists </w:t>
            </w:r>
            <w:proofErr w:type="spellStart"/>
            <w:r w:rsidRPr="00E952D5">
              <w:rPr>
                <w:rFonts w:ascii="Verdana" w:eastAsia="Verdana" w:hAnsi="Verdana" w:cs="Verdana"/>
                <w:sz w:val="16"/>
                <w:szCs w:val="16"/>
              </w:rPr>
              <w:t>FallOccurred.diagnoses</w:t>
            </w:r>
            <w:proofErr w:type="spellEnd"/>
            <w:r w:rsidRPr="00E952D5">
              <w:rPr>
                <w:rFonts w:ascii="Verdana" w:eastAsia="Verdana" w:hAnsi="Verdana" w:cs="Verdana"/>
                <w:sz w:val="16"/>
                <w:szCs w:val="16"/>
              </w:rPr>
              <w:t xml:space="preserve"> </w:t>
            </w:r>
            <w:proofErr w:type="spellStart"/>
            <w:r w:rsidRPr="00E952D5">
              <w:rPr>
                <w:rFonts w:ascii="Verdana" w:eastAsia="Verdana" w:hAnsi="Verdana" w:cs="Verdana"/>
                <w:sz w:val="16"/>
                <w:szCs w:val="16"/>
              </w:rPr>
              <w:t>MajorInjury</w:t>
            </w:r>
            <w:proofErr w:type="spellEnd"/>
          </w:p>
          <w:p w14:paraId="3CD4B180" w14:textId="77777777" w:rsidR="00E952D5" w:rsidRPr="00E952D5" w:rsidRDefault="00E952D5" w:rsidP="00E952D5">
            <w:pPr>
              <w:spacing w:after="0" w:line="240" w:lineRule="auto"/>
              <w:ind w:left="720" w:hanging="360"/>
              <w:rPr>
                <w:rFonts w:ascii="Verdana" w:eastAsia="Verdana" w:hAnsi="Verdana" w:cs="Verdana"/>
                <w:sz w:val="16"/>
                <w:szCs w:val="16"/>
              </w:rPr>
            </w:pPr>
            <w:r w:rsidRPr="00E952D5">
              <w:rPr>
                <w:rFonts w:ascii="Verdana" w:eastAsia="Verdana" w:hAnsi="Verdana" w:cs="Verdana"/>
                <w:sz w:val="16"/>
                <w:szCs w:val="16"/>
              </w:rPr>
              <w:t xml:space="preserve">      where </w:t>
            </w:r>
            <w:proofErr w:type="spellStart"/>
            <w:r w:rsidRPr="00E952D5">
              <w:rPr>
                <w:rFonts w:ascii="Verdana" w:eastAsia="Verdana" w:hAnsi="Verdana" w:cs="Verdana"/>
                <w:sz w:val="16"/>
                <w:szCs w:val="16"/>
              </w:rPr>
              <w:t>MajorInjury.code</w:t>
            </w:r>
            <w:proofErr w:type="spellEnd"/>
            <w:r w:rsidRPr="00E952D5">
              <w:rPr>
                <w:rFonts w:ascii="Verdana" w:eastAsia="Verdana" w:hAnsi="Verdana" w:cs="Verdana"/>
                <w:sz w:val="16"/>
                <w:szCs w:val="16"/>
              </w:rPr>
              <w:t xml:space="preserve"> in "Major Injuries"</w:t>
            </w:r>
          </w:p>
          <w:p w14:paraId="46AA6214" w14:textId="77777777" w:rsidR="00E952D5" w:rsidRPr="00E952D5" w:rsidRDefault="00E952D5" w:rsidP="00E952D5">
            <w:pPr>
              <w:spacing w:after="0" w:line="240" w:lineRule="auto"/>
              <w:ind w:left="720" w:hanging="360"/>
              <w:rPr>
                <w:rFonts w:ascii="Verdana" w:eastAsia="Verdana" w:hAnsi="Verdana" w:cs="Verdana"/>
                <w:sz w:val="16"/>
                <w:szCs w:val="16"/>
              </w:rPr>
            </w:pPr>
            <w:r w:rsidRPr="00E952D5">
              <w:rPr>
                <w:rFonts w:ascii="Verdana" w:eastAsia="Verdana" w:hAnsi="Verdana" w:cs="Verdana"/>
                <w:sz w:val="16"/>
                <w:szCs w:val="16"/>
              </w:rPr>
              <w:t xml:space="preserve">        and </w:t>
            </w:r>
            <w:proofErr w:type="gramStart"/>
            <w:r w:rsidRPr="00E952D5">
              <w:rPr>
                <w:rFonts w:ascii="Verdana" w:eastAsia="Verdana" w:hAnsi="Verdana" w:cs="Verdana"/>
                <w:sz w:val="16"/>
                <w:szCs w:val="16"/>
              </w:rPr>
              <w:t xml:space="preserve">( </w:t>
            </w:r>
            <w:proofErr w:type="spellStart"/>
            <w:r w:rsidRPr="00E952D5">
              <w:rPr>
                <w:rFonts w:ascii="Verdana" w:eastAsia="Verdana" w:hAnsi="Verdana" w:cs="Verdana"/>
                <w:sz w:val="16"/>
                <w:szCs w:val="16"/>
              </w:rPr>
              <w:t>MajorInjury.presentOnAdmissionIndicator</w:t>
            </w:r>
            <w:proofErr w:type="spellEnd"/>
            <w:proofErr w:type="gramEnd"/>
            <w:r w:rsidRPr="00E952D5">
              <w:rPr>
                <w:rFonts w:ascii="Verdana" w:eastAsia="Verdana" w:hAnsi="Verdana" w:cs="Verdana"/>
                <w:sz w:val="16"/>
                <w:szCs w:val="16"/>
              </w:rPr>
              <w:t xml:space="preserve"> in "Not Present </w:t>
            </w:r>
            <w:proofErr w:type="gramStart"/>
            <w:r w:rsidRPr="00E952D5">
              <w:rPr>
                <w:rFonts w:ascii="Verdana" w:eastAsia="Verdana" w:hAnsi="Verdana" w:cs="Verdana"/>
                <w:sz w:val="16"/>
                <w:szCs w:val="16"/>
              </w:rPr>
              <w:t>On</w:t>
            </w:r>
            <w:proofErr w:type="gramEnd"/>
            <w:r w:rsidRPr="00E952D5">
              <w:rPr>
                <w:rFonts w:ascii="Verdana" w:eastAsia="Verdana" w:hAnsi="Verdana" w:cs="Verdana"/>
                <w:sz w:val="16"/>
                <w:szCs w:val="16"/>
              </w:rPr>
              <w:t xml:space="preserve"> Admission or Documentation Insufficient to Determine"</w:t>
            </w:r>
          </w:p>
          <w:p w14:paraId="11817D4C" w14:textId="77777777" w:rsidR="00E952D5" w:rsidRPr="00E952D5" w:rsidRDefault="00E952D5" w:rsidP="00E952D5">
            <w:pPr>
              <w:spacing w:after="0" w:line="240" w:lineRule="auto"/>
              <w:ind w:left="720" w:hanging="360"/>
              <w:rPr>
                <w:rFonts w:ascii="Verdana" w:eastAsia="Verdana" w:hAnsi="Verdana" w:cs="Verdana"/>
                <w:sz w:val="16"/>
                <w:szCs w:val="16"/>
              </w:rPr>
            </w:pPr>
            <w:r w:rsidRPr="00E952D5">
              <w:rPr>
                <w:rFonts w:ascii="Verdana" w:eastAsia="Verdana" w:hAnsi="Verdana" w:cs="Verdana"/>
                <w:sz w:val="16"/>
                <w:szCs w:val="16"/>
              </w:rPr>
              <w:t xml:space="preserve">            or </w:t>
            </w:r>
            <w:proofErr w:type="spellStart"/>
            <w:r w:rsidRPr="00E952D5">
              <w:rPr>
                <w:rFonts w:ascii="Verdana" w:eastAsia="Verdana" w:hAnsi="Verdana" w:cs="Verdana"/>
                <w:sz w:val="16"/>
                <w:szCs w:val="16"/>
              </w:rPr>
              <w:t>MajorInjury.presentOnAdmissionIndicator</w:t>
            </w:r>
            <w:proofErr w:type="spellEnd"/>
            <w:r w:rsidRPr="00E952D5">
              <w:rPr>
                <w:rFonts w:ascii="Verdana" w:eastAsia="Verdana" w:hAnsi="Verdana" w:cs="Verdana"/>
                <w:sz w:val="16"/>
                <w:szCs w:val="16"/>
              </w:rPr>
              <w:t xml:space="preserve"> is null</w:t>
            </w:r>
          </w:p>
          <w:p w14:paraId="29FF61A3" w14:textId="2FB092E5" w:rsidR="00882F55" w:rsidRPr="00AE1D0B" w:rsidRDefault="00E952D5" w:rsidP="00E952D5">
            <w:pPr>
              <w:spacing w:after="0" w:line="240" w:lineRule="auto"/>
              <w:ind w:left="720" w:hanging="360"/>
              <w:rPr>
                <w:rFonts w:ascii="Verdana" w:eastAsia="Verdana" w:hAnsi="Verdana" w:cs="Verdana"/>
                <w:sz w:val="15"/>
                <w:szCs w:val="15"/>
              </w:rPr>
            </w:pPr>
            <w:r w:rsidRPr="00E952D5">
              <w:rPr>
                <w:rFonts w:ascii="Verdana" w:eastAsia="Verdana" w:hAnsi="Verdana" w:cs="Verdana"/>
                <w:sz w:val="16"/>
                <w:szCs w:val="16"/>
              </w:rPr>
              <w:t xml:space="preserve">        )</w:t>
            </w:r>
          </w:p>
        </w:tc>
      </w:tr>
    </w:tbl>
    <w:p w14:paraId="6C4B8243" w14:textId="6006C9A0" w:rsidR="00882F55" w:rsidRPr="00882F55" w:rsidRDefault="00882F55" w:rsidP="00DA68B5">
      <w:pPr>
        <w:pStyle w:val="Paragraph"/>
      </w:pPr>
    </w:p>
    <w:p w14:paraId="000001B2" w14:textId="1E1B334D" w:rsidR="00D67C8C" w:rsidRDefault="006C5AA7" w:rsidP="006C5AA7">
      <w:pPr>
        <w:pStyle w:val="H2-Num"/>
      </w:pPr>
      <w:bookmarkStart w:id="337" w:name="_heading=h.3ls5o66" w:colFirst="0" w:colLast="0"/>
      <w:bookmarkStart w:id="338" w:name="_Toc159578392"/>
      <w:bookmarkStart w:id="339" w:name="_Toc194959017"/>
      <w:bookmarkStart w:id="340" w:name="_Toc194994764"/>
      <w:bookmarkEnd w:id="337"/>
      <w:r>
        <w:rPr>
          <w:rFonts w:eastAsia="Arial Narrow"/>
        </w:rPr>
        <w:t>3.9</w:t>
      </w:r>
      <w:r>
        <w:rPr>
          <w:rFonts w:eastAsia="Arial Narrow"/>
        </w:rPr>
        <w:tab/>
      </w:r>
      <w:r w:rsidR="00C80A11" w:rsidRPr="005E64B8">
        <w:rPr>
          <w:rFonts w:eastAsia="Arial Narrow"/>
        </w:rPr>
        <w:t>Medical Reason, Patient Reason, System Reason</w:t>
      </w:r>
      <w:bookmarkEnd w:id="333"/>
      <w:bookmarkEnd w:id="334"/>
      <w:bookmarkEnd w:id="335"/>
      <w:bookmarkEnd w:id="336"/>
      <w:bookmarkEnd w:id="338"/>
      <w:bookmarkEnd w:id="339"/>
      <w:bookmarkEnd w:id="340"/>
    </w:p>
    <w:p w14:paraId="16CB6B41" w14:textId="1CA4E5F7" w:rsidR="00F53028" w:rsidRDefault="00555678" w:rsidP="006C5AA7">
      <w:pPr>
        <w:pStyle w:val="ParagraphContinued"/>
      </w:pPr>
      <w:r w:rsidRPr="00555678">
        <w:t>Capturing evidence</w:t>
      </w:r>
      <w:r>
        <w:t xml:space="preserve"> in EHRs</w:t>
      </w:r>
      <w:r w:rsidRPr="00555678">
        <w:t xml:space="preserve"> of an intentional decision to refrain from performing an activity and the </w:t>
      </w:r>
      <w:r w:rsidR="005B2702">
        <w:t>rationale</w:t>
      </w:r>
      <w:r w:rsidRPr="00555678">
        <w:t xml:space="preserve"> </w:t>
      </w:r>
      <w:r w:rsidR="00065488">
        <w:t xml:space="preserve">can be </w:t>
      </w:r>
      <w:r w:rsidRPr="00555678">
        <w:t>challenging. Some eCQMs seek to retrieve evidence using the QDM attribute</w:t>
      </w:r>
      <w:r w:rsidR="009D4374">
        <w:t>,</w:t>
      </w:r>
      <w:r w:rsidRPr="00555678">
        <w:t xml:space="preserve"> </w:t>
      </w:r>
      <w:proofErr w:type="spellStart"/>
      <w:r w:rsidRPr="00007E87">
        <w:rPr>
          <w:i/>
          <w:iCs/>
        </w:rPr>
        <w:t>negation</w:t>
      </w:r>
      <w:r w:rsidR="009D4374">
        <w:rPr>
          <w:i/>
          <w:iCs/>
        </w:rPr>
        <w:t>R</w:t>
      </w:r>
      <w:r w:rsidRPr="00007E87">
        <w:rPr>
          <w:i/>
          <w:iCs/>
        </w:rPr>
        <w:t>ationale</w:t>
      </w:r>
      <w:proofErr w:type="spellEnd"/>
      <w:r w:rsidR="005B2702">
        <w:t xml:space="preserve">. </w:t>
      </w:r>
      <w:r w:rsidRPr="00555678">
        <w:t xml:space="preserve">eCQMs use value sets to specify medical reason, patient reason, and/or system reason </w:t>
      </w:r>
      <w:r w:rsidR="005B2702">
        <w:t>why</w:t>
      </w:r>
      <w:r w:rsidRPr="00555678">
        <w:t xml:space="preserve"> </w:t>
      </w:r>
      <w:r w:rsidR="005B2702">
        <w:t>a particular performance</w:t>
      </w:r>
      <w:r w:rsidRPr="00555678">
        <w:t xml:space="preserve"> activity did not happen.</w:t>
      </w:r>
      <w:r>
        <w:t xml:space="preserve"> </w:t>
      </w:r>
      <w:r w:rsidRPr="00555678">
        <w:t xml:space="preserve">For example, a medical reason for </w:t>
      </w:r>
      <w:r w:rsidR="00A328C3">
        <w:t>exception</w:t>
      </w:r>
      <w:r w:rsidRPr="00555678">
        <w:t xml:space="preserve"> may include a rare but relevant comorbidity that could not be anticipated by the measure </w:t>
      </w:r>
      <w:r w:rsidR="005B2702">
        <w:t>developer</w:t>
      </w:r>
      <w:r w:rsidR="007D73DB">
        <w:t xml:space="preserve"> </w:t>
      </w:r>
      <w:r w:rsidR="007D73DB" w:rsidRPr="007D73DB">
        <w:t>to create an explicit exclusion based on the condition</w:t>
      </w:r>
      <w:r w:rsidRPr="00555678">
        <w:t>. </w:t>
      </w:r>
      <w:r w:rsidR="00065488">
        <w:t xml:space="preserve">A patient reason for </w:t>
      </w:r>
      <w:r w:rsidR="006679B9">
        <w:t>exception</w:t>
      </w:r>
      <w:r w:rsidR="00065488">
        <w:t xml:space="preserve"> from </w:t>
      </w:r>
      <w:r w:rsidR="00A328C3">
        <w:t>denominator</w:t>
      </w:r>
      <w:r w:rsidR="00065488">
        <w:t xml:space="preserve"> criteria may</w:t>
      </w:r>
      <w:r w:rsidRPr="00555678">
        <w:t xml:space="preserve"> </w:t>
      </w:r>
      <w:r w:rsidR="00065488">
        <w:t xml:space="preserve">include religious </w:t>
      </w:r>
      <w:r w:rsidRPr="00555678">
        <w:t>preference.</w:t>
      </w:r>
      <w:r>
        <w:t xml:space="preserve"> </w:t>
      </w:r>
    </w:p>
    <w:p w14:paraId="14DAEF53" w14:textId="527283C7" w:rsidR="00517C64" w:rsidRDefault="00582AC4" w:rsidP="006C5AA7">
      <w:pPr>
        <w:pStyle w:val="Paragraph"/>
      </w:pPr>
      <w:r>
        <w:t>If a patient or episode meets</w:t>
      </w:r>
      <w:r w:rsidR="00517C64">
        <w:t xml:space="preserve"> a measure’s</w:t>
      </w:r>
      <w:r>
        <w:t xml:space="preserve"> denominator exception criteria, the measured entity </w:t>
      </w:r>
      <w:r w:rsidR="003E6414">
        <w:t xml:space="preserve">must translate the specific reason for the exception to </w:t>
      </w:r>
      <w:r w:rsidR="00735506">
        <w:t>a</w:t>
      </w:r>
      <w:r w:rsidR="003E6414">
        <w:t xml:space="preserve"> code from the value set or the direct reference code that is used to specify the measure’s </w:t>
      </w:r>
      <w:r w:rsidR="003E6414" w:rsidRPr="006A3719">
        <w:t>denominator exception</w:t>
      </w:r>
      <w:r w:rsidR="003E6414">
        <w:t xml:space="preserve"> criteria. The measured entity should retain supporting </w:t>
      </w:r>
      <w:r w:rsidR="006A3719">
        <w:t>documentation</w:t>
      </w:r>
      <w:r w:rsidR="003E6414">
        <w:t xml:space="preserve"> of the specific reason that the patient or episode met the </w:t>
      </w:r>
      <w:r w:rsidR="003E6414" w:rsidRPr="006A3719">
        <w:t>denominator exception</w:t>
      </w:r>
      <w:r w:rsidR="003E6414">
        <w:t xml:space="preserve"> criteria, as CMS may expect the measured entity to demonstrate relevant justification if audited. </w:t>
      </w:r>
    </w:p>
    <w:p w14:paraId="1BA69143" w14:textId="355266F3" w:rsidR="003E6414" w:rsidRDefault="003E6414" w:rsidP="006C5AA7">
      <w:pPr>
        <w:pStyle w:val="Paragraph"/>
      </w:pPr>
      <w:r>
        <w:t>For example,</w:t>
      </w:r>
      <w:hyperlink r:id="rId107" w:history="1">
        <w:r w:rsidRPr="003E6414">
          <w:rPr>
            <w:rStyle w:val="Hyperlink"/>
            <w:u w:val="none"/>
          </w:rPr>
          <w:t xml:space="preserve"> </w:t>
        </w:r>
        <w:hyperlink r:id="rId108" w:history="1">
          <w:r w:rsidR="00BD6655" w:rsidRPr="00EF389B">
            <w:rPr>
              <w:rStyle w:val="Hyperlink"/>
            </w:rPr>
            <w:t>CMS2v15: Preventive Care and Screening: Screening for Depression and Follow-Up Plan</w:t>
          </w:r>
        </w:hyperlink>
      </w:hyperlink>
      <w:r w:rsidR="007E61AD">
        <w:t xml:space="preserve"> excepts patients from the denominator</w:t>
      </w:r>
      <w:r w:rsidR="00010ADB">
        <w:t xml:space="preserve"> who are not screened for depression </w:t>
      </w:r>
      <w:r w:rsidR="00F53028">
        <w:t>based on a medical reason</w:t>
      </w:r>
      <w:r w:rsidR="007E61AD">
        <w:t>, as depicted in Figure 3.</w:t>
      </w:r>
      <w:r w:rsidR="009276E1">
        <w:t>7</w:t>
      </w:r>
      <w:r w:rsidR="007E61AD">
        <w:t xml:space="preserve">. </w:t>
      </w:r>
    </w:p>
    <w:p w14:paraId="713F19BD" w14:textId="40F62B6B" w:rsidR="007E61AD" w:rsidRDefault="007E61AD" w:rsidP="004C5DB7">
      <w:pPr>
        <w:pStyle w:val="FigureTitle"/>
      </w:pPr>
      <w:bookmarkStart w:id="341" w:name="_Toc195002010"/>
      <w:r w:rsidRPr="00C13F4C">
        <w:lastRenderedPageBreak/>
        <w:t>Figure 3.</w:t>
      </w:r>
      <w:r w:rsidR="009276E1">
        <w:t>7</w:t>
      </w:r>
      <w:r w:rsidRPr="00C13F4C">
        <w:t>. Denominator Exception Example</w:t>
      </w:r>
      <w:bookmarkEnd w:id="341"/>
    </w:p>
    <w:tbl>
      <w:tblPr>
        <w:tblStyle w:val="GrayCell"/>
        <w:tblW w:w="936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Look w:val="04A0" w:firstRow="1" w:lastRow="0" w:firstColumn="1" w:lastColumn="0" w:noHBand="0" w:noVBand="1"/>
      </w:tblPr>
      <w:tblGrid>
        <w:gridCol w:w="9360"/>
      </w:tblGrid>
      <w:tr w:rsidR="00C95016" w14:paraId="5F7621BC" w14:textId="77777777">
        <w:tc>
          <w:tcPr>
            <w:tcW w:w="5000" w:type="pct"/>
            <w:shd w:val="clear" w:color="auto" w:fill="auto"/>
          </w:tcPr>
          <w:p w14:paraId="06DE200F" w14:textId="77777777" w:rsidR="00C95016" w:rsidRPr="005E64B8" w:rsidRDefault="00C95016" w:rsidP="00C95016">
            <w:pPr>
              <w:pStyle w:val="FigureHeader"/>
            </w:pPr>
            <w:r w:rsidRPr="005E64B8">
              <w:rPr>
                <w:rFonts w:ascii="Cambria Math" w:hAnsi="Cambria Math"/>
              </w:rPr>
              <w:t>◢</w:t>
            </w:r>
            <w:r w:rsidRPr="005E64B8">
              <w:t xml:space="preserve"> </w:t>
            </w:r>
            <w:r w:rsidRPr="007E61AD">
              <w:t>Denominator Exceptions</w:t>
            </w:r>
          </w:p>
          <w:p w14:paraId="798B8FDE" w14:textId="77777777" w:rsidR="00BD6655" w:rsidRPr="00BD6655" w:rsidRDefault="00BD6655" w:rsidP="00BD6655">
            <w:pPr>
              <w:spacing w:after="0" w:line="240" w:lineRule="auto"/>
              <w:ind w:left="1080" w:hanging="360"/>
              <w:rPr>
                <w:rFonts w:ascii="Verdana" w:eastAsia="Verdana" w:hAnsi="Verdana" w:cs="Verdana"/>
                <w:sz w:val="16"/>
                <w:szCs w:val="16"/>
              </w:rPr>
            </w:pPr>
            <w:proofErr w:type="gramStart"/>
            <w:r w:rsidRPr="00BD6655">
              <w:rPr>
                <w:rFonts w:ascii="Verdana" w:eastAsia="Verdana" w:hAnsi="Verdana" w:cs="Verdana"/>
                <w:sz w:val="16"/>
                <w:szCs w:val="16"/>
              </w:rPr>
              <w:t>( exists</w:t>
            </w:r>
            <w:proofErr w:type="gramEnd"/>
            <w:r w:rsidRPr="00BD6655">
              <w:rPr>
                <w:rFonts w:ascii="Verdana" w:eastAsia="Verdana" w:hAnsi="Verdana" w:cs="Verdana"/>
                <w:sz w:val="16"/>
                <w:szCs w:val="16"/>
              </w:rPr>
              <w:t xml:space="preserve"> "Medical or Patient Reason for Not Screening Adolescent for Depression"</w:t>
            </w:r>
          </w:p>
          <w:p w14:paraId="7A1B3620" w14:textId="77777777" w:rsidR="00BD6655" w:rsidRPr="00BD6655" w:rsidRDefault="00BD6655" w:rsidP="00BD6655">
            <w:pPr>
              <w:spacing w:after="0" w:line="240" w:lineRule="auto"/>
              <w:ind w:left="1080" w:hanging="360"/>
              <w:rPr>
                <w:rFonts w:ascii="Verdana" w:eastAsia="Verdana" w:hAnsi="Verdana" w:cs="Verdana"/>
                <w:sz w:val="16"/>
                <w:szCs w:val="16"/>
              </w:rPr>
            </w:pPr>
            <w:r w:rsidRPr="00BD6655">
              <w:rPr>
                <w:rFonts w:ascii="Verdana" w:eastAsia="Verdana" w:hAnsi="Verdana" w:cs="Verdana"/>
                <w:sz w:val="16"/>
                <w:szCs w:val="16"/>
              </w:rPr>
              <w:t xml:space="preserve">    and not "Has Adolescent Depression Screening"</w:t>
            </w:r>
          </w:p>
          <w:p w14:paraId="00F85AD9" w14:textId="77777777" w:rsidR="00BD6655" w:rsidRPr="00BD6655" w:rsidRDefault="00BD6655" w:rsidP="00BD6655">
            <w:pPr>
              <w:spacing w:after="0" w:line="240" w:lineRule="auto"/>
              <w:ind w:left="1080"/>
              <w:rPr>
                <w:rFonts w:ascii="Verdana" w:eastAsia="Verdana" w:hAnsi="Verdana" w:cs="Verdana"/>
                <w:sz w:val="16"/>
                <w:szCs w:val="16"/>
              </w:rPr>
            </w:pPr>
            <w:r w:rsidRPr="00BD6655">
              <w:rPr>
                <w:rFonts w:ascii="Verdana" w:eastAsia="Verdana" w:hAnsi="Verdana" w:cs="Verdana"/>
                <w:sz w:val="16"/>
                <w:szCs w:val="16"/>
              </w:rPr>
              <w:t>)</w:t>
            </w:r>
          </w:p>
          <w:p w14:paraId="52C1D5A0" w14:textId="77777777" w:rsidR="00BD6655" w:rsidRPr="00BD6655" w:rsidRDefault="00BD6655" w:rsidP="00BD6655">
            <w:pPr>
              <w:spacing w:after="0" w:line="240" w:lineRule="auto"/>
              <w:ind w:left="1080" w:hanging="360"/>
              <w:rPr>
                <w:rFonts w:ascii="Verdana" w:eastAsia="Verdana" w:hAnsi="Verdana" w:cs="Verdana"/>
                <w:sz w:val="16"/>
                <w:szCs w:val="16"/>
              </w:rPr>
            </w:pPr>
            <w:r w:rsidRPr="00BD6655">
              <w:rPr>
                <w:rFonts w:ascii="Verdana" w:eastAsia="Verdana" w:hAnsi="Verdana" w:cs="Verdana"/>
                <w:sz w:val="16"/>
                <w:szCs w:val="16"/>
              </w:rPr>
              <w:t xml:space="preserve">  or </w:t>
            </w:r>
            <w:proofErr w:type="gramStart"/>
            <w:r w:rsidRPr="00BD6655">
              <w:rPr>
                <w:rFonts w:ascii="Verdana" w:eastAsia="Verdana" w:hAnsi="Verdana" w:cs="Verdana"/>
                <w:sz w:val="16"/>
                <w:szCs w:val="16"/>
              </w:rPr>
              <w:t>( exists</w:t>
            </w:r>
            <w:proofErr w:type="gramEnd"/>
            <w:r w:rsidRPr="00BD6655">
              <w:rPr>
                <w:rFonts w:ascii="Verdana" w:eastAsia="Verdana" w:hAnsi="Verdana" w:cs="Verdana"/>
                <w:sz w:val="16"/>
                <w:szCs w:val="16"/>
              </w:rPr>
              <w:t xml:space="preserve"> "Medical or Patient Reason for Not Screening Adult for Depression"</w:t>
            </w:r>
          </w:p>
          <w:p w14:paraId="712D4E10" w14:textId="77777777" w:rsidR="00BD6655" w:rsidRPr="00BD6655" w:rsidRDefault="00BD6655" w:rsidP="00BD6655">
            <w:pPr>
              <w:spacing w:after="0" w:line="240" w:lineRule="auto"/>
              <w:ind w:left="1080" w:hanging="360"/>
              <w:rPr>
                <w:rFonts w:ascii="Verdana" w:eastAsia="Verdana" w:hAnsi="Verdana" w:cs="Verdana"/>
                <w:sz w:val="16"/>
                <w:szCs w:val="16"/>
              </w:rPr>
            </w:pPr>
            <w:r w:rsidRPr="00BD6655">
              <w:rPr>
                <w:rFonts w:ascii="Verdana" w:eastAsia="Verdana" w:hAnsi="Verdana" w:cs="Verdana"/>
                <w:sz w:val="16"/>
                <w:szCs w:val="16"/>
              </w:rPr>
              <w:t xml:space="preserve">      and not "Has Adult Depression Screening"</w:t>
            </w:r>
          </w:p>
          <w:p w14:paraId="7218B98A" w14:textId="77777777" w:rsidR="00BD6655" w:rsidRPr="00BD6655" w:rsidRDefault="00BD6655" w:rsidP="00BD6655">
            <w:pPr>
              <w:spacing w:after="120" w:line="240" w:lineRule="auto"/>
              <w:ind w:left="1080" w:hanging="360"/>
              <w:rPr>
                <w:rFonts w:ascii="Verdana" w:eastAsia="Verdana" w:hAnsi="Verdana" w:cs="Verdana"/>
                <w:sz w:val="16"/>
                <w:szCs w:val="16"/>
              </w:rPr>
            </w:pPr>
            <w:r w:rsidRPr="00BD6655">
              <w:rPr>
                <w:rFonts w:ascii="Verdana" w:eastAsia="Verdana" w:hAnsi="Verdana" w:cs="Verdana"/>
                <w:sz w:val="16"/>
                <w:szCs w:val="16"/>
              </w:rPr>
              <w:t xml:space="preserve">  </w:t>
            </w:r>
            <w:r w:rsidRPr="00BD6655">
              <w:rPr>
                <w:rFonts w:ascii="Verdana" w:eastAsia="Verdana" w:hAnsi="Verdana" w:cs="Verdana"/>
                <w:sz w:val="16"/>
                <w:szCs w:val="16"/>
              </w:rPr>
              <w:tab/>
              <w:t>)</w:t>
            </w:r>
          </w:p>
          <w:p w14:paraId="1E133590" w14:textId="77777777" w:rsidR="00C95016" w:rsidRPr="005E64B8" w:rsidRDefault="00C95016" w:rsidP="00C95016">
            <w:pPr>
              <w:pStyle w:val="FigureHeader"/>
              <w:spacing w:before="120"/>
            </w:pPr>
            <w:r w:rsidRPr="005E64B8">
              <w:rPr>
                <w:rFonts w:ascii="Cambria Math" w:hAnsi="Cambria Math"/>
              </w:rPr>
              <w:t>◢</w:t>
            </w:r>
            <w:r w:rsidRPr="005E64B8">
              <w:t xml:space="preserve"> </w:t>
            </w:r>
            <w:r w:rsidRPr="00010ADB">
              <w:t>Medical or Patient Reason for Not Screening Adult for Depression</w:t>
            </w:r>
          </w:p>
          <w:p w14:paraId="1E87297E" w14:textId="77777777" w:rsidR="00BD6655" w:rsidRPr="00BD6655" w:rsidRDefault="00BD6655" w:rsidP="00BD6655">
            <w:pPr>
              <w:spacing w:after="0" w:line="240" w:lineRule="auto"/>
              <w:ind w:left="1080" w:hanging="360"/>
              <w:rPr>
                <w:rFonts w:ascii="Verdana" w:eastAsia="Verdana" w:hAnsi="Verdana" w:cs="Verdana"/>
                <w:sz w:val="16"/>
                <w:szCs w:val="16"/>
              </w:rPr>
            </w:pPr>
            <w:r w:rsidRPr="00BD6655">
              <w:rPr>
                <w:rFonts w:ascii="Verdana" w:eastAsia="Verdana" w:hAnsi="Verdana" w:cs="Verdana"/>
                <w:sz w:val="16"/>
                <w:szCs w:val="16"/>
              </w:rPr>
              <w:t xml:space="preserve">["Assessment, Not Performed": "Adult depression screening assessment"] </w:t>
            </w:r>
            <w:proofErr w:type="spellStart"/>
            <w:r w:rsidRPr="00BD6655">
              <w:rPr>
                <w:rFonts w:ascii="Verdana" w:eastAsia="Verdana" w:hAnsi="Verdana" w:cs="Verdana"/>
                <w:sz w:val="16"/>
                <w:szCs w:val="16"/>
              </w:rPr>
              <w:t>NoAdultScreen</w:t>
            </w:r>
            <w:proofErr w:type="spellEnd"/>
          </w:p>
          <w:p w14:paraId="424F7BD3" w14:textId="77777777" w:rsidR="00BD6655" w:rsidRPr="00BD6655" w:rsidRDefault="00BD6655" w:rsidP="00BD6655">
            <w:pPr>
              <w:spacing w:after="0" w:line="240" w:lineRule="auto"/>
              <w:ind w:left="1080" w:hanging="360"/>
              <w:rPr>
                <w:rFonts w:ascii="Verdana" w:eastAsia="Verdana" w:hAnsi="Verdana" w:cs="Verdana"/>
                <w:sz w:val="16"/>
                <w:szCs w:val="16"/>
              </w:rPr>
            </w:pPr>
            <w:r w:rsidRPr="00BD6655">
              <w:rPr>
                <w:rFonts w:ascii="Verdana" w:eastAsia="Verdana" w:hAnsi="Verdana" w:cs="Verdana"/>
                <w:sz w:val="16"/>
                <w:szCs w:val="16"/>
              </w:rPr>
              <w:t xml:space="preserve">  with "Qualifying Encounter During Measurement Period" </w:t>
            </w:r>
            <w:proofErr w:type="spellStart"/>
            <w:r w:rsidRPr="00BD6655">
              <w:rPr>
                <w:rFonts w:ascii="Verdana" w:eastAsia="Verdana" w:hAnsi="Verdana" w:cs="Verdana"/>
                <w:sz w:val="16"/>
                <w:szCs w:val="16"/>
              </w:rPr>
              <w:t>QualifyingEncounter</w:t>
            </w:r>
            <w:proofErr w:type="spellEnd"/>
          </w:p>
          <w:p w14:paraId="7E4E1834" w14:textId="77777777" w:rsidR="00BD6655" w:rsidRPr="00BD6655" w:rsidRDefault="00BD6655" w:rsidP="00BD6655">
            <w:pPr>
              <w:spacing w:after="0" w:line="240" w:lineRule="auto"/>
              <w:ind w:left="1080" w:hanging="360"/>
              <w:rPr>
                <w:rFonts w:ascii="Verdana" w:eastAsia="Verdana" w:hAnsi="Verdana" w:cs="Verdana"/>
                <w:sz w:val="16"/>
                <w:szCs w:val="16"/>
              </w:rPr>
            </w:pPr>
            <w:r w:rsidRPr="00BD6655">
              <w:rPr>
                <w:rFonts w:ascii="Verdana" w:eastAsia="Verdana" w:hAnsi="Verdana" w:cs="Verdana"/>
                <w:sz w:val="16"/>
                <w:szCs w:val="16"/>
              </w:rPr>
              <w:t xml:space="preserve">    such that </w:t>
            </w:r>
            <w:proofErr w:type="spellStart"/>
            <w:r w:rsidRPr="00BD6655">
              <w:rPr>
                <w:rFonts w:ascii="Verdana" w:eastAsia="Verdana" w:hAnsi="Verdana" w:cs="Verdana"/>
                <w:sz w:val="16"/>
                <w:szCs w:val="16"/>
              </w:rPr>
              <w:t>NoAdultScreen.authorDatetime</w:t>
            </w:r>
            <w:proofErr w:type="spellEnd"/>
            <w:r w:rsidRPr="00BD6655">
              <w:rPr>
                <w:rFonts w:ascii="Verdana" w:eastAsia="Verdana" w:hAnsi="Verdana" w:cs="Verdana"/>
                <w:sz w:val="16"/>
                <w:szCs w:val="16"/>
              </w:rPr>
              <w:t xml:space="preserve"> during day of </w:t>
            </w:r>
            <w:proofErr w:type="spellStart"/>
            <w:r w:rsidRPr="00BD6655">
              <w:rPr>
                <w:rFonts w:ascii="Verdana" w:eastAsia="Verdana" w:hAnsi="Verdana" w:cs="Verdana"/>
                <w:sz w:val="16"/>
                <w:szCs w:val="16"/>
              </w:rPr>
              <w:t>QualifyingEncounter.relevantPeriod</w:t>
            </w:r>
            <w:proofErr w:type="spellEnd"/>
          </w:p>
          <w:p w14:paraId="150378D5" w14:textId="77777777" w:rsidR="00BD6655" w:rsidRPr="00BD6655" w:rsidRDefault="00BD6655" w:rsidP="00BD6655">
            <w:pPr>
              <w:spacing w:after="0" w:line="240" w:lineRule="auto"/>
              <w:ind w:left="1080" w:hanging="360"/>
              <w:rPr>
                <w:rFonts w:ascii="Verdana" w:eastAsia="Verdana" w:hAnsi="Verdana" w:cs="Verdana"/>
                <w:sz w:val="16"/>
                <w:szCs w:val="16"/>
              </w:rPr>
            </w:pPr>
            <w:r w:rsidRPr="00BD6655">
              <w:rPr>
                <w:rFonts w:ascii="Verdana" w:eastAsia="Verdana" w:hAnsi="Verdana" w:cs="Verdana"/>
                <w:sz w:val="16"/>
                <w:szCs w:val="16"/>
              </w:rPr>
              <w:t xml:space="preserve">  where </w:t>
            </w:r>
            <w:proofErr w:type="gramStart"/>
            <w:r w:rsidRPr="00BD6655">
              <w:rPr>
                <w:rFonts w:ascii="Verdana" w:eastAsia="Verdana" w:hAnsi="Verdana" w:cs="Verdana"/>
                <w:sz w:val="16"/>
                <w:szCs w:val="16"/>
              </w:rPr>
              <w:t xml:space="preserve">( </w:t>
            </w:r>
            <w:proofErr w:type="spellStart"/>
            <w:r w:rsidRPr="00BD6655">
              <w:rPr>
                <w:rFonts w:ascii="Verdana" w:eastAsia="Verdana" w:hAnsi="Verdana" w:cs="Verdana"/>
                <w:sz w:val="16"/>
                <w:szCs w:val="16"/>
              </w:rPr>
              <w:t>NoAdultScreen.negationRationale</w:t>
            </w:r>
            <w:proofErr w:type="spellEnd"/>
            <w:proofErr w:type="gramEnd"/>
            <w:r w:rsidRPr="00BD6655">
              <w:rPr>
                <w:rFonts w:ascii="Verdana" w:eastAsia="Verdana" w:hAnsi="Verdana" w:cs="Verdana"/>
                <w:sz w:val="16"/>
                <w:szCs w:val="16"/>
              </w:rPr>
              <w:t xml:space="preserve"> ~ "Depression screening declined (situation)"</w:t>
            </w:r>
          </w:p>
          <w:p w14:paraId="413F3342" w14:textId="77777777" w:rsidR="00BD6655" w:rsidRPr="00BD6655" w:rsidRDefault="00BD6655" w:rsidP="00BD6655">
            <w:pPr>
              <w:spacing w:after="0" w:line="240" w:lineRule="auto"/>
              <w:ind w:left="1080" w:hanging="360"/>
              <w:rPr>
                <w:rFonts w:ascii="Verdana" w:eastAsia="Verdana" w:hAnsi="Verdana" w:cs="Verdana"/>
                <w:sz w:val="16"/>
                <w:szCs w:val="16"/>
              </w:rPr>
            </w:pPr>
            <w:r w:rsidRPr="00BD6655">
              <w:rPr>
                <w:rFonts w:ascii="Verdana" w:eastAsia="Verdana" w:hAnsi="Verdana" w:cs="Verdana"/>
                <w:sz w:val="16"/>
                <w:szCs w:val="16"/>
              </w:rPr>
              <w:t xml:space="preserve">      or </w:t>
            </w:r>
            <w:proofErr w:type="spellStart"/>
            <w:r w:rsidRPr="00BD6655">
              <w:rPr>
                <w:rFonts w:ascii="Verdana" w:eastAsia="Verdana" w:hAnsi="Verdana" w:cs="Verdana"/>
                <w:sz w:val="16"/>
                <w:szCs w:val="16"/>
              </w:rPr>
              <w:t>NoAdultScreen.negationRationale</w:t>
            </w:r>
            <w:proofErr w:type="spellEnd"/>
            <w:r w:rsidRPr="00BD6655">
              <w:rPr>
                <w:rFonts w:ascii="Verdana" w:eastAsia="Verdana" w:hAnsi="Verdana" w:cs="Verdana"/>
                <w:sz w:val="16"/>
                <w:szCs w:val="16"/>
              </w:rPr>
              <w:t xml:space="preserve"> in "</w:t>
            </w:r>
            <w:r w:rsidRPr="00BD6655">
              <w:rPr>
                <w:rFonts w:ascii="Verdana" w:eastAsia="Verdana" w:hAnsi="Verdana" w:cs="Verdana"/>
                <w:sz w:val="16"/>
                <w:szCs w:val="16"/>
                <w:highlight w:val="yellow"/>
              </w:rPr>
              <w:t>Medical Reason</w:t>
            </w:r>
            <w:r w:rsidRPr="00BD6655">
              <w:rPr>
                <w:rFonts w:ascii="Verdana" w:eastAsia="Verdana" w:hAnsi="Verdana" w:cs="Verdana"/>
                <w:sz w:val="16"/>
                <w:szCs w:val="16"/>
              </w:rPr>
              <w:t>"</w:t>
            </w:r>
          </w:p>
          <w:p w14:paraId="50261165" w14:textId="1D91AA40" w:rsidR="00C95016" w:rsidRPr="00BD6655" w:rsidRDefault="00BD6655" w:rsidP="00BD6655">
            <w:pPr>
              <w:spacing w:after="120" w:line="240" w:lineRule="auto"/>
              <w:ind w:left="1080" w:hanging="360"/>
              <w:rPr>
                <w:rFonts w:ascii="Verdana" w:eastAsia="Verdana" w:hAnsi="Verdana" w:cs="Verdana"/>
                <w:sz w:val="15"/>
                <w:szCs w:val="15"/>
              </w:rPr>
            </w:pPr>
            <w:r w:rsidRPr="00BD6655">
              <w:rPr>
                <w:rFonts w:ascii="Verdana" w:eastAsia="Verdana" w:hAnsi="Verdana" w:cs="Verdana"/>
                <w:sz w:val="16"/>
                <w:szCs w:val="16"/>
              </w:rPr>
              <w:t xml:space="preserve">  </w:t>
            </w:r>
            <w:r w:rsidRPr="00BD6655">
              <w:rPr>
                <w:rFonts w:ascii="Verdana" w:eastAsia="Verdana" w:hAnsi="Verdana" w:cs="Verdana"/>
                <w:sz w:val="16"/>
                <w:szCs w:val="16"/>
              </w:rPr>
              <w:tab/>
              <w:t>)</w:t>
            </w:r>
          </w:p>
        </w:tc>
      </w:tr>
    </w:tbl>
    <w:p w14:paraId="1096E372" w14:textId="0CA9315F" w:rsidR="007E61AD" w:rsidRPr="007E61AD" w:rsidRDefault="00010ADB" w:rsidP="00C95016">
      <w:pPr>
        <w:pStyle w:val="ParagraphContinued"/>
        <w:rPr>
          <w:rFonts w:ascii="Verdana" w:eastAsia="Verdana" w:hAnsi="Verdana" w:cs="Verdana"/>
          <w:sz w:val="15"/>
          <w:szCs w:val="15"/>
        </w:rPr>
      </w:pPr>
      <w:r>
        <w:t xml:space="preserve">If a patient met this measure’s </w:t>
      </w:r>
      <w:r w:rsidRPr="006A3719">
        <w:t>denominator exception c</w:t>
      </w:r>
      <w:r>
        <w:t xml:space="preserve">riteria </w:t>
      </w:r>
      <w:r w:rsidR="00F53028">
        <w:t>of not being screened for depression based on a medical reason</w:t>
      </w:r>
      <w:r>
        <w:t xml:space="preserve">, the measured entity would need to only report </w:t>
      </w:r>
      <w:r w:rsidR="00F53028">
        <w:t xml:space="preserve">a code from the “Medical Reason” </w:t>
      </w:r>
      <w:r w:rsidR="00F56868">
        <w:t>(OID:</w:t>
      </w:r>
      <w:r w:rsidR="00F56868" w:rsidRPr="00434FC1">
        <w:t xml:space="preserve"> 2.16.840.1.113883.3.526.3.1007</w:t>
      </w:r>
      <w:r w:rsidR="00F56868">
        <w:t xml:space="preserve">) </w:t>
      </w:r>
      <w:r w:rsidR="00F53028">
        <w:t>value set</w:t>
      </w:r>
      <w:r w:rsidR="004A6BBA">
        <w:t>, such as “Procedure not indicated (situation)</w:t>
      </w:r>
      <w:r w:rsidR="00F53028">
        <w:t>.</w:t>
      </w:r>
      <w:r w:rsidR="004A6BBA">
        <w:t>”</w:t>
      </w:r>
      <w:r>
        <w:t xml:space="preserve"> </w:t>
      </w:r>
      <w:r w:rsidR="006B6B5A">
        <w:t>T</w:t>
      </w:r>
      <w:r>
        <w:t xml:space="preserve">he measured entity should </w:t>
      </w:r>
      <w:r w:rsidR="00F53028">
        <w:t>confirm</w:t>
      </w:r>
      <w:r w:rsidR="006B6B5A">
        <w:t>, however,</w:t>
      </w:r>
      <w:r w:rsidR="00F53028">
        <w:t xml:space="preserve"> </w:t>
      </w:r>
      <w:r w:rsidR="006B6B5A">
        <w:t xml:space="preserve">that </w:t>
      </w:r>
      <w:r w:rsidR="00F53028">
        <w:t xml:space="preserve">there </w:t>
      </w:r>
      <w:r w:rsidR="006B6B5A">
        <w:t xml:space="preserve">is </w:t>
      </w:r>
      <w:r w:rsidR="00F53028">
        <w:t xml:space="preserve">a legitimate medical reason for exception and </w:t>
      </w:r>
      <w:r w:rsidR="00FA525B">
        <w:t xml:space="preserve">should </w:t>
      </w:r>
      <w:r w:rsidR="006A3719" w:rsidRPr="006A3719">
        <w:t>document specific information on the medical reason</w:t>
      </w:r>
      <w:r w:rsidR="00F53028">
        <w:t xml:space="preserve"> in case of a CMS audit.</w:t>
      </w:r>
    </w:p>
    <w:p w14:paraId="000001B5" w14:textId="7146DE4E" w:rsidR="00D67C8C" w:rsidRDefault="006C5AA7" w:rsidP="006C5AA7">
      <w:pPr>
        <w:pStyle w:val="H2-Num"/>
      </w:pPr>
      <w:bookmarkStart w:id="342" w:name="_heading=h.4kx3h1s" w:colFirst="0" w:colLast="0"/>
      <w:bookmarkStart w:id="343" w:name="_Toc446948768"/>
      <w:bookmarkStart w:id="344" w:name="_Toc23176763"/>
      <w:bookmarkStart w:id="345" w:name="_Toc56635390"/>
      <w:bookmarkStart w:id="346" w:name="_Toc64983082"/>
      <w:bookmarkStart w:id="347" w:name="_Toc159578393"/>
      <w:bookmarkStart w:id="348" w:name="_Toc194959018"/>
      <w:bookmarkStart w:id="349" w:name="_Toc194994765"/>
      <w:bookmarkEnd w:id="342"/>
      <w:r>
        <w:rPr>
          <w:rFonts w:eastAsia="Arial Narrow"/>
        </w:rPr>
        <w:t>3.10</w:t>
      </w:r>
      <w:r>
        <w:rPr>
          <w:rFonts w:eastAsia="Arial Narrow"/>
        </w:rPr>
        <w:tab/>
      </w:r>
      <w:r w:rsidR="00C80A11" w:rsidRPr="005E64B8">
        <w:rPr>
          <w:rFonts w:eastAsia="Arial Narrow"/>
        </w:rPr>
        <w:t>Activities That Were “Not Done”</w:t>
      </w:r>
      <w:bookmarkEnd w:id="343"/>
      <w:bookmarkEnd w:id="344"/>
      <w:bookmarkEnd w:id="345"/>
      <w:bookmarkEnd w:id="346"/>
      <w:bookmarkEnd w:id="347"/>
      <w:bookmarkEnd w:id="348"/>
      <w:bookmarkEnd w:id="349"/>
    </w:p>
    <w:p w14:paraId="000001B6" w14:textId="65C62875" w:rsidR="00D67C8C" w:rsidRDefault="00C80A11" w:rsidP="00C95E5D">
      <w:pPr>
        <w:pStyle w:val="ParagraphContinued"/>
      </w:pPr>
      <w:r>
        <w:t>Measure developers may use a negation attribute to identify situations in which an expected action did not occur</w:t>
      </w:r>
      <w:r w:rsidR="007D216B">
        <w:t xml:space="preserve"> (</w:t>
      </w:r>
      <w:r w:rsidR="00065488">
        <w:t>for example,</w:t>
      </w:r>
      <w:r>
        <w:t xml:space="preserve"> the measured entity did not place or administer an order or did not observe a finding for a documented reason</w:t>
      </w:r>
      <w:r w:rsidR="007D216B">
        <w:t>)</w:t>
      </w:r>
      <w:r>
        <w:t xml:space="preserve">. The approach in CQL logic requires negation against the entire value set by providing a </w:t>
      </w:r>
      <w:proofErr w:type="spellStart"/>
      <w:r>
        <w:t>nullFlavor</w:t>
      </w:r>
      <w:proofErr w:type="spellEnd"/>
      <w:r>
        <w:t xml:space="preserve"> code and the value set </w:t>
      </w:r>
      <w:r>
        <w:rPr>
          <w:color w:val="000000"/>
        </w:rPr>
        <w:t>object identifier (</w:t>
      </w:r>
      <w:r>
        <w:t xml:space="preserve">OID) in a </w:t>
      </w:r>
      <w:r w:rsidR="00B03E30">
        <w:t>QRDA</w:t>
      </w:r>
      <w:r>
        <w:t xml:space="preserve"> Category I file to indicate “not done.”</w:t>
      </w:r>
    </w:p>
    <w:p w14:paraId="000001B7" w14:textId="5084791F" w:rsidR="00D67C8C" w:rsidRDefault="00C80A11" w:rsidP="00C95E5D">
      <w:pPr>
        <w:pStyle w:val="Paragraph"/>
      </w:pPr>
      <w:r>
        <w:t xml:space="preserve">Thus, measured entities should not arbitrarily select one specific action referenced by a value set to indicate the action not taken but should instead indicate they did not take </w:t>
      </w:r>
      <w:r>
        <w:rPr>
          <w:i/>
        </w:rPr>
        <w:t>any</w:t>
      </w:r>
      <w:r>
        <w:t xml:space="preserve"> actions referenced in the value set. This approach applies to all QDM datatypes using </w:t>
      </w:r>
      <w:proofErr w:type="spellStart"/>
      <w:r>
        <w:rPr>
          <w:i/>
        </w:rPr>
        <w:t>negationRationale</w:t>
      </w:r>
      <w:proofErr w:type="spellEnd"/>
      <w:r>
        <w:t xml:space="preserve"> to describe activities “not done for a reason” and whe</w:t>
      </w:r>
      <w:r w:rsidR="009B31EE">
        <w:t>n</w:t>
      </w:r>
      <w:r>
        <w:t xml:space="preserve"> the eCQM specification for “not done” references a value set instead of a direct reference code.</w:t>
      </w:r>
      <w:r>
        <w:rPr>
          <w:i/>
        </w:rPr>
        <w:t xml:space="preserve"> </w:t>
      </w:r>
      <w:r>
        <w:t>It does not change the expression of negation in the HQMF,</w:t>
      </w:r>
      <w:r w:rsidR="009B31EE">
        <w:t xml:space="preserve"> but</w:t>
      </w:r>
      <w:r>
        <w:t xml:space="preserve"> it does require using an HL7 </w:t>
      </w:r>
      <w:proofErr w:type="spellStart"/>
      <w:r>
        <w:t>nullFlavor</w:t>
      </w:r>
      <w:proofErr w:type="spellEnd"/>
      <w:r>
        <w:t xml:space="preserve"> code instead of a specific code from the value set associated with these activities in the QRDA Category I file.</w:t>
      </w:r>
    </w:p>
    <w:p w14:paraId="000001B8" w14:textId="4A6B4D3F" w:rsidR="00D67C8C" w:rsidRDefault="00C80A11" w:rsidP="00C95E5D">
      <w:pPr>
        <w:pStyle w:val="Paragraph"/>
      </w:pPr>
      <w:r>
        <w:t xml:space="preserve">The intent of the </w:t>
      </w:r>
      <w:proofErr w:type="spellStart"/>
      <w:r>
        <w:t>nullFlavor</w:t>
      </w:r>
      <w:proofErr w:type="spellEnd"/>
      <w:r>
        <w:t xml:space="preserve"> in this context is to specify that the measured entity </w:t>
      </w:r>
      <w:r w:rsidR="00007E87">
        <w:t xml:space="preserve">intentionally </w:t>
      </w:r>
      <w:r>
        <w:t xml:space="preserve">did not do </w:t>
      </w:r>
      <w:r>
        <w:rPr>
          <w:i/>
        </w:rPr>
        <w:t>all</w:t>
      </w:r>
      <w:r>
        <w:t xml:space="preserve"> the activities in the value set. It is not appropriate for a measured entity to certify that a clinician did not perform an activity using negation unless the measured entity intentionally did not order or perform the activity in question and documented a justification. </w:t>
      </w:r>
    </w:p>
    <w:p w14:paraId="000001B9" w14:textId="7B04E984" w:rsidR="00D67C8C" w:rsidRPr="00F53028" w:rsidRDefault="00C80A11" w:rsidP="00C95E5D">
      <w:pPr>
        <w:pStyle w:val="Paragraph"/>
        <w:rPr>
          <w:iCs/>
        </w:rPr>
      </w:pPr>
      <w:r>
        <w:t xml:space="preserve">Figure </w:t>
      </w:r>
      <w:r w:rsidR="008D6C9A">
        <w:t>3</w:t>
      </w:r>
      <w:r>
        <w:t>.</w:t>
      </w:r>
      <w:r w:rsidR="009276E1">
        <w:t>8</w:t>
      </w:r>
      <w:r>
        <w:t xml:space="preserve"> shows an example of “not done” in CQL from</w:t>
      </w:r>
      <w:r w:rsidR="00F53028">
        <w:t xml:space="preserve"> </w:t>
      </w:r>
      <w:hyperlink r:id="rId109" w:history="1">
        <w:r w:rsidR="00BD6655" w:rsidRPr="00EF389B">
          <w:rPr>
            <w:rStyle w:val="Hyperlink"/>
          </w:rPr>
          <w:t xml:space="preserve">CMS108v14, </w:t>
        </w:r>
        <w:r w:rsidR="00BD6655" w:rsidRPr="00EF389B">
          <w:rPr>
            <w:rStyle w:val="Hyperlink"/>
            <w:iCs/>
          </w:rPr>
          <w:t>Venous Thromboembolism Prophylaxis</w:t>
        </w:r>
      </w:hyperlink>
      <w:r w:rsidRPr="00F53028">
        <w:rPr>
          <w:iCs/>
        </w:rPr>
        <w:t>.</w:t>
      </w:r>
    </w:p>
    <w:p w14:paraId="000001BA" w14:textId="208233E4" w:rsidR="00D67C8C" w:rsidRDefault="00C80A11" w:rsidP="00D73EAA">
      <w:pPr>
        <w:pStyle w:val="FigureTitle"/>
      </w:pPr>
      <w:bookmarkStart w:id="350" w:name="_Toc159578084"/>
      <w:bookmarkStart w:id="351" w:name="_Toc195002011"/>
      <w:r w:rsidRPr="00627252">
        <w:t xml:space="preserve">Figure </w:t>
      </w:r>
      <w:r w:rsidR="008D6C9A" w:rsidRPr="00627252">
        <w:t>3</w:t>
      </w:r>
      <w:r w:rsidRPr="00627252">
        <w:t>.</w:t>
      </w:r>
      <w:r w:rsidR="009276E1">
        <w:t>8</w:t>
      </w:r>
      <w:r w:rsidRPr="00627252">
        <w:t>. Example of “Not Done” in CQL</w:t>
      </w:r>
      <w:bookmarkEnd w:id="350"/>
      <w:bookmarkEnd w:id="351"/>
    </w:p>
    <w:tbl>
      <w:tblPr>
        <w:tblStyle w:val="GrayCell"/>
        <w:tblW w:w="936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Look w:val="04A0" w:firstRow="1" w:lastRow="0" w:firstColumn="1" w:lastColumn="0" w:noHBand="0" w:noVBand="1"/>
      </w:tblPr>
      <w:tblGrid>
        <w:gridCol w:w="9360"/>
      </w:tblGrid>
      <w:tr w:rsidR="00C95016" w14:paraId="6CF31179" w14:textId="77777777">
        <w:tc>
          <w:tcPr>
            <w:tcW w:w="5000" w:type="pct"/>
            <w:shd w:val="clear" w:color="auto" w:fill="auto"/>
          </w:tcPr>
          <w:p w14:paraId="3AB72974" w14:textId="24319921" w:rsidR="00C95016" w:rsidRPr="005E64B8" w:rsidRDefault="00C95016" w:rsidP="00BD6655">
            <w:pPr>
              <w:pStyle w:val="FigureHeader"/>
              <w:spacing w:after="0"/>
            </w:pPr>
            <w:r w:rsidRPr="005E64B8">
              <w:rPr>
                <w:rFonts w:ascii="Cambria Math" w:hAnsi="Cambria Math"/>
              </w:rPr>
              <w:t>◢</w:t>
            </w:r>
            <w:r w:rsidRPr="005E64B8">
              <w:t xml:space="preserve"> No Mechanical </w:t>
            </w:r>
            <w:proofErr w:type="gramStart"/>
            <w:r w:rsidR="00BD6655">
              <w:t>O</w:t>
            </w:r>
            <w:r w:rsidRPr="005E64B8">
              <w:t>r</w:t>
            </w:r>
            <w:proofErr w:type="gramEnd"/>
            <w:r w:rsidRPr="005E64B8">
              <w:t xml:space="preserve"> Pharmacological VTE Prophylaxis Due </w:t>
            </w:r>
            <w:r w:rsidR="00BD6655">
              <w:t>T</w:t>
            </w:r>
            <w:r w:rsidRPr="005E64B8">
              <w:t>o Patient Refusal</w:t>
            </w:r>
          </w:p>
          <w:p w14:paraId="3B22D9B6" w14:textId="18E32644" w:rsidR="00BD6655" w:rsidRPr="00BD6655" w:rsidRDefault="00C95016" w:rsidP="00BD6655">
            <w:pPr>
              <w:spacing w:after="0"/>
              <w:ind w:left="720" w:hanging="360"/>
              <w:rPr>
                <w:rFonts w:ascii="Verdana" w:eastAsia="Verdana" w:hAnsi="Verdana" w:cs="Verdana"/>
                <w:sz w:val="16"/>
                <w:szCs w:val="16"/>
              </w:rPr>
            </w:pPr>
            <w:r>
              <w:rPr>
                <w:rFonts w:cs="Verdana"/>
                <w:sz w:val="15"/>
                <w:szCs w:val="15"/>
              </w:rPr>
              <w:tab/>
            </w:r>
            <w:proofErr w:type="gramStart"/>
            <w:r w:rsidR="00BD6655" w:rsidRPr="00BD6655">
              <w:rPr>
                <w:rFonts w:ascii="Verdana" w:eastAsia="Verdana" w:hAnsi="Verdana" w:cs="Verdana"/>
                <w:sz w:val="16"/>
                <w:szCs w:val="16"/>
              </w:rPr>
              <w:t xml:space="preserve">( </w:t>
            </w:r>
            <w:r w:rsidR="00D64C1E">
              <w:rPr>
                <w:rFonts w:ascii="Verdana" w:eastAsia="Verdana" w:hAnsi="Verdana" w:cs="Verdana"/>
                <w:sz w:val="16"/>
                <w:szCs w:val="16"/>
              </w:rPr>
              <w:t>"</w:t>
            </w:r>
            <w:proofErr w:type="gramEnd"/>
            <w:r w:rsidR="00BD6655" w:rsidRPr="00BD6655">
              <w:rPr>
                <w:rFonts w:ascii="Verdana" w:eastAsia="Verdana" w:hAnsi="Verdana" w:cs="Verdana"/>
                <w:sz w:val="16"/>
                <w:szCs w:val="16"/>
              </w:rPr>
              <w:t>No VTE Prophylaxis Medication Administered or Ordered</w:t>
            </w:r>
            <w:r w:rsidR="00D64C1E">
              <w:rPr>
                <w:rFonts w:ascii="Verdana" w:eastAsia="Verdana" w:hAnsi="Verdana" w:cs="Verdana"/>
                <w:sz w:val="16"/>
                <w:szCs w:val="16"/>
              </w:rPr>
              <w:t>"</w:t>
            </w:r>
          </w:p>
          <w:p w14:paraId="4306F854" w14:textId="6EAC2B81" w:rsidR="00BD6655" w:rsidRPr="00BD6655" w:rsidRDefault="00BD6655" w:rsidP="00BD6655">
            <w:pPr>
              <w:spacing w:after="0" w:line="240" w:lineRule="auto"/>
              <w:ind w:left="720" w:hanging="360"/>
              <w:rPr>
                <w:rFonts w:ascii="Verdana" w:eastAsia="Verdana" w:hAnsi="Verdana" w:cs="Verdana"/>
                <w:sz w:val="16"/>
                <w:szCs w:val="16"/>
              </w:rPr>
            </w:pPr>
            <w:r w:rsidRPr="00BD6655">
              <w:rPr>
                <w:rFonts w:ascii="Verdana" w:eastAsia="Verdana" w:hAnsi="Verdana" w:cs="Verdana"/>
                <w:sz w:val="16"/>
                <w:szCs w:val="16"/>
              </w:rPr>
              <w:lastRenderedPageBreak/>
              <w:tab/>
              <w:t xml:space="preserve">        union </w:t>
            </w:r>
            <w:r w:rsidR="00D64C1E">
              <w:rPr>
                <w:rFonts w:ascii="Verdana" w:eastAsia="Verdana" w:hAnsi="Verdana" w:cs="Verdana"/>
                <w:sz w:val="16"/>
                <w:szCs w:val="16"/>
              </w:rPr>
              <w:t>"</w:t>
            </w:r>
            <w:r w:rsidRPr="00BD6655">
              <w:rPr>
                <w:rFonts w:ascii="Verdana" w:eastAsia="Verdana" w:hAnsi="Verdana" w:cs="Verdana"/>
                <w:sz w:val="16"/>
                <w:szCs w:val="16"/>
              </w:rPr>
              <w:t>No Mechanical VTE Prophylaxis Performed or Ordered</w:t>
            </w:r>
            <w:proofErr w:type="gramStart"/>
            <w:r w:rsidR="00D64C1E">
              <w:rPr>
                <w:rFonts w:ascii="Verdana" w:eastAsia="Verdana" w:hAnsi="Verdana" w:cs="Verdana"/>
                <w:sz w:val="16"/>
                <w:szCs w:val="16"/>
              </w:rPr>
              <w:t>"</w:t>
            </w:r>
            <w:r w:rsidRPr="00BD6655">
              <w:rPr>
                <w:rFonts w:ascii="Verdana" w:eastAsia="Verdana" w:hAnsi="Verdana" w:cs="Verdana"/>
                <w:sz w:val="16"/>
                <w:szCs w:val="16"/>
              </w:rPr>
              <w:t xml:space="preserve"> )</w:t>
            </w:r>
            <w:proofErr w:type="gramEnd"/>
            <w:r w:rsidRPr="00BD6655">
              <w:rPr>
                <w:rFonts w:ascii="Verdana" w:eastAsia="Verdana" w:hAnsi="Verdana" w:cs="Verdana"/>
                <w:sz w:val="16"/>
                <w:szCs w:val="16"/>
              </w:rPr>
              <w:t xml:space="preserve"> </w:t>
            </w:r>
            <w:proofErr w:type="spellStart"/>
            <w:r w:rsidRPr="00BD6655">
              <w:rPr>
                <w:rFonts w:ascii="Verdana" w:eastAsia="Verdana" w:hAnsi="Verdana" w:cs="Verdana"/>
                <w:sz w:val="16"/>
                <w:szCs w:val="16"/>
              </w:rPr>
              <w:t>NoVTEProphylaxis</w:t>
            </w:r>
            <w:proofErr w:type="spellEnd"/>
          </w:p>
          <w:p w14:paraId="7D7186DA" w14:textId="53E6B522" w:rsidR="00BD6655" w:rsidRPr="00BD6655" w:rsidRDefault="00BD6655" w:rsidP="00BD6655">
            <w:pPr>
              <w:spacing w:after="0" w:line="240" w:lineRule="auto"/>
              <w:ind w:left="720" w:hanging="360"/>
              <w:rPr>
                <w:rFonts w:ascii="Verdana" w:eastAsia="Verdana" w:hAnsi="Verdana" w:cs="Verdana"/>
                <w:sz w:val="16"/>
                <w:szCs w:val="16"/>
              </w:rPr>
            </w:pPr>
            <w:r w:rsidRPr="00BD6655">
              <w:rPr>
                <w:rFonts w:ascii="Verdana" w:eastAsia="Verdana" w:hAnsi="Verdana" w:cs="Verdana"/>
                <w:sz w:val="16"/>
                <w:szCs w:val="16"/>
              </w:rPr>
              <w:tab/>
              <w:t xml:space="preserve">        where </w:t>
            </w:r>
            <w:proofErr w:type="spellStart"/>
            <w:r w:rsidRPr="00BD6655">
              <w:rPr>
                <w:rFonts w:ascii="Verdana" w:eastAsia="Verdana" w:hAnsi="Verdana" w:cs="Verdana"/>
                <w:sz w:val="16"/>
                <w:szCs w:val="16"/>
              </w:rPr>
              <w:t>NoVTEProphylaxis.negationRationale</w:t>
            </w:r>
            <w:proofErr w:type="spellEnd"/>
            <w:r w:rsidRPr="00BD6655">
              <w:rPr>
                <w:rFonts w:ascii="Verdana" w:eastAsia="Verdana" w:hAnsi="Verdana" w:cs="Verdana"/>
                <w:sz w:val="16"/>
                <w:szCs w:val="16"/>
              </w:rPr>
              <w:t xml:space="preserve"> in </w:t>
            </w:r>
            <w:r w:rsidR="00D64C1E">
              <w:rPr>
                <w:rFonts w:ascii="Verdana" w:eastAsia="Verdana" w:hAnsi="Verdana" w:cs="Verdana"/>
                <w:sz w:val="16"/>
                <w:szCs w:val="16"/>
              </w:rPr>
              <w:t>"</w:t>
            </w:r>
            <w:r w:rsidRPr="00BD6655">
              <w:rPr>
                <w:rFonts w:ascii="Verdana" w:eastAsia="Verdana" w:hAnsi="Verdana" w:cs="Verdana"/>
                <w:sz w:val="16"/>
                <w:szCs w:val="16"/>
              </w:rPr>
              <w:t>Patient Refusal</w:t>
            </w:r>
            <w:r w:rsidR="00D64C1E">
              <w:rPr>
                <w:rFonts w:ascii="Verdana" w:eastAsia="Verdana" w:hAnsi="Verdana" w:cs="Verdana"/>
                <w:sz w:val="16"/>
                <w:szCs w:val="16"/>
              </w:rPr>
              <w:t>"</w:t>
            </w:r>
          </w:p>
          <w:p w14:paraId="4CA14E5D" w14:textId="68BD21FB" w:rsidR="00C95016" w:rsidRDefault="00C95016" w:rsidP="00BD6655">
            <w:pPr>
              <w:pStyle w:val="FigureHeader"/>
              <w:spacing w:before="180" w:after="0"/>
            </w:pPr>
            <w:r>
              <w:rPr>
                <w:rFonts w:ascii="Cambria Math" w:hAnsi="Cambria Math" w:cs="Cambria Math"/>
              </w:rPr>
              <w:t>◢</w:t>
            </w:r>
            <w:r>
              <w:t xml:space="preserve"> No VTE Prophylaxis Medication Administered </w:t>
            </w:r>
            <w:proofErr w:type="gramStart"/>
            <w:r w:rsidR="00BD6655">
              <w:t>O</w:t>
            </w:r>
            <w:r>
              <w:t>r</w:t>
            </w:r>
            <w:proofErr w:type="gramEnd"/>
            <w:r>
              <w:t xml:space="preserve"> Ordered</w:t>
            </w:r>
          </w:p>
          <w:p w14:paraId="102AC724" w14:textId="77777777" w:rsidR="00BD6655" w:rsidRPr="00BD6655" w:rsidRDefault="00C95016" w:rsidP="00BD6655">
            <w:pPr>
              <w:spacing w:after="0"/>
              <w:ind w:left="720" w:hanging="360"/>
              <w:rPr>
                <w:rFonts w:ascii="Verdana" w:eastAsia="Verdana" w:hAnsi="Verdana" w:cs="Verdana"/>
                <w:sz w:val="16"/>
                <w:szCs w:val="16"/>
              </w:rPr>
            </w:pPr>
            <w:r>
              <w:rPr>
                <w:rFonts w:cs="Verdana"/>
                <w:sz w:val="15"/>
                <w:szCs w:val="15"/>
              </w:rPr>
              <w:tab/>
            </w:r>
            <w:r w:rsidR="00BD6655" w:rsidRPr="00BD6655">
              <w:rPr>
                <w:rFonts w:ascii="Verdana" w:eastAsia="Verdana" w:hAnsi="Verdana" w:cs="Verdana"/>
                <w:sz w:val="16"/>
                <w:szCs w:val="16"/>
              </w:rPr>
              <w:t>["Medication, Not Administered": "Low Dose Unfractionated Heparin for VTE Prophylaxis"]</w:t>
            </w:r>
          </w:p>
          <w:p w14:paraId="54265E28" w14:textId="77777777" w:rsidR="00BD6655" w:rsidRPr="00BD6655" w:rsidRDefault="00BD6655" w:rsidP="00BD6655">
            <w:pPr>
              <w:spacing w:after="0" w:line="240" w:lineRule="auto"/>
              <w:ind w:left="1440" w:hanging="360"/>
              <w:rPr>
                <w:rFonts w:ascii="Verdana" w:eastAsia="Verdana" w:hAnsi="Verdana" w:cs="Verdana"/>
                <w:sz w:val="16"/>
                <w:szCs w:val="16"/>
              </w:rPr>
            </w:pPr>
            <w:r w:rsidRPr="00BD6655">
              <w:rPr>
                <w:rFonts w:ascii="Verdana" w:eastAsia="Verdana" w:hAnsi="Verdana" w:cs="Verdana"/>
                <w:sz w:val="16"/>
                <w:szCs w:val="16"/>
              </w:rPr>
              <w:t xml:space="preserve">    union ["Medication, Not Administered": "Low Molecular Weight Heparin for VTE Prophylaxis"]</w:t>
            </w:r>
          </w:p>
          <w:p w14:paraId="5EF71991" w14:textId="77777777" w:rsidR="00BD6655" w:rsidRPr="00BD6655" w:rsidRDefault="00BD6655" w:rsidP="00BD6655">
            <w:pPr>
              <w:spacing w:after="0" w:line="240" w:lineRule="auto"/>
              <w:ind w:left="1440" w:hanging="360"/>
              <w:rPr>
                <w:rFonts w:ascii="Verdana" w:eastAsia="Verdana" w:hAnsi="Verdana" w:cs="Verdana"/>
                <w:sz w:val="16"/>
                <w:szCs w:val="16"/>
              </w:rPr>
            </w:pPr>
            <w:r w:rsidRPr="00BD6655">
              <w:rPr>
                <w:rFonts w:ascii="Verdana" w:eastAsia="Verdana" w:hAnsi="Verdana" w:cs="Verdana"/>
                <w:sz w:val="16"/>
                <w:szCs w:val="16"/>
              </w:rPr>
              <w:t xml:space="preserve">    union ["Medication, Not Administered": "Injectable Factor Xa Inhibitor for VTE Prophylaxis"]</w:t>
            </w:r>
          </w:p>
          <w:p w14:paraId="489CC53D" w14:textId="77777777" w:rsidR="00BD6655" w:rsidRPr="00BD6655" w:rsidRDefault="00BD6655" w:rsidP="00BD6655">
            <w:pPr>
              <w:spacing w:after="0" w:line="240" w:lineRule="auto"/>
              <w:ind w:left="1440" w:hanging="360"/>
              <w:rPr>
                <w:rFonts w:ascii="Verdana" w:eastAsia="Verdana" w:hAnsi="Verdana" w:cs="Verdana"/>
                <w:sz w:val="16"/>
                <w:szCs w:val="16"/>
              </w:rPr>
            </w:pPr>
            <w:r w:rsidRPr="00BD6655">
              <w:rPr>
                <w:rFonts w:ascii="Verdana" w:eastAsia="Verdana" w:hAnsi="Verdana" w:cs="Verdana"/>
                <w:sz w:val="16"/>
                <w:szCs w:val="16"/>
              </w:rPr>
              <w:t xml:space="preserve">    union ["Medication, Not Administered": "Warfarin"]</w:t>
            </w:r>
          </w:p>
          <w:p w14:paraId="41478EC6" w14:textId="77777777" w:rsidR="00BD6655" w:rsidRPr="00BD6655" w:rsidRDefault="00BD6655" w:rsidP="00BD6655">
            <w:pPr>
              <w:spacing w:after="0" w:line="240" w:lineRule="auto"/>
              <w:ind w:left="1440" w:hanging="360"/>
              <w:rPr>
                <w:rFonts w:ascii="Verdana" w:eastAsia="Verdana" w:hAnsi="Verdana" w:cs="Verdana"/>
                <w:sz w:val="16"/>
                <w:szCs w:val="16"/>
              </w:rPr>
            </w:pPr>
            <w:r w:rsidRPr="00BD6655">
              <w:rPr>
                <w:rFonts w:ascii="Verdana" w:eastAsia="Verdana" w:hAnsi="Verdana" w:cs="Verdana"/>
                <w:sz w:val="16"/>
                <w:szCs w:val="16"/>
              </w:rPr>
              <w:t xml:space="preserve">    union ["Medication, Not Administered": "Rivaroxaban for VTE Prophylaxis"]</w:t>
            </w:r>
          </w:p>
          <w:p w14:paraId="713D250F" w14:textId="77777777" w:rsidR="00BD6655" w:rsidRPr="00BD6655" w:rsidRDefault="00BD6655" w:rsidP="00BD6655">
            <w:pPr>
              <w:spacing w:after="0" w:line="240" w:lineRule="auto"/>
              <w:ind w:left="1440" w:hanging="360"/>
              <w:rPr>
                <w:rFonts w:ascii="Verdana" w:eastAsia="Verdana" w:hAnsi="Verdana" w:cs="Verdana"/>
                <w:sz w:val="16"/>
                <w:szCs w:val="16"/>
              </w:rPr>
            </w:pPr>
            <w:r w:rsidRPr="00BD6655">
              <w:rPr>
                <w:rFonts w:ascii="Verdana" w:eastAsia="Verdana" w:hAnsi="Verdana" w:cs="Verdana"/>
                <w:sz w:val="16"/>
                <w:szCs w:val="16"/>
              </w:rPr>
              <w:t xml:space="preserve">    union ["Medication, Not Ordered": "Low Dose Unfractionated Heparin for VTE Prophylaxis"]</w:t>
            </w:r>
          </w:p>
          <w:p w14:paraId="51C39633" w14:textId="77777777" w:rsidR="00BD6655" w:rsidRPr="00BD6655" w:rsidRDefault="00BD6655" w:rsidP="00BD6655">
            <w:pPr>
              <w:spacing w:after="0" w:line="240" w:lineRule="auto"/>
              <w:ind w:left="1440" w:hanging="360"/>
              <w:rPr>
                <w:rFonts w:ascii="Verdana" w:eastAsia="Verdana" w:hAnsi="Verdana" w:cs="Verdana"/>
                <w:sz w:val="16"/>
                <w:szCs w:val="16"/>
              </w:rPr>
            </w:pPr>
            <w:r w:rsidRPr="00BD6655">
              <w:rPr>
                <w:rFonts w:ascii="Verdana" w:eastAsia="Verdana" w:hAnsi="Verdana" w:cs="Verdana"/>
                <w:sz w:val="16"/>
                <w:szCs w:val="16"/>
              </w:rPr>
              <w:t xml:space="preserve">    union ["Medication, Not Ordered": "Low Molecular Weight Heparin for VTE Prophylaxis"]</w:t>
            </w:r>
          </w:p>
          <w:p w14:paraId="57661624" w14:textId="77777777" w:rsidR="00BD6655" w:rsidRPr="00BD6655" w:rsidRDefault="00BD6655" w:rsidP="00BD6655">
            <w:pPr>
              <w:spacing w:after="0" w:line="240" w:lineRule="auto"/>
              <w:ind w:left="1440" w:hanging="360"/>
              <w:rPr>
                <w:rFonts w:ascii="Verdana" w:eastAsia="Verdana" w:hAnsi="Verdana" w:cs="Verdana"/>
                <w:sz w:val="16"/>
                <w:szCs w:val="16"/>
              </w:rPr>
            </w:pPr>
            <w:r w:rsidRPr="00BD6655">
              <w:rPr>
                <w:rFonts w:ascii="Verdana" w:eastAsia="Verdana" w:hAnsi="Verdana" w:cs="Verdana"/>
                <w:sz w:val="16"/>
                <w:szCs w:val="16"/>
              </w:rPr>
              <w:t xml:space="preserve">    union ["Medication, Not Ordered": "Injectable Factor Xa Inhibitor for VTE Prophylaxis"]</w:t>
            </w:r>
          </w:p>
          <w:p w14:paraId="026C4756" w14:textId="77777777" w:rsidR="00BD6655" w:rsidRPr="00BD6655" w:rsidRDefault="00BD6655" w:rsidP="00BD6655">
            <w:pPr>
              <w:spacing w:after="0" w:line="240" w:lineRule="auto"/>
              <w:ind w:left="1440" w:hanging="360"/>
              <w:rPr>
                <w:rFonts w:ascii="Verdana" w:eastAsia="Verdana" w:hAnsi="Verdana" w:cs="Verdana"/>
                <w:sz w:val="16"/>
                <w:szCs w:val="16"/>
              </w:rPr>
            </w:pPr>
            <w:r w:rsidRPr="00BD6655">
              <w:rPr>
                <w:rFonts w:ascii="Verdana" w:eastAsia="Verdana" w:hAnsi="Verdana" w:cs="Verdana"/>
                <w:sz w:val="16"/>
                <w:szCs w:val="16"/>
              </w:rPr>
              <w:t xml:space="preserve">    union ["Medication, Not Ordered": "Warfarin"]</w:t>
            </w:r>
          </w:p>
          <w:p w14:paraId="296042E5" w14:textId="228B5477" w:rsidR="00C95016" w:rsidRPr="00BD6655" w:rsidRDefault="00BD6655" w:rsidP="00BD6655">
            <w:pPr>
              <w:spacing w:after="0" w:line="240" w:lineRule="auto"/>
              <w:ind w:left="1440" w:hanging="360"/>
              <w:rPr>
                <w:rFonts w:ascii="Verdana" w:eastAsia="Verdana" w:hAnsi="Verdana" w:cs="Verdana"/>
                <w:sz w:val="15"/>
                <w:szCs w:val="15"/>
              </w:rPr>
            </w:pPr>
            <w:r w:rsidRPr="00BD6655">
              <w:rPr>
                <w:rFonts w:ascii="Verdana" w:eastAsia="Verdana" w:hAnsi="Verdana" w:cs="Verdana"/>
                <w:sz w:val="16"/>
                <w:szCs w:val="16"/>
              </w:rPr>
              <w:t xml:space="preserve">    union ["Medication, Not Ordered": "Rivaroxaban for VTE Prophylaxis"]</w:t>
            </w:r>
          </w:p>
        </w:tc>
      </w:tr>
    </w:tbl>
    <w:p w14:paraId="000001CA" w14:textId="764A6C51" w:rsidR="00D67C8C" w:rsidRDefault="00C80A11" w:rsidP="00C95016">
      <w:pPr>
        <w:pStyle w:val="ParagraphContinued"/>
      </w:pPr>
      <w:r>
        <w:lastRenderedPageBreak/>
        <w:t xml:space="preserve">Figure </w:t>
      </w:r>
      <w:r w:rsidR="008D6C9A">
        <w:t>3</w:t>
      </w:r>
      <w:r>
        <w:t>.</w:t>
      </w:r>
      <w:r w:rsidR="009276E1">
        <w:t>9</w:t>
      </w:r>
      <w:r>
        <w:t xml:space="preserve"> </w:t>
      </w:r>
      <w:r w:rsidR="00197089" w:rsidRPr="00197089">
        <w:t xml:space="preserve">shows how the same “not done” scenario is represented in a QRDA I file. In this example the </w:t>
      </w:r>
      <w:proofErr w:type="spellStart"/>
      <w:r w:rsidR="00197089" w:rsidRPr="00197089">
        <w:t>nullFlavor</w:t>
      </w:r>
      <w:proofErr w:type="spellEnd"/>
      <w:r w:rsidR="00197089" w:rsidRPr="00197089">
        <w:t>=</w:t>
      </w:r>
      <w:r w:rsidR="00197089">
        <w:t xml:space="preserve"> “</w:t>
      </w:r>
      <w:r w:rsidR="00197089" w:rsidRPr="00197089">
        <w:t>NA” attribute indicates that none of the actions in the referenced value set (</w:t>
      </w:r>
      <w:proofErr w:type="spellStart"/>
      <w:proofErr w:type="gramStart"/>
      <w:r w:rsidR="00197089" w:rsidRPr="00197089">
        <w:t>sdtc:valuset</w:t>
      </w:r>
      <w:proofErr w:type="spellEnd"/>
      <w:proofErr w:type="gramEnd"/>
      <w:r w:rsidR="00197089" w:rsidRPr="00197089">
        <w:t>) were performed.</w:t>
      </w:r>
      <w:r w:rsidR="005806F8">
        <w:t>.</w:t>
      </w:r>
      <w:r w:rsidR="005806F8">
        <w:rPr>
          <w:rStyle w:val="FootnoteReference"/>
        </w:rPr>
        <w:footnoteReference w:id="7"/>
      </w:r>
      <w:r w:rsidR="005806F8">
        <w:t xml:space="preserve"> </w:t>
      </w:r>
    </w:p>
    <w:p w14:paraId="000001CB" w14:textId="202A44A8" w:rsidR="00D67C8C" w:rsidRDefault="00C80A11" w:rsidP="00627252">
      <w:pPr>
        <w:pStyle w:val="FigureTitle"/>
      </w:pPr>
      <w:bookmarkStart w:id="352" w:name="_Toc159578085"/>
      <w:bookmarkStart w:id="353" w:name="_Toc195002012"/>
      <w:r w:rsidRPr="00C13F4C">
        <w:t xml:space="preserve">Figure </w:t>
      </w:r>
      <w:r w:rsidR="008D6C9A" w:rsidRPr="00C13F4C">
        <w:t>3</w:t>
      </w:r>
      <w:r w:rsidRPr="00C13F4C">
        <w:t>.</w:t>
      </w:r>
      <w:r w:rsidR="009276E1">
        <w:t>9</w:t>
      </w:r>
      <w:r w:rsidRPr="00C13F4C">
        <w:t xml:space="preserve">. Corresponding QRDA I: Example of </w:t>
      </w:r>
      <w:bookmarkEnd w:id="352"/>
      <w:bookmarkEnd w:id="353"/>
      <w:r w:rsidR="008517C1">
        <w:t>“</w:t>
      </w:r>
      <w:r w:rsidR="005806F8">
        <w:t>Not Done</w:t>
      </w:r>
      <w:r w:rsidR="008517C1">
        <w:t>”</w:t>
      </w:r>
      <w:r w:rsidR="005806F8">
        <w:t xml:space="preserve"> for QDM Element Defined with Value Set</w:t>
      </w:r>
    </w:p>
    <w:tbl>
      <w:tblPr>
        <w:tblStyle w:val="GrayCell"/>
        <w:tblW w:w="936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Look w:val="04A0" w:firstRow="1" w:lastRow="0" w:firstColumn="1" w:lastColumn="0" w:noHBand="0" w:noVBand="1"/>
      </w:tblPr>
      <w:tblGrid>
        <w:gridCol w:w="9360"/>
      </w:tblGrid>
      <w:tr w:rsidR="00C95016" w14:paraId="5D0CAC64" w14:textId="77777777">
        <w:tc>
          <w:tcPr>
            <w:tcW w:w="5000" w:type="pct"/>
            <w:shd w:val="clear" w:color="auto" w:fill="auto"/>
          </w:tcPr>
          <w:p w14:paraId="372C6D01" w14:textId="77777777" w:rsidR="005806F8" w:rsidRPr="008517C1" w:rsidRDefault="005806F8" w:rsidP="005806F8">
            <w:pPr>
              <w:spacing w:after="0" w:line="300" w:lineRule="auto"/>
              <w:rPr>
                <w:rFonts w:ascii="Courier New" w:eastAsia="Courier New" w:hAnsi="Courier New" w:cs="Courier New"/>
                <w:sz w:val="16"/>
                <w:szCs w:val="16"/>
              </w:rPr>
            </w:pPr>
            <w:proofErr w:type="gramStart"/>
            <w:r w:rsidRPr="008517C1">
              <w:rPr>
                <w:rFonts w:ascii="Courier New" w:eastAsia="Courier New" w:hAnsi="Courier New" w:cs="Courier New"/>
                <w:sz w:val="16"/>
                <w:szCs w:val="16"/>
              </w:rPr>
              <w:t>&lt;!--</w:t>
            </w:r>
            <w:proofErr w:type="gramEnd"/>
            <w:r w:rsidRPr="008517C1">
              <w:rPr>
                <w:rFonts w:ascii="Courier New" w:eastAsia="Courier New" w:hAnsi="Courier New" w:cs="Courier New"/>
                <w:sz w:val="16"/>
                <w:szCs w:val="16"/>
              </w:rPr>
              <w:t xml:space="preserve">Medication not administered, patient refusal: Drug declined by </w:t>
            </w:r>
          </w:p>
          <w:p w14:paraId="3E5E8A5E" w14:textId="77777777" w:rsidR="005806F8" w:rsidRPr="008517C1" w:rsidRDefault="005806F8" w:rsidP="005806F8">
            <w:pPr>
              <w:spacing w:after="0" w:line="300" w:lineRule="auto"/>
              <w:rPr>
                <w:rFonts w:ascii="Courier New" w:eastAsia="Courier New" w:hAnsi="Courier New" w:cs="Courier New"/>
                <w:sz w:val="16"/>
                <w:szCs w:val="16"/>
              </w:rPr>
            </w:pPr>
            <w:r w:rsidRPr="008517C1">
              <w:rPr>
                <w:rFonts w:ascii="Courier New" w:eastAsia="Courier New" w:hAnsi="Courier New" w:cs="Courier New"/>
                <w:sz w:val="16"/>
                <w:szCs w:val="16"/>
              </w:rPr>
              <w:t xml:space="preserve">patient - reason unknown. No "Low Dose Unfractionated Heparin for VTE </w:t>
            </w:r>
          </w:p>
          <w:p w14:paraId="4BEF0B2B" w14:textId="77777777" w:rsidR="005806F8" w:rsidRPr="008517C1" w:rsidRDefault="005806F8" w:rsidP="005806F8">
            <w:pPr>
              <w:spacing w:after="0" w:line="300" w:lineRule="auto"/>
              <w:rPr>
                <w:rFonts w:ascii="Courier New" w:eastAsia="Courier New" w:hAnsi="Courier New" w:cs="Courier New"/>
                <w:sz w:val="16"/>
                <w:szCs w:val="16"/>
              </w:rPr>
            </w:pPr>
            <w:r w:rsidRPr="008517C1">
              <w:rPr>
                <w:rFonts w:ascii="Courier New" w:eastAsia="Courier New" w:hAnsi="Courier New" w:cs="Courier New"/>
                <w:sz w:val="16"/>
                <w:szCs w:val="16"/>
              </w:rPr>
              <w:t xml:space="preserve">Prophylaxis" were administered --&gt; </w:t>
            </w:r>
          </w:p>
          <w:p w14:paraId="2C8C545A" w14:textId="77777777" w:rsidR="005806F8" w:rsidRPr="008517C1" w:rsidRDefault="005806F8" w:rsidP="005806F8">
            <w:pPr>
              <w:spacing w:after="0" w:line="300" w:lineRule="auto"/>
              <w:rPr>
                <w:rFonts w:ascii="Courier New" w:eastAsia="Courier New" w:hAnsi="Courier New" w:cs="Courier New"/>
                <w:sz w:val="16"/>
                <w:szCs w:val="16"/>
              </w:rPr>
            </w:pPr>
            <w:r w:rsidRPr="008517C1">
              <w:rPr>
                <w:rFonts w:ascii="Courier New" w:eastAsia="Courier New" w:hAnsi="Courier New" w:cs="Courier New"/>
                <w:sz w:val="16"/>
                <w:szCs w:val="16"/>
              </w:rPr>
              <w:t>&lt;</w:t>
            </w:r>
            <w:proofErr w:type="spellStart"/>
            <w:r w:rsidRPr="008517C1">
              <w:rPr>
                <w:rFonts w:ascii="Courier New" w:eastAsia="Courier New" w:hAnsi="Courier New" w:cs="Courier New"/>
                <w:sz w:val="16"/>
                <w:szCs w:val="16"/>
              </w:rPr>
              <w:t>substanceAdministration</w:t>
            </w:r>
            <w:proofErr w:type="spellEnd"/>
            <w:r w:rsidRPr="008517C1">
              <w:rPr>
                <w:rFonts w:ascii="Courier New" w:eastAsia="Courier New" w:hAnsi="Courier New" w:cs="Courier New"/>
                <w:sz w:val="16"/>
                <w:szCs w:val="16"/>
              </w:rPr>
              <w:t xml:space="preserve"> </w:t>
            </w:r>
            <w:proofErr w:type="spellStart"/>
            <w:r w:rsidRPr="008517C1">
              <w:rPr>
                <w:rFonts w:ascii="Courier New" w:eastAsia="Courier New" w:hAnsi="Courier New" w:cs="Courier New"/>
                <w:sz w:val="16"/>
                <w:szCs w:val="16"/>
              </w:rPr>
              <w:t>classCode</w:t>
            </w:r>
            <w:proofErr w:type="spellEnd"/>
            <w:r w:rsidRPr="008517C1">
              <w:rPr>
                <w:rFonts w:ascii="Courier New" w:eastAsia="Courier New" w:hAnsi="Courier New" w:cs="Courier New"/>
                <w:sz w:val="16"/>
                <w:szCs w:val="16"/>
              </w:rPr>
              <w:t xml:space="preserve">="SBADM" </w:t>
            </w:r>
            <w:proofErr w:type="spellStart"/>
            <w:r w:rsidRPr="008517C1">
              <w:rPr>
                <w:rFonts w:ascii="Courier New" w:eastAsia="Courier New" w:hAnsi="Courier New" w:cs="Courier New"/>
                <w:sz w:val="16"/>
                <w:szCs w:val="16"/>
              </w:rPr>
              <w:t>moodCode</w:t>
            </w:r>
            <w:proofErr w:type="spellEnd"/>
            <w:r w:rsidRPr="008517C1">
              <w:rPr>
                <w:rFonts w:ascii="Courier New" w:eastAsia="Courier New" w:hAnsi="Courier New" w:cs="Courier New"/>
                <w:sz w:val="16"/>
                <w:szCs w:val="16"/>
              </w:rPr>
              <w:t xml:space="preserve">="EVN" </w:t>
            </w:r>
          </w:p>
          <w:p w14:paraId="1E8CD178" w14:textId="77777777" w:rsidR="005806F8" w:rsidRPr="008517C1" w:rsidRDefault="005806F8" w:rsidP="005806F8">
            <w:pPr>
              <w:spacing w:after="0" w:line="300" w:lineRule="auto"/>
              <w:rPr>
                <w:rFonts w:ascii="Courier New" w:eastAsia="Courier New" w:hAnsi="Courier New" w:cs="Courier New"/>
                <w:sz w:val="16"/>
                <w:szCs w:val="16"/>
              </w:rPr>
            </w:pPr>
            <w:proofErr w:type="spellStart"/>
            <w:r w:rsidRPr="008517C1">
              <w:rPr>
                <w:rFonts w:ascii="Courier New" w:eastAsia="Courier New" w:hAnsi="Courier New" w:cs="Courier New"/>
                <w:sz w:val="16"/>
                <w:szCs w:val="16"/>
              </w:rPr>
              <w:t>negationInd</w:t>
            </w:r>
            <w:proofErr w:type="spellEnd"/>
            <w:r w:rsidRPr="008517C1">
              <w:rPr>
                <w:rFonts w:ascii="Courier New" w:eastAsia="Courier New" w:hAnsi="Courier New" w:cs="Courier New"/>
                <w:sz w:val="16"/>
                <w:szCs w:val="16"/>
              </w:rPr>
              <w:t>="true"&gt;</w:t>
            </w:r>
          </w:p>
          <w:p w14:paraId="1B4CBB18" w14:textId="77777777" w:rsidR="005806F8" w:rsidRPr="008517C1" w:rsidRDefault="005806F8" w:rsidP="005806F8">
            <w:pPr>
              <w:spacing w:after="0" w:line="300" w:lineRule="auto"/>
              <w:rPr>
                <w:rFonts w:ascii="Courier New" w:eastAsia="Courier New" w:hAnsi="Courier New" w:cs="Courier New"/>
                <w:sz w:val="16"/>
                <w:szCs w:val="16"/>
              </w:rPr>
            </w:pPr>
            <w:r w:rsidRPr="008517C1">
              <w:rPr>
                <w:rFonts w:ascii="Courier New" w:eastAsia="Courier New" w:hAnsi="Courier New" w:cs="Courier New"/>
                <w:sz w:val="16"/>
                <w:szCs w:val="16"/>
              </w:rPr>
              <w:t xml:space="preserve"> &lt;</w:t>
            </w:r>
            <w:proofErr w:type="spellStart"/>
            <w:r w:rsidRPr="008517C1">
              <w:rPr>
                <w:rFonts w:ascii="Courier New" w:eastAsia="Courier New" w:hAnsi="Courier New" w:cs="Courier New"/>
                <w:sz w:val="16"/>
                <w:szCs w:val="16"/>
              </w:rPr>
              <w:t>templateId</w:t>
            </w:r>
            <w:proofErr w:type="spellEnd"/>
            <w:r w:rsidRPr="008517C1">
              <w:rPr>
                <w:rFonts w:ascii="Courier New" w:eastAsia="Courier New" w:hAnsi="Courier New" w:cs="Courier New"/>
                <w:sz w:val="16"/>
                <w:szCs w:val="16"/>
              </w:rPr>
              <w:t xml:space="preserve"> root="2.16.840.1.113883.10.20.22.4.16" extension="2014-</w:t>
            </w:r>
          </w:p>
          <w:p w14:paraId="69B23AAB" w14:textId="77777777" w:rsidR="005806F8" w:rsidRPr="008517C1" w:rsidRDefault="005806F8" w:rsidP="005806F8">
            <w:pPr>
              <w:spacing w:after="0" w:line="300" w:lineRule="auto"/>
              <w:rPr>
                <w:rFonts w:ascii="Courier New" w:eastAsia="Courier New" w:hAnsi="Courier New" w:cs="Courier New"/>
                <w:sz w:val="16"/>
                <w:szCs w:val="16"/>
              </w:rPr>
            </w:pPr>
            <w:r w:rsidRPr="008517C1">
              <w:rPr>
                <w:rFonts w:ascii="Courier New" w:eastAsia="Courier New" w:hAnsi="Courier New" w:cs="Courier New"/>
                <w:sz w:val="16"/>
                <w:szCs w:val="16"/>
              </w:rPr>
              <w:t>06-09"/&gt;</w:t>
            </w:r>
          </w:p>
          <w:p w14:paraId="75819FBD" w14:textId="77777777" w:rsidR="005806F8" w:rsidRPr="008517C1" w:rsidRDefault="005806F8" w:rsidP="005806F8">
            <w:pPr>
              <w:spacing w:after="0" w:line="300" w:lineRule="auto"/>
              <w:rPr>
                <w:rFonts w:ascii="Courier New" w:eastAsia="Courier New" w:hAnsi="Courier New" w:cs="Courier New"/>
                <w:sz w:val="16"/>
                <w:szCs w:val="16"/>
              </w:rPr>
            </w:pPr>
            <w:r w:rsidRPr="008517C1">
              <w:rPr>
                <w:rFonts w:ascii="Courier New" w:eastAsia="Courier New" w:hAnsi="Courier New" w:cs="Courier New"/>
                <w:sz w:val="16"/>
                <w:szCs w:val="16"/>
              </w:rPr>
              <w:t xml:space="preserve"> &lt;</w:t>
            </w:r>
            <w:proofErr w:type="spellStart"/>
            <w:r w:rsidRPr="008517C1">
              <w:rPr>
                <w:rFonts w:ascii="Courier New" w:eastAsia="Courier New" w:hAnsi="Courier New" w:cs="Courier New"/>
                <w:sz w:val="16"/>
                <w:szCs w:val="16"/>
              </w:rPr>
              <w:t>templateId</w:t>
            </w:r>
            <w:proofErr w:type="spellEnd"/>
            <w:r w:rsidRPr="008517C1">
              <w:rPr>
                <w:rFonts w:ascii="Courier New" w:eastAsia="Courier New" w:hAnsi="Courier New" w:cs="Courier New"/>
                <w:sz w:val="16"/>
                <w:szCs w:val="16"/>
              </w:rPr>
              <w:t xml:space="preserve"> root="2.16.840.1.113883.10.20.24.3.42" extension="2022-</w:t>
            </w:r>
          </w:p>
          <w:p w14:paraId="08DA0BE7" w14:textId="77777777" w:rsidR="005806F8" w:rsidRPr="008517C1" w:rsidRDefault="005806F8" w:rsidP="005806F8">
            <w:pPr>
              <w:spacing w:after="0" w:line="300" w:lineRule="auto"/>
              <w:rPr>
                <w:rFonts w:ascii="Courier New" w:eastAsia="Courier New" w:hAnsi="Courier New" w:cs="Courier New"/>
                <w:sz w:val="16"/>
                <w:szCs w:val="16"/>
              </w:rPr>
            </w:pPr>
            <w:r w:rsidRPr="008517C1">
              <w:rPr>
                <w:rFonts w:ascii="Courier New" w:eastAsia="Courier New" w:hAnsi="Courier New" w:cs="Courier New"/>
                <w:sz w:val="16"/>
                <w:szCs w:val="16"/>
              </w:rPr>
              <w:t>08-01"/&gt;</w:t>
            </w:r>
          </w:p>
          <w:p w14:paraId="3007424F" w14:textId="77777777" w:rsidR="005806F8" w:rsidRPr="008517C1" w:rsidRDefault="005806F8" w:rsidP="005806F8">
            <w:pPr>
              <w:spacing w:after="0" w:line="300" w:lineRule="auto"/>
              <w:rPr>
                <w:rFonts w:ascii="Courier New" w:eastAsia="Courier New" w:hAnsi="Courier New" w:cs="Courier New"/>
                <w:sz w:val="16"/>
                <w:szCs w:val="16"/>
              </w:rPr>
            </w:pPr>
            <w:r w:rsidRPr="008517C1">
              <w:rPr>
                <w:rFonts w:ascii="Courier New" w:eastAsia="Courier New" w:hAnsi="Courier New" w:cs="Courier New"/>
                <w:sz w:val="16"/>
                <w:szCs w:val="16"/>
              </w:rPr>
              <w:t xml:space="preserve"> &lt;id root="48cb49dc-2bf7-43e9-9824-8538665158f8" /&gt;</w:t>
            </w:r>
          </w:p>
          <w:p w14:paraId="21879CAE" w14:textId="77777777" w:rsidR="005806F8" w:rsidRPr="008517C1" w:rsidRDefault="005806F8" w:rsidP="005806F8">
            <w:pPr>
              <w:spacing w:after="0" w:line="300" w:lineRule="auto"/>
              <w:rPr>
                <w:rFonts w:ascii="Courier New" w:eastAsia="Courier New" w:hAnsi="Courier New" w:cs="Courier New"/>
                <w:sz w:val="16"/>
                <w:szCs w:val="16"/>
              </w:rPr>
            </w:pPr>
            <w:r w:rsidRPr="008517C1">
              <w:rPr>
                <w:rFonts w:ascii="Courier New" w:eastAsia="Courier New" w:hAnsi="Courier New" w:cs="Courier New"/>
                <w:sz w:val="16"/>
                <w:szCs w:val="16"/>
              </w:rPr>
              <w:t xml:space="preserve"> &lt;</w:t>
            </w:r>
            <w:proofErr w:type="spellStart"/>
            <w:r w:rsidRPr="008517C1">
              <w:rPr>
                <w:rFonts w:ascii="Courier New" w:eastAsia="Courier New" w:hAnsi="Courier New" w:cs="Courier New"/>
                <w:sz w:val="16"/>
                <w:szCs w:val="16"/>
              </w:rPr>
              <w:t>statusCode</w:t>
            </w:r>
            <w:proofErr w:type="spellEnd"/>
            <w:r w:rsidRPr="008517C1">
              <w:rPr>
                <w:rFonts w:ascii="Courier New" w:eastAsia="Courier New" w:hAnsi="Courier New" w:cs="Courier New"/>
                <w:sz w:val="16"/>
                <w:szCs w:val="16"/>
              </w:rPr>
              <w:t xml:space="preserve"> code="completed"/&gt;</w:t>
            </w:r>
          </w:p>
          <w:p w14:paraId="6A9279BA" w14:textId="77777777" w:rsidR="005806F8" w:rsidRPr="008517C1" w:rsidRDefault="005806F8" w:rsidP="005806F8">
            <w:pPr>
              <w:spacing w:after="0" w:line="300" w:lineRule="auto"/>
              <w:rPr>
                <w:rFonts w:ascii="Courier New" w:eastAsia="Courier New" w:hAnsi="Courier New" w:cs="Courier New"/>
                <w:sz w:val="16"/>
                <w:szCs w:val="16"/>
              </w:rPr>
            </w:pPr>
            <w:r w:rsidRPr="008517C1">
              <w:rPr>
                <w:rFonts w:ascii="Courier New" w:eastAsia="Courier New" w:hAnsi="Courier New" w:cs="Courier New"/>
                <w:sz w:val="16"/>
                <w:szCs w:val="16"/>
              </w:rPr>
              <w:t xml:space="preserve"> ... </w:t>
            </w:r>
          </w:p>
          <w:p w14:paraId="1054CF75" w14:textId="77777777" w:rsidR="005806F8" w:rsidRPr="008517C1" w:rsidRDefault="005806F8" w:rsidP="005806F8">
            <w:pPr>
              <w:spacing w:after="0" w:line="300" w:lineRule="auto"/>
              <w:rPr>
                <w:rFonts w:ascii="Courier New" w:eastAsia="Courier New" w:hAnsi="Courier New" w:cs="Courier New"/>
                <w:sz w:val="16"/>
                <w:szCs w:val="16"/>
              </w:rPr>
            </w:pPr>
            <w:r w:rsidRPr="008517C1">
              <w:rPr>
                <w:rFonts w:ascii="Courier New" w:eastAsia="Courier New" w:hAnsi="Courier New" w:cs="Courier New"/>
                <w:sz w:val="16"/>
                <w:szCs w:val="16"/>
              </w:rPr>
              <w:t xml:space="preserve"> &lt;consumable&gt;</w:t>
            </w:r>
          </w:p>
          <w:p w14:paraId="20A76AC9" w14:textId="77777777" w:rsidR="005806F8" w:rsidRPr="008517C1" w:rsidRDefault="005806F8" w:rsidP="005806F8">
            <w:pPr>
              <w:spacing w:after="0" w:line="300" w:lineRule="auto"/>
              <w:rPr>
                <w:rFonts w:ascii="Courier New" w:eastAsia="Courier New" w:hAnsi="Courier New" w:cs="Courier New"/>
                <w:sz w:val="16"/>
                <w:szCs w:val="16"/>
              </w:rPr>
            </w:pPr>
            <w:r w:rsidRPr="008517C1">
              <w:rPr>
                <w:rFonts w:ascii="Courier New" w:eastAsia="Courier New" w:hAnsi="Courier New" w:cs="Courier New"/>
                <w:sz w:val="16"/>
                <w:szCs w:val="16"/>
              </w:rPr>
              <w:t>&lt;</w:t>
            </w:r>
            <w:proofErr w:type="spellStart"/>
            <w:r w:rsidRPr="008517C1">
              <w:rPr>
                <w:rFonts w:ascii="Courier New" w:eastAsia="Courier New" w:hAnsi="Courier New" w:cs="Courier New"/>
                <w:sz w:val="16"/>
                <w:szCs w:val="16"/>
              </w:rPr>
              <w:t>manufacturedProduct</w:t>
            </w:r>
            <w:proofErr w:type="spellEnd"/>
            <w:r w:rsidRPr="008517C1">
              <w:rPr>
                <w:rFonts w:ascii="Courier New" w:eastAsia="Courier New" w:hAnsi="Courier New" w:cs="Courier New"/>
                <w:sz w:val="16"/>
                <w:szCs w:val="16"/>
              </w:rPr>
              <w:t xml:space="preserve"> </w:t>
            </w:r>
            <w:proofErr w:type="spellStart"/>
            <w:r w:rsidRPr="008517C1">
              <w:rPr>
                <w:rFonts w:ascii="Courier New" w:eastAsia="Courier New" w:hAnsi="Courier New" w:cs="Courier New"/>
                <w:sz w:val="16"/>
                <w:szCs w:val="16"/>
              </w:rPr>
              <w:t>classCode</w:t>
            </w:r>
            <w:proofErr w:type="spellEnd"/>
            <w:r w:rsidRPr="008517C1">
              <w:rPr>
                <w:rFonts w:ascii="Courier New" w:eastAsia="Courier New" w:hAnsi="Courier New" w:cs="Courier New"/>
                <w:sz w:val="16"/>
                <w:szCs w:val="16"/>
              </w:rPr>
              <w:t xml:space="preserve">="MANU"&gt; </w:t>
            </w:r>
          </w:p>
          <w:p w14:paraId="51B86C19" w14:textId="77777777" w:rsidR="005806F8" w:rsidRPr="008517C1" w:rsidRDefault="005806F8" w:rsidP="005806F8">
            <w:pPr>
              <w:spacing w:after="0" w:line="300" w:lineRule="auto"/>
              <w:rPr>
                <w:rFonts w:ascii="Courier New" w:eastAsia="Courier New" w:hAnsi="Courier New" w:cs="Courier New"/>
                <w:sz w:val="16"/>
                <w:szCs w:val="16"/>
              </w:rPr>
            </w:pPr>
            <w:r w:rsidRPr="008517C1">
              <w:rPr>
                <w:rFonts w:ascii="Courier New" w:eastAsia="Courier New" w:hAnsi="Courier New" w:cs="Courier New"/>
                <w:sz w:val="16"/>
                <w:szCs w:val="16"/>
              </w:rPr>
              <w:t xml:space="preserve"> &lt;</w:t>
            </w:r>
            <w:proofErr w:type="spellStart"/>
            <w:r w:rsidRPr="008517C1">
              <w:rPr>
                <w:rFonts w:ascii="Courier New" w:eastAsia="Courier New" w:hAnsi="Courier New" w:cs="Courier New"/>
                <w:sz w:val="16"/>
                <w:szCs w:val="16"/>
              </w:rPr>
              <w:t>templateId</w:t>
            </w:r>
            <w:proofErr w:type="spellEnd"/>
            <w:r w:rsidRPr="008517C1">
              <w:rPr>
                <w:rFonts w:ascii="Courier New" w:eastAsia="Courier New" w:hAnsi="Courier New" w:cs="Courier New"/>
                <w:sz w:val="16"/>
                <w:szCs w:val="16"/>
              </w:rPr>
              <w:t xml:space="preserve"> root="2.16.840.1.113883.10.20.22.4.23" </w:t>
            </w:r>
          </w:p>
          <w:p w14:paraId="2B17D513" w14:textId="77777777" w:rsidR="005806F8" w:rsidRPr="008517C1" w:rsidRDefault="005806F8" w:rsidP="005806F8">
            <w:pPr>
              <w:spacing w:after="0" w:line="300" w:lineRule="auto"/>
              <w:rPr>
                <w:rFonts w:ascii="Courier New" w:eastAsia="Courier New" w:hAnsi="Courier New" w:cs="Courier New"/>
                <w:sz w:val="16"/>
                <w:szCs w:val="16"/>
              </w:rPr>
            </w:pPr>
            <w:r w:rsidRPr="008517C1">
              <w:rPr>
                <w:rFonts w:ascii="Courier New" w:eastAsia="Courier New" w:hAnsi="Courier New" w:cs="Courier New"/>
                <w:sz w:val="16"/>
                <w:szCs w:val="16"/>
              </w:rPr>
              <w:t>extension="2014-06-09"/&gt;</w:t>
            </w:r>
          </w:p>
          <w:p w14:paraId="4C55F326" w14:textId="77777777" w:rsidR="005806F8" w:rsidRPr="008517C1" w:rsidRDefault="005806F8" w:rsidP="005806F8">
            <w:pPr>
              <w:spacing w:after="0" w:line="300" w:lineRule="auto"/>
              <w:rPr>
                <w:rFonts w:ascii="Courier New" w:eastAsia="Courier New" w:hAnsi="Courier New" w:cs="Courier New"/>
                <w:sz w:val="16"/>
                <w:szCs w:val="16"/>
              </w:rPr>
            </w:pPr>
            <w:r w:rsidRPr="008517C1">
              <w:rPr>
                <w:rFonts w:ascii="Courier New" w:eastAsia="Courier New" w:hAnsi="Courier New" w:cs="Courier New"/>
                <w:sz w:val="16"/>
                <w:szCs w:val="16"/>
              </w:rPr>
              <w:t xml:space="preserve"> &lt;</w:t>
            </w:r>
            <w:proofErr w:type="spellStart"/>
            <w:r w:rsidRPr="008517C1">
              <w:rPr>
                <w:rFonts w:ascii="Courier New" w:eastAsia="Courier New" w:hAnsi="Courier New" w:cs="Courier New"/>
                <w:sz w:val="16"/>
                <w:szCs w:val="16"/>
              </w:rPr>
              <w:t>manufacturedMaterial</w:t>
            </w:r>
            <w:proofErr w:type="spellEnd"/>
            <w:r w:rsidRPr="008517C1">
              <w:rPr>
                <w:rFonts w:ascii="Courier New" w:eastAsia="Courier New" w:hAnsi="Courier New" w:cs="Courier New"/>
                <w:sz w:val="16"/>
                <w:szCs w:val="16"/>
              </w:rPr>
              <w:t>&gt;</w:t>
            </w:r>
          </w:p>
          <w:p w14:paraId="185DC9F4" w14:textId="77777777" w:rsidR="005806F8" w:rsidRPr="006E4951" w:rsidRDefault="005806F8" w:rsidP="005806F8">
            <w:pPr>
              <w:spacing w:after="0" w:line="300" w:lineRule="auto"/>
              <w:rPr>
                <w:rFonts w:ascii="Courier New" w:eastAsia="Courier New" w:hAnsi="Courier New" w:cs="Courier New"/>
                <w:sz w:val="16"/>
                <w:szCs w:val="16"/>
                <w:highlight w:val="yellow"/>
              </w:rPr>
            </w:pPr>
            <w:r w:rsidRPr="008517C1">
              <w:rPr>
                <w:rFonts w:ascii="Courier New" w:eastAsia="Courier New" w:hAnsi="Courier New" w:cs="Courier New"/>
                <w:sz w:val="16"/>
                <w:szCs w:val="16"/>
              </w:rPr>
              <w:t xml:space="preserve"> </w:t>
            </w:r>
            <w:r w:rsidRPr="006E4951">
              <w:rPr>
                <w:rFonts w:ascii="Courier New" w:eastAsia="Courier New" w:hAnsi="Courier New" w:cs="Courier New"/>
                <w:sz w:val="16"/>
                <w:szCs w:val="16"/>
                <w:highlight w:val="yellow"/>
              </w:rPr>
              <w:t xml:space="preserve">&lt;code </w:t>
            </w:r>
            <w:proofErr w:type="spellStart"/>
            <w:r w:rsidRPr="006E4951">
              <w:rPr>
                <w:rFonts w:ascii="Courier New" w:eastAsia="Courier New" w:hAnsi="Courier New" w:cs="Courier New"/>
                <w:sz w:val="16"/>
                <w:szCs w:val="16"/>
                <w:highlight w:val="yellow"/>
              </w:rPr>
              <w:t>nullFlavor</w:t>
            </w:r>
            <w:proofErr w:type="spellEnd"/>
            <w:r w:rsidRPr="006E4951">
              <w:rPr>
                <w:rFonts w:ascii="Courier New" w:eastAsia="Courier New" w:hAnsi="Courier New" w:cs="Courier New"/>
                <w:sz w:val="16"/>
                <w:szCs w:val="16"/>
                <w:highlight w:val="yellow"/>
              </w:rPr>
              <w:t xml:space="preserve">="NA" </w:t>
            </w:r>
          </w:p>
          <w:p w14:paraId="6119649D" w14:textId="77777777" w:rsidR="005806F8" w:rsidRPr="008517C1" w:rsidRDefault="005806F8" w:rsidP="005806F8">
            <w:pPr>
              <w:spacing w:after="0" w:line="300" w:lineRule="auto"/>
              <w:rPr>
                <w:rFonts w:ascii="Courier New" w:eastAsia="Courier New" w:hAnsi="Courier New" w:cs="Courier New"/>
                <w:sz w:val="16"/>
                <w:szCs w:val="16"/>
              </w:rPr>
            </w:pPr>
            <w:proofErr w:type="spellStart"/>
            <w:proofErr w:type="gramStart"/>
            <w:r w:rsidRPr="006E4951">
              <w:rPr>
                <w:rFonts w:ascii="Courier New" w:eastAsia="Courier New" w:hAnsi="Courier New" w:cs="Courier New"/>
                <w:sz w:val="16"/>
                <w:szCs w:val="16"/>
                <w:highlight w:val="yellow"/>
              </w:rPr>
              <w:t>sdtc:valueSet</w:t>
            </w:r>
            <w:proofErr w:type="spellEnd"/>
            <w:proofErr w:type="gramEnd"/>
            <w:r w:rsidRPr="006E4951">
              <w:rPr>
                <w:rFonts w:ascii="Courier New" w:eastAsia="Courier New" w:hAnsi="Courier New" w:cs="Courier New"/>
                <w:sz w:val="16"/>
                <w:szCs w:val="16"/>
                <w:highlight w:val="yellow"/>
              </w:rPr>
              <w:t>=</w:t>
            </w:r>
            <w:r w:rsidRPr="008517C1">
              <w:rPr>
                <w:rFonts w:ascii="Courier New" w:eastAsia="Courier New" w:hAnsi="Courier New" w:cs="Courier New"/>
                <w:sz w:val="16"/>
                <w:szCs w:val="16"/>
              </w:rPr>
              <w:t xml:space="preserve">"2.16.840.1.113883.3.464.1003.196.12.1001"&gt; </w:t>
            </w:r>
          </w:p>
          <w:p w14:paraId="2635C61C" w14:textId="77777777" w:rsidR="005806F8" w:rsidRPr="008517C1" w:rsidRDefault="005806F8" w:rsidP="005806F8">
            <w:pPr>
              <w:spacing w:after="0" w:line="300" w:lineRule="auto"/>
              <w:rPr>
                <w:rFonts w:ascii="Courier New" w:eastAsia="Courier New" w:hAnsi="Courier New" w:cs="Courier New"/>
                <w:sz w:val="16"/>
                <w:szCs w:val="16"/>
              </w:rPr>
            </w:pPr>
            <w:r w:rsidRPr="008517C1">
              <w:rPr>
                <w:rFonts w:ascii="Courier New" w:eastAsia="Courier New" w:hAnsi="Courier New" w:cs="Courier New"/>
                <w:sz w:val="16"/>
                <w:szCs w:val="16"/>
              </w:rPr>
              <w:t xml:space="preserve"> &lt;</w:t>
            </w:r>
            <w:proofErr w:type="spellStart"/>
            <w:r w:rsidRPr="008517C1">
              <w:rPr>
                <w:rFonts w:ascii="Courier New" w:eastAsia="Courier New" w:hAnsi="Courier New" w:cs="Courier New"/>
                <w:sz w:val="16"/>
                <w:szCs w:val="16"/>
              </w:rPr>
              <w:t>originalText</w:t>
            </w:r>
            <w:proofErr w:type="spellEnd"/>
            <w:r w:rsidRPr="008517C1">
              <w:rPr>
                <w:rFonts w:ascii="Courier New" w:eastAsia="Courier New" w:hAnsi="Courier New" w:cs="Courier New"/>
                <w:sz w:val="16"/>
                <w:szCs w:val="16"/>
              </w:rPr>
              <w:t xml:space="preserve">&gt;None of the value set: Antibiotic Medications </w:t>
            </w:r>
          </w:p>
          <w:p w14:paraId="77FDE94C" w14:textId="77777777" w:rsidR="005806F8" w:rsidRPr="008517C1" w:rsidRDefault="005806F8" w:rsidP="005806F8">
            <w:pPr>
              <w:spacing w:after="0" w:line="300" w:lineRule="auto"/>
              <w:rPr>
                <w:rFonts w:ascii="Courier New" w:eastAsia="Courier New" w:hAnsi="Courier New" w:cs="Courier New"/>
                <w:sz w:val="16"/>
                <w:szCs w:val="16"/>
              </w:rPr>
            </w:pPr>
            <w:r w:rsidRPr="008517C1">
              <w:rPr>
                <w:rFonts w:ascii="Courier New" w:eastAsia="Courier New" w:hAnsi="Courier New" w:cs="Courier New"/>
                <w:sz w:val="16"/>
                <w:szCs w:val="16"/>
              </w:rPr>
              <w:t>for Pharyngitis&lt;/</w:t>
            </w:r>
            <w:proofErr w:type="spellStart"/>
            <w:r w:rsidRPr="008517C1">
              <w:rPr>
                <w:rFonts w:ascii="Courier New" w:eastAsia="Courier New" w:hAnsi="Courier New" w:cs="Courier New"/>
                <w:sz w:val="16"/>
                <w:szCs w:val="16"/>
              </w:rPr>
              <w:t>originalText</w:t>
            </w:r>
            <w:proofErr w:type="spellEnd"/>
            <w:r w:rsidRPr="008517C1">
              <w:rPr>
                <w:rFonts w:ascii="Courier New" w:eastAsia="Courier New" w:hAnsi="Courier New" w:cs="Courier New"/>
                <w:sz w:val="16"/>
                <w:szCs w:val="16"/>
              </w:rPr>
              <w:t>&gt;</w:t>
            </w:r>
          </w:p>
          <w:p w14:paraId="62EC1399" w14:textId="77777777" w:rsidR="005806F8" w:rsidRPr="008517C1" w:rsidRDefault="005806F8" w:rsidP="005806F8">
            <w:pPr>
              <w:spacing w:after="0" w:line="300" w:lineRule="auto"/>
              <w:rPr>
                <w:rFonts w:ascii="Courier New" w:eastAsia="Courier New" w:hAnsi="Courier New" w:cs="Courier New"/>
                <w:sz w:val="16"/>
                <w:szCs w:val="16"/>
              </w:rPr>
            </w:pPr>
            <w:r w:rsidRPr="008517C1">
              <w:rPr>
                <w:rFonts w:ascii="Courier New" w:eastAsia="Courier New" w:hAnsi="Courier New" w:cs="Courier New"/>
                <w:sz w:val="16"/>
                <w:szCs w:val="16"/>
              </w:rPr>
              <w:t xml:space="preserve"> &lt;/code&gt;</w:t>
            </w:r>
          </w:p>
          <w:p w14:paraId="15B8D2B0" w14:textId="77777777" w:rsidR="005806F8" w:rsidRPr="008517C1" w:rsidRDefault="005806F8" w:rsidP="005806F8">
            <w:pPr>
              <w:spacing w:after="0" w:line="300" w:lineRule="auto"/>
              <w:rPr>
                <w:rFonts w:ascii="Courier New" w:eastAsia="Courier New" w:hAnsi="Courier New" w:cs="Courier New"/>
                <w:sz w:val="16"/>
                <w:szCs w:val="16"/>
              </w:rPr>
            </w:pPr>
            <w:r w:rsidRPr="008517C1">
              <w:rPr>
                <w:rFonts w:ascii="Courier New" w:eastAsia="Courier New" w:hAnsi="Courier New" w:cs="Courier New"/>
                <w:sz w:val="16"/>
                <w:szCs w:val="16"/>
              </w:rPr>
              <w:t xml:space="preserve"> &lt;/</w:t>
            </w:r>
            <w:proofErr w:type="spellStart"/>
            <w:r w:rsidRPr="008517C1">
              <w:rPr>
                <w:rFonts w:ascii="Courier New" w:eastAsia="Courier New" w:hAnsi="Courier New" w:cs="Courier New"/>
                <w:sz w:val="16"/>
                <w:szCs w:val="16"/>
              </w:rPr>
              <w:t>manufacturedMaterial</w:t>
            </w:r>
            <w:proofErr w:type="spellEnd"/>
            <w:r w:rsidRPr="008517C1">
              <w:rPr>
                <w:rFonts w:ascii="Courier New" w:eastAsia="Courier New" w:hAnsi="Courier New" w:cs="Courier New"/>
                <w:sz w:val="16"/>
                <w:szCs w:val="16"/>
              </w:rPr>
              <w:t>&gt;</w:t>
            </w:r>
          </w:p>
          <w:p w14:paraId="6E77784F" w14:textId="77777777" w:rsidR="005806F8" w:rsidRPr="008517C1" w:rsidRDefault="005806F8" w:rsidP="005806F8">
            <w:pPr>
              <w:spacing w:after="0" w:line="300" w:lineRule="auto"/>
              <w:rPr>
                <w:rFonts w:ascii="Courier New" w:eastAsia="Courier New" w:hAnsi="Courier New" w:cs="Courier New"/>
                <w:sz w:val="16"/>
                <w:szCs w:val="16"/>
              </w:rPr>
            </w:pPr>
            <w:r w:rsidRPr="008517C1">
              <w:rPr>
                <w:rFonts w:ascii="Courier New" w:eastAsia="Courier New" w:hAnsi="Courier New" w:cs="Courier New"/>
                <w:sz w:val="16"/>
                <w:szCs w:val="16"/>
              </w:rPr>
              <w:t>&lt;/</w:t>
            </w:r>
            <w:proofErr w:type="spellStart"/>
            <w:r w:rsidRPr="008517C1">
              <w:rPr>
                <w:rFonts w:ascii="Courier New" w:eastAsia="Courier New" w:hAnsi="Courier New" w:cs="Courier New"/>
                <w:sz w:val="16"/>
                <w:szCs w:val="16"/>
              </w:rPr>
              <w:t>manufacturedProduct</w:t>
            </w:r>
            <w:proofErr w:type="spellEnd"/>
            <w:r w:rsidRPr="008517C1">
              <w:rPr>
                <w:rFonts w:ascii="Courier New" w:eastAsia="Courier New" w:hAnsi="Courier New" w:cs="Courier New"/>
                <w:sz w:val="16"/>
                <w:szCs w:val="16"/>
              </w:rPr>
              <w:t>&gt;</w:t>
            </w:r>
          </w:p>
          <w:p w14:paraId="784F6EC0" w14:textId="77777777" w:rsidR="005806F8" w:rsidRPr="008517C1" w:rsidRDefault="005806F8" w:rsidP="005806F8">
            <w:pPr>
              <w:spacing w:after="0" w:line="300" w:lineRule="auto"/>
              <w:rPr>
                <w:rFonts w:ascii="Courier New" w:eastAsia="Courier New" w:hAnsi="Courier New" w:cs="Courier New"/>
                <w:sz w:val="16"/>
                <w:szCs w:val="16"/>
              </w:rPr>
            </w:pPr>
            <w:r w:rsidRPr="008517C1">
              <w:rPr>
                <w:rFonts w:ascii="Courier New" w:eastAsia="Courier New" w:hAnsi="Courier New" w:cs="Courier New"/>
                <w:sz w:val="16"/>
                <w:szCs w:val="16"/>
              </w:rPr>
              <w:t xml:space="preserve"> &lt;/consumable&gt;</w:t>
            </w:r>
          </w:p>
          <w:p w14:paraId="1A58A5ED" w14:textId="77777777" w:rsidR="005806F8" w:rsidRPr="008517C1" w:rsidRDefault="005806F8" w:rsidP="005806F8">
            <w:pPr>
              <w:spacing w:after="0" w:line="300" w:lineRule="auto"/>
              <w:rPr>
                <w:rFonts w:ascii="Courier New" w:eastAsia="Courier New" w:hAnsi="Courier New" w:cs="Courier New"/>
                <w:sz w:val="16"/>
                <w:szCs w:val="16"/>
              </w:rPr>
            </w:pPr>
            <w:r w:rsidRPr="008517C1">
              <w:rPr>
                <w:rFonts w:ascii="Courier New" w:eastAsia="Courier New" w:hAnsi="Courier New" w:cs="Courier New"/>
                <w:sz w:val="16"/>
                <w:szCs w:val="16"/>
              </w:rPr>
              <w:t xml:space="preserve"> &lt;</w:t>
            </w:r>
            <w:proofErr w:type="spellStart"/>
            <w:r w:rsidRPr="008517C1">
              <w:rPr>
                <w:rFonts w:ascii="Courier New" w:eastAsia="Courier New" w:hAnsi="Courier New" w:cs="Courier New"/>
                <w:sz w:val="16"/>
                <w:szCs w:val="16"/>
              </w:rPr>
              <w:t>entryRelationship</w:t>
            </w:r>
            <w:proofErr w:type="spellEnd"/>
            <w:r w:rsidRPr="008517C1">
              <w:rPr>
                <w:rFonts w:ascii="Courier New" w:eastAsia="Courier New" w:hAnsi="Courier New" w:cs="Courier New"/>
                <w:sz w:val="16"/>
                <w:szCs w:val="16"/>
              </w:rPr>
              <w:t xml:space="preserve"> </w:t>
            </w:r>
            <w:proofErr w:type="spellStart"/>
            <w:r w:rsidRPr="008517C1">
              <w:rPr>
                <w:rFonts w:ascii="Courier New" w:eastAsia="Courier New" w:hAnsi="Courier New" w:cs="Courier New"/>
                <w:sz w:val="16"/>
                <w:szCs w:val="16"/>
              </w:rPr>
              <w:t>typeCode</w:t>
            </w:r>
            <w:proofErr w:type="spellEnd"/>
            <w:r w:rsidRPr="008517C1">
              <w:rPr>
                <w:rFonts w:ascii="Courier New" w:eastAsia="Courier New" w:hAnsi="Courier New" w:cs="Courier New"/>
                <w:sz w:val="16"/>
                <w:szCs w:val="16"/>
              </w:rPr>
              <w:t xml:space="preserve">="RSON"&gt; </w:t>
            </w:r>
          </w:p>
          <w:p w14:paraId="55E23768" w14:textId="77777777" w:rsidR="005806F8" w:rsidRPr="008517C1" w:rsidRDefault="005806F8" w:rsidP="005806F8">
            <w:pPr>
              <w:spacing w:after="0" w:line="300" w:lineRule="auto"/>
              <w:rPr>
                <w:rFonts w:ascii="Courier New" w:eastAsia="Courier New" w:hAnsi="Courier New" w:cs="Courier New"/>
                <w:sz w:val="16"/>
                <w:szCs w:val="16"/>
              </w:rPr>
            </w:pPr>
            <w:r w:rsidRPr="008517C1">
              <w:rPr>
                <w:rFonts w:ascii="Courier New" w:eastAsia="Courier New" w:hAnsi="Courier New" w:cs="Courier New"/>
                <w:sz w:val="16"/>
                <w:szCs w:val="16"/>
              </w:rPr>
              <w:t xml:space="preserve"> &lt;observation </w:t>
            </w:r>
            <w:proofErr w:type="spellStart"/>
            <w:r w:rsidRPr="008517C1">
              <w:rPr>
                <w:rFonts w:ascii="Courier New" w:eastAsia="Courier New" w:hAnsi="Courier New" w:cs="Courier New"/>
                <w:sz w:val="16"/>
                <w:szCs w:val="16"/>
              </w:rPr>
              <w:t>classCode</w:t>
            </w:r>
            <w:proofErr w:type="spellEnd"/>
            <w:r w:rsidRPr="008517C1">
              <w:rPr>
                <w:rFonts w:ascii="Courier New" w:eastAsia="Courier New" w:hAnsi="Courier New" w:cs="Courier New"/>
                <w:sz w:val="16"/>
                <w:szCs w:val="16"/>
              </w:rPr>
              <w:t xml:space="preserve">="OBS" </w:t>
            </w:r>
            <w:proofErr w:type="spellStart"/>
            <w:r w:rsidRPr="008517C1">
              <w:rPr>
                <w:rFonts w:ascii="Courier New" w:eastAsia="Courier New" w:hAnsi="Courier New" w:cs="Courier New"/>
                <w:sz w:val="16"/>
                <w:szCs w:val="16"/>
              </w:rPr>
              <w:t>moodCode</w:t>
            </w:r>
            <w:proofErr w:type="spellEnd"/>
            <w:r w:rsidRPr="008517C1">
              <w:rPr>
                <w:rFonts w:ascii="Courier New" w:eastAsia="Courier New" w:hAnsi="Courier New" w:cs="Courier New"/>
                <w:sz w:val="16"/>
                <w:szCs w:val="16"/>
              </w:rPr>
              <w:t>="EVN"&gt;</w:t>
            </w:r>
          </w:p>
          <w:p w14:paraId="62748777" w14:textId="77777777" w:rsidR="005806F8" w:rsidRPr="008517C1" w:rsidRDefault="005806F8" w:rsidP="005806F8">
            <w:pPr>
              <w:spacing w:after="0" w:line="300" w:lineRule="auto"/>
              <w:rPr>
                <w:rFonts w:ascii="Courier New" w:eastAsia="Courier New" w:hAnsi="Courier New" w:cs="Courier New"/>
                <w:sz w:val="16"/>
                <w:szCs w:val="16"/>
              </w:rPr>
            </w:pPr>
            <w:r w:rsidRPr="008517C1">
              <w:rPr>
                <w:rFonts w:ascii="Courier New" w:eastAsia="Courier New" w:hAnsi="Courier New" w:cs="Courier New"/>
                <w:sz w:val="16"/>
                <w:szCs w:val="16"/>
              </w:rPr>
              <w:t xml:space="preserve"> &lt;</w:t>
            </w:r>
            <w:proofErr w:type="spellStart"/>
            <w:r w:rsidRPr="008517C1">
              <w:rPr>
                <w:rFonts w:ascii="Courier New" w:eastAsia="Courier New" w:hAnsi="Courier New" w:cs="Courier New"/>
                <w:sz w:val="16"/>
                <w:szCs w:val="16"/>
              </w:rPr>
              <w:t>templateId</w:t>
            </w:r>
            <w:proofErr w:type="spellEnd"/>
            <w:r w:rsidRPr="008517C1">
              <w:rPr>
                <w:rFonts w:ascii="Courier New" w:eastAsia="Courier New" w:hAnsi="Courier New" w:cs="Courier New"/>
                <w:sz w:val="16"/>
                <w:szCs w:val="16"/>
              </w:rPr>
              <w:t xml:space="preserve"> root="2.16.840.1.113883.10.20.24.3.88" </w:t>
            </w:r>
          </w:p>
          <w:p w14:paraId="2B7DD5A5" w14:textId="77777777" w:rsidR="005806F8" w:rsidRPr="008517C1" w:rsidRDefault="005806F8" w:rsidP="005806F8">
            <w:pPr>
              <w:spacing w:after="0" w:line="300" w:lineRule="auto"/>
              <w:rPr>
                <w:rFonts w:ascii="Courier New" w:eastAsia="Courier New" w:hAnsi="Courier New" w:cs="Courier New"/>
                <w:sz w:val="16"/>
                <w:szCs w:val="16"/>
              </w:rPr>
            </w:pPr>
            <w:r w:rsidRPr="008517C1">
              <w:rPr>
                <w:rFonts w:ascii="Courier New" w:eastAsia="Courier New" w:hAnsi="Courier New" w:cs="Courier New"/>
                <w:sz w:val="16"/>
                <w:szCs w:val="16"/>
              </w:rPr>
              <w:t xml:space="preserve"> extension="2017-08-01" /&gt;</w:t>
            </w:r>
          </w:p>
          <w:p w14:paraId="1579E69F" w14:textId="77777777" w:rsidR="005806F8" w:rsidRPr="008517C1" w:rsidRDefault="005806F8" w:rsidP="005806F8">
            <w:pPr>
              <w:spacing w:after="0" w:line="300" w:lineRule="auto"/>
              <w:rPr>
                <w:rFonts w:ascii="Courier New" w:eastAsia="Courier New" w:hAnsi="Courier New" w:cs="Courier New"/>
                <w:sz w:val="16"/>
                <w:szCs w:val="16"/>
              </w:rPr>
            </w:pPr>
            <w:r w:rsidRPr="008517C1">
              <w:rPr>
                <w:rFonts w:ascii="Courier New" w:eastAsia="Courier New" w:hAnsi="Courier New" w:cs="Courier New"/>
                <w:sz w:val="16"/>
                <w:szCs w:val="16"/>
              </w:rPr>
              <w:t xml:space="preserve"> &lt;code code="77301-0" </w:t>
            </w:r>
          </w:p>
          <w:p w14:paraId="009126C6" w14:textId="77777777" w:rsidR="005806F8" w:rsidRPr="008517C1" w:rsidRDefault="005806F8" w:rsidP="005806F8">
            <w:pPr>
              <w:spacing w:after="0" w:line="300" w:lineRule="auto"/>
              <w:rPr>
                <w:rFonts w:ascii="Courier New" w:eastAsia="Courier New" w:hAnsi="Courier New" w:cs="Courier New"/>
                <w:sz w:val="16"/>
                <w:szCs w:val="16"/>
              </w:rPr>
            </w:pPr>
            <w:r w:rsidRPr="008517C1">
              <w:rPr>
                <w:rFonts w:ascii="Courier New" w:eastAsia="Courier New" w:hAnsi="Courier New" w:cs="Courier New"/>
                <w:sz w:val="16"/>
                <w:szCs w:val="16"/>
              </w:rPr>
              <w:t xml:space="preserve"> </w:t>
            </w:r>
            <w:proofErr w:type="spellStart"/>
            <w:r w:rsidRPr="008517C1">
              <w:rPr>
                <w:rFonts w:ascii="Courier New" w:eastAsia="Courier New" w:hAnsi="Courier New" w:cs="Courier New"/>
                <w:sz w:val="16"/>
                <w:szCs w:val="16"/>
              </w:rPr>
              <w:t>codeSystem</w:t>
            </w:r>
            <w:proofErr w:type="spellEnd"/>
            <w:r w:rsidRPr="008517C1">
              <w:rPr>
                <w:rFonts w:ascii="Courier New" w:eastAsia="Courier New" w:hAnsi="Courier New" w:cs="Courier New"/>
                <w:sz w:val="16"/>
                <w:szCs w:val="16"/>
              </w:rPr>
              <w:t xml:space="preserve">="2.16.840.1.113883.6.1" </w:t>
            </w:r>
          </w:p>
          <w:p w14:paraId="5B893892" w14:textId="77777777" w:rsidR="005806F8" w:rsidRPr="008517C1" w:rsidRDefault="005806F8" w:rsidP="005806F8">
            <w:pPr>
              <w:spacing w:after="0" w:line="300" w:lineRule="auto"/>
              <w:rPr>
                <w:rFonts w:ascii="Courier New" w:eastAsia="Courier New" w:hAnsi="Courier New" w:cs="Courier New"/>
                <w:sz w:val="16"/>
                <w:szCs w:val="16"/>
              </w:rPr>
            </w:pPr>
            <w:r w:rsidRPr="008517C1">
              <w:rPr>
                <w:rFonts w:ascii="Courier New" w:eastAsia="Courier New" w:hAnsi="Courier New" w:cs="Courier New"/>
                <w:sz w:val="16"/>
                <w:szCs w:val="16"/>
              </w:rPr>
              <w:t xml:space="preserve"> </w:t>
            </w:r>
            <w:proofErr w:type="spellStart"/>
            <w:r w:rsidRPr="008517C1">
              <w:rPr>
                <w:rFonts w:ascii="Courier New" w:eastAsia="Courier New" w:hAnsi="Courier New" w:cs="Courier New"/>
                <w:sz w:val="16"/>
                <w:szCs w:val="16"/>
              </w:rPr>
              <w:t>displayName</w:t>
            </w:r>
            <w:proofErr w:type="spellEnd"/>
            <w:r w:rsidRPr="008517C1">
              <w:rPr>
                <w:rFonts w:ascii="Courier New" w:eastAsia="Courier New" w:hAnsi="Courier New" w:cs="Courier New"/>
                <w:sz w:val="16"/>
                <w:szCs w:val="16"/>
              </w:rPr>
              <w:t>="Reason care action performed or not"</w:t>
            </w:r>
          </w:p>
          <w:p w14:paraId="3A4C0D2F" w14:textId="77777777" w:rsidR="005806F8" w:rsidRPr="008517C1" w:rsidRDefault="005806F8" w:rsidP="005806F8">
            <w:pPr>
              <w:spacing w:after="0" w:line="300" w:lineRule="auto"/>
              <w:rPr>
                <w:rFonts w:ascii="Courier New" w:eastAsia="Courier New" w:hAnsi="Courier New" w:cs="Courier New"/>
                <w:sz w:val="16"/>
                <w:szCs w:val="16"/>
              </w:rPr>
            </w:pPr>
            <w:r w:rsidRPr="008517C1">
              <w:rPr>
                <w:rFonts w:ascii="Courier New" w:eastAsia="Courier New" w:hAnsi="Courier New" w:cs="Courier New"/>
                <w:sz w:val="16"/>
                <w:szCs w:val="16"/>
              </w:rPr>
              <w:t xml:space="preserve"> </w:t>
            </w:r>
            <w:proofErr w:type="spellStart"/>
            <w:r w:rsidRPr="008517C1">
              <w:rPr>
                <w:rFonts w:ascii="Courier New" w:eastAsia="Courier New" w:hAnsi="Courier New" w:cs="Courier New"/>
                <w:sz w:val="16"/>
                <w:szCs w:val="16"/>
              </w:rPr>
              <w:t>codeSystemName</w:t>
            </w:r>
            <w:proofErr w:type="spellEnd"/>
            <w:r w:rsidRPr="008517C1">
              <w:rPr>
                <w:rFonts w:ascii="Courier New" w:eastAsia="Courier New" w:hAnsi="Courier New" w:cs="Courier New"/>
                <w:sz w:val="16"/>
                <w:szCs w:val="16"/>
              </w:rPr>
              <w:t>="LOINC" /&gt;</w:t>
            </w:r>
          </w:p>
          <w:p w14:paraId="12A2A8B5" w14:textId="77777777" w:rsidR="005806F8" w:rsidRPr="008517C1" w:rsidRDefault="005806F8" w:rsidP="005806F8">
            <w:pPr>
              <w:spacing w:after="0" w:line="300" w:lineRule="auto"/>
              <w:rPr>
                <w:rFonts w:ascii="Courier New" w:eastAsia="Courier New" w:hAnsi="Courier New" w:cs="Courier New"/>
                <w:sz w:val="16"/>
                <w:szCs w:val="16"/>
              </w:rPr>
            </w:pPr>
            <w:r w:rsidRPr="008517C1">
              <w:rPr>
                <w:rFonts w:ascii="Courier New" w:eastAsia="Courier New" w:hAnsi="Courier New" w:cs="Courier New"/>
                <w:sz w:val="16"/>
                <w:szCs w:val="16"/>
              </w:rPr>
              <w:lastRenderedPageBreak/>
              <w:t xml:space="preserve"> &lt;value </w:t>
            </w:r>
            <w:proofErr w:type="spellStart"/>
            <w:proofErr w:type="gramStart"/>
            <w:r w:rsidRPr="008517C1">
              <w:rPr>
                <w:rFonts w:ascii="Courier New" w:eastAsia="Courier New" w:hAnsi="Courier New" w:cs="Courier New"/>
                <w:sz w:val="16"/>
                <w:szCs w:val="16"/>
              </w:rPr>
              <w:t>xsi:type</w:t>
            </w:r>
            <w:proofErr w:type="spellEnd"/>
            <w:proofErr w:type="gramEnd"/>
            <w:r w:rsidRPr="008517C1">
              <w:rPr>
                <w:rFonts w:ascii="Courier New" w:eastAsia="Courier New" w:hAnsi="Courier New" w:cs="Courier New"/>
                <w:sz w:val="16"/>
                <w:szCs w:val="16"/>
              </w:rPr>
              <w:t xml:space="preserve">="CD" code="182897004" </w:t>
            </w:r>
            <w:proofErr w:type="spellStart"/>
            <w:r w:rsidRPr="008517C1">
              <w:rPr>
                <w:rFonts w:ascii="Courier New" w:eastAsia="Courier New" w:hAnsi="Courier New" w:cs="Courier New"/>
                <w:sz w:val="16"/>
                <w:szCs w:val="16"/>
              </w:rPr>
              <w:t>codeSystem</w:t>
            </w:r>
            <w:proofErr w:type="spellEnd"/>
            <w:r w:rsidRPr="008517C1">
              <w:rPr>
                <w:rFonts w:ascii="Courier New" w:eastAsia="Courier New" w:hAnsi="Courier New" w:cs="Courier New"/>
                <w:sz w:val="16"/>
                <w:szCs w:val="16"/>
              </w:rPr>
              <w:t>="2.16.840.1.113883.6.96"</w:t>
            </w:r>
          </w:p>
          <w:p w14:paraId="052ED910" w14:textId="77777777" w:rsidR="005806F8" w:rsidRPr="008517C1" w:rsidRDefault="005806F8" w:rsidP="005806F8">
            <w:pPr>
              <w:spacing w:after="0" w:line="300" w:lineRule="auto"/>
              <w:rPr>
                <w:rFonts w:ascii="Courier New" w:eastAsia="Courier New" w:hAnsi="Courier New" w:cs="Courier New"/>
                <w:sz w:val="16"/>
                <w:szCs w:val="16"/>
              </w:rPr>
            </w:pPr>
            <w:r w:rsidRPr="008517C1">
              <w:rPr>
                <w:rFonts w:ascii="Courier New" w:eastAsia="Courier New" w:hAnsi="Courier New" w:cs="Courier New"/>
                <w:sz w:val="16"/>
                <w:szCs w:val="16"/>
              </w:rPr>
              <w:t xml:space="preserve"> </w:t>
            </w:r>
            <w:proofErr w:type="spellStart"/>
            <w:r w:rsidRPr="008517C1">
              <w:rPr>
                <w:rFonts w:ascii="Courier New" w:eastAsia="Courier New" w:hAnsi="Courier New" w:cs="Courier New"/>
                <w:sz w:val="16"/>
                <w:szCs w:val="16"/>
              </w:rPr>
              <w:t>displayName</w:t>
            </w:r>
            <w:proofErr w:type="spellEnd"/>
            <w:r w:rsidRPr="008517C1">
              <w:rPr>
                <w:rFonts w:ascii="Courier New" w:eastAsia="Courier New" w:hAnsi="Courier New" w:cs="Courier New"/>
                <w:sz w:val="16"/>
                <w:szCs w:val="16"/>
              </w:rPr>
              <w:t xml:space="preserve">="Drug declined by patient – side effects </w:t>
            </w:r>
          </w:p>
          <w:p w14:paraId="7149DBDA" w14:textId="77777777" w:rsidR="005806F8" w:rsidRPr="008517C1" w:rsidRDefault="005806F8" w:rsidP="005806F8">
            <w:pPr>
              <w:spacing w:after="0" w:line="300" w:lineRule="auto"/>
              <w:rPr>
                <w:rFonts w:ascii="Courier New" w:eastAsia="Courier New" w:hAnsi="Courier New" w:cs="Courier New"/>
                <w:sz w:val="16"/>
                <w:szCs w:val="16"/>
              </w:rPr>
            </w:pPr>
            <w:r w:rsidRPr="008517C1">
              <w:rPr>
                <w:rFonts w:ascii="Courier New" w:eastAsia="Courier New" w:hAnsi="Courier New" w:cs="Courier New"/>
                <w:sz w:val="16"/>
                <w:szCs w:val="16"/>
              </w:rPr>
              <w:t xml:space="preserve">(situation)" </w:t>
            </w:r>
          </w:p>
          <w:p w14:paraId="39843E5F" w14:textId="77777777" w:rsidR="005806F8" w:rsidRPr="008517C1" w:rsidRDefault="005806F8" w:rsidP="005806F8">
            <w:pPr>
              <w:spacing w:after="0" w:line="300" w:lineRule="auto"/>
              <w:rPr>
                <w:rFonts w:ascii="Courier New" w:eastAsia="Courier New" w:hAnsi="Courier New" w:cs="Courier New"/>
                <w:sz w:val="16"/>
                <w:szCs w:val="16"/>
              </w:rPr>
            </w:pPr>
            <w:r w:rsidRPr="008517C1">
              <w:rPr>
                <w:rFonts w:ascii="Courier New" w:eastAsia="Courier New" w:hAnsi="Courier New" w:cs="Courier New"/>
                <w:sz w:val="16"/>
                <w:szCs w:val="16"/>
              </w:rPr>
              <w:t xml:space="preserve"> </w:t>
            </w:r>
            <w:proofErr w:type="spellStart"/>
            <w:r w:rsidRPr="008517C1">
              <w:rPr>
                <w:rFonts w:ascii="Courier New" w:eastAsia="Courier New" w:hAnsi="Courier New" w:cs="Courier New"/>
                <w:sz w:val="16"/>
                <w:szCs w:val="16"/>
              </w:rPr>
              <w:t>codeSystemName</w:t>
            </w:r>
            <w:proofErr w:type="spellEnd"/>
            <w:r w:rsidRPr="008517C1">
              <w:rPr>
                <w:rFonts w:ascii="Courier New" w:eastAsia="Courier New" w:hAnsi="Courier New" w:cs="Courier New"/>
                <w:sz w:val="16"/>
                <w:szCs w:val="16"/>
              </w:rPr>
              <w:t>="SNOMED CT"/&gt;</w:t>
            </w:r>
          </w:p>
          <w:p w14:paraId="215985E0" w14:textId="77777777" w:rsidR="005806F8" w:rsidRPr="008517C1" w:rsidRDefault="005806F8" w:rsidP="005806F8">
            <w:pPr>
              <w:spacing w:after="0" w:line="300" w:lineRule="auto"/>
              <w:rPr>
                <w:rFonts w:ascii="Courier New" w:eastAsia="Courier New" w:hAnsi="Courier New" w:cs="Courier New"/>
                <w:sz w:val="16"/>
                <w:szCs w:val="16"/>
              </w:rPr>
            </w:pPr>
            <w:r w:rsidRPr="008517C1">
              <w:rPr>
                <w:rFonts w:ascii="Courier New" w:eastAsia="Courier New" w:hAnsi="Courier New" w:cs="Courier New"/>
                <w:sz w:val="16"/>
                <w:szCs w:val="16"/>
              </w:rPr>
              <w:t xml:space="preserve"> &lt;/observation&gt;</w:t>
            </w:r>
          </w:p>
          <w:p w14:paraId="0271A12B" w14:textId="77777777" w:rsidR="005806F8" w:rsidRPr="008517C1" w:rsidRDefault="005806F8" w:rsidP="005806F8">
            <w:pPr>
              <w:spacing w:after="0" w:line="300" w:lineRule="auto"/>
              <w:rPr>
                <w:rFonts w:ascii="Courier New" w:eastAsia="Courier New" w:hAnsi="Courier New" w:cs="Courier New"/>
                <w:sz w:val="16"/>
                <w:szCs w:val="16"/>
              </w:rPr>
            </w:pPr>
            <w:r w:rsidRPr="008517C1">
              <w:rPr>
                <w:rFonts w:ascii="Courier New" w:eastAsia="Courier New" w:hAnsi="Courier New" w:cs="Courier New"/>
                <w:sz w:val="16"/>
                <w:szCs w:val="16"/>
              </w:rPr>
              <w:t xml:space="preserve"> &lt;/</w:t>
            </w:r>
            <w:proofErr w:type="spellStart"/>
            <w:r w:rsidRPr="008517C1">
              <w:rPr>
                <w:rFonts w:ascii="Courier New" w:eastAsia="Courier New" w:hAnsi="Courier New" w:cs="Courier New"/>
                <w:sz w:val="16"/>
                <w:szCs w:val="16"/>
              </w:rPr>
              <w:t>entryRelationship</w:t>
            </w:r>
            <w:proofErr w:type="spellEnd"/>
            <w:r w:rsidRPr="008517C1">
              <w:rPr>
                <w:rFonts w:ascii="Courier New" w:eastAsia="Courier New" w:hAnsi="Courier New" w:cs="Courier New"/>
                <w:sz w:val="16"/>
                <w:szCs w:val="16"/>
              </w:rPr>
              <w:t>&gt;</w:t>
            </w:r>
          </w:p>
          <w:p w14:paraId="052AFBDB" w14:textId="2ED2AD94" w:rsidR="00C95016" w:rsidRPr="00C95016" w:rsidRDefault="005806F8" w:rsidP="008641AC">
            <w:pPr>
              <w:tabs>
                <w:tab w:val="left" w:pos="2910"/>
              </w:tabs>
              <w:spacing w:after="0" w:line="300" w:lineRule="auto"/>
              <w:rPr>
                <w:rFonts w:ascii="Courier New" w:eastAsia="Courier New" w:hAnsi="Courier New" w:cs="Courier New"/>
                <w:sz w:val="16"/>
                <w:szCs w:val="16"/>
              </w:rPr>
            </w:pPr>
            <w:r w:rsidRPr="008517C1">
              <w:rPr>
                <w:rFonts w:ascii="Courier New" w:eastAsia="Courier New" w:hAnsi="Courier New" w:cs="Courier New"/>
                <w:sz w:val="16"/>
                <w:szCs w:val="16"/>
              </w:rPr>
              <w:t>&lt;/</w:t>
            </w:r>
            <w:proofErr w:type="spellStart"/>
            <w:r w:rsidRPr="008517C1">
              <w:rPr>
                <w:rFonts w:ascii="Courier New" w:eastAsia="Courier New" w:hAnsi="Courier New" w:cs="Courier New"/>
                <w:sz w:val="16"/>
                <w:szCs w:val="16"/>
              </w:rPr>
              <w:t>substanceAdministration</w:t>
            </w:r>
            <w:proofErr w:type="spellEnd"/>
            <w:r w:rsidRPr="008517C1">
              <w:rPr>
                <w:rFonts w:ascii="Courier New" w:eastAsia="Courier New" w:hAnsi="Courier New" w:cs="Courier New"/>
                <w:sz w:val="16"/>
                <w:szCs w:val="16"/>
              </w:rPr>
              <w:t>&gt;</w:t>
            </w:r>
          </w:p>
        </w:tc>
      </w:tr>
    </w:tbl>
    <w:p w14:paraId="000001E8" w14:textId="77777777" w:rsidR="00D67C8C" w:rsidRDefault="00C80A11" w:rsidP="000544BB">
      <w:pPr>
        <w:pStyle w:val="ParagraphContinued"/>
        <w:keepNext/>
        <w:keepLines/>
      </w:pPr>
      <w:r>
        <w:lastRenderedPageBreak/>
        <w:t>Measured entities using these concepts must have a documented reason for patient exceptions in their EHRs and must demonstrate the relevant justification if audited by CMS.</w:t>
      </w:r>
    </w:p>
    <w:p w14:paraId="000001E9" w14:textId="2F8C030E" w:rsidR="00D67C8C" w:rsidRDefault="00C80A11" w:rsidP="00C95E5D">
      <w:pPr>
        <w:pStyle w:val="Paragraph"/>
      </w:pPr>
      <w:bookmarkStart w:id="354" w:name="_heading=h.3z7bk57" w:colFirst="0" w:colLast="0"/>
      <w:bookmarkStart w:id="355" w:name="_Toc446948769"/>
      <w:bookmarkStart w:id="356" w:name="_Toc23176764"/>
      <w:bookmarkStart w:id="357" w:name="_Toc56635391"/>
      <w:bookmarkStart w:id="358" w:name="_Toc64983083"/>
      <w:bookmarkEnd w:id="354"/>
      <w:r>
        <w:t>A direct reference code could also serve to specify QDM elements in measure logic rather than creating value sets. For “not done” eCQM logic specified using value sets, use the same approach described previously when the item is “not done.” To specify “not done” eCQM logic using a direct reference code, the measured entity should directly negate the direct reference code</w:t>
      </w:r>
      <w:r>
        <w:rPr>
          <w:i/>
        </w:rPr>
        <w:t xml:space="preserve"> </w:t>
      </w:r>
      <w:r>
        <w:t>itself. For calendar year 202</w:t>
      </w:r>
      <w:r w:rsidR="00415519">
        <w:t>7</w:t>
      </w:r>
      <w:r>
        <w:t xml:space="preserve"> reporting, the </w:t>
      </w:r>
      <w:r w:rsidR="00415519">
        <w:t xml:space="preserve">2027 </w:t>
      </w:r>
      <w:hyperlink r:id="rId110" w:history="1">
        <w:r w:rsidRPr="001F5872">
          <w:rPr>
            <w:rStyle w:val="Hyperlink"/>
          </w:rPr>
          <w:t>CMS QRDA</w:t>
        </w:r>
        <w:r w:rsidR="00562D34">
          <w:rPr>
            <w:rStyle w:val="Hyperlink"/>
          </w:rPr>
          <w:t xml:space="preserve"> I</w:t>
        </w:r>
        <w:r w:rsidRPr="001F5872">
          <w:rPr>
            <w:rStyle w:val="Hyperlink"/>
          </w:rPr>
          <w:t xml:space="preserve"> IG</w:t>
        </w:r>
      </w:hyperlink>
      <w:r>
        <w:t xml:space="preserve"> and the </w:t>
      </w:r>
      <w:hyperlink r:id="rId111" w:history="1">
        <w:r w:rsidRPr="001F5872">
          <w:rPr>
            <w:rStyle w:val="Hyperlink"/>
          </w:rPr>
          <w:t xml:space="preserve">HL7 QRDA </w:t>
        </w:r>
        <w:r w:rsidR="004450A1">
          <w:rPr>
            <w:rStyle w:val="Hyperlink"/>
          </w:rPr>
          <w:t>I</w:t>
        </w:r>
        <w:r w:rsidRPr="001F5872">
          <w:rPr>
            <w:rStyle w:val="Hyperlink"/>
          </w:rPr>
          <w:t xml:space="preserve"> Category 1 Standard for Trial Use (STU) 5.3 with errata</w:t>
        </w:r>
      </w:hyperlink>
      <w:r>
        <w:t xml:space="preserve"> provide additional guidance on how to use null values to describe activities that were “not done” using value sets, and how to report “not done” if using a direct reference code.</w:t>
      </w:r>
    </w:p>
    <w:p w14:paraId="000001EE" w14:textId="71F1B2A9" w:rsidR="00D67C8C" w:rsidRDefault="00C95E5D" w:rsidP="00C95E5D">
      <w:pPr>
        <w:pStyle w:val="H2-Num"/>
      </w:pPr>
      <w:bookmarkStart w:id="359" w:name="_heading=h.2eclud0" w:colFirst="0" w:colLast="0"/>
      <w:bookmarkStart w:id="360" w:name="_heading=h.thw4kt" w:colFirst="0" w:colLast="0"/>
      <w:bookmarkStart w:id="361" w:name="_heading=h.1smtxgf" w:colFirst="0" w:colLast="0"/>
      <w:bookmarkStart w:id="362" w:name="_Toc23176766"/>
      <w:bookmarkStart w:id="363" w:name="_Toc480299523"/>
      <w:bookmarkStart w:id="364" w:name="_Hlk509561867"/>
      <w:bookmarkStart w:id="365" w:name="_Toc56635393"/>
      <w:bookmarkStart w:id="366" w:name="_Toc64983085"/>
      <w:bookmarkStart w:id="367" w:name="_Toc159578396"/>
      <w:bookmarkStart w:id="368" w:name="_Toc194959019"/>
      <w:bookmarkStart w:id="369" w:name="_Toc194994766"/>
      <w:bookmarkEnd w:id="355"/>
      <w:bookmarkEnd w:id="356"/>
      <w:bookmarkEnd w:id="357"/>
      <w:bookmarkEnd w:id="358"/>
      <w:bookmarkEnd w:id="359"/>
      <w:bookmarkEnd w:id="360"/>
      <w:bookmarkEnd w:id="361"/>
      <w:r>
        <w:rPr>
          <w:rFonts w:eastAsia="Arial Narrow"/>
        </w:rPr>
        <w:t>3.11</w:t>
      </w:r>
      <w:r>
        <w:rPr>
          <w:rFonts w:eastAsia="Arial Narrow"/>
        </w:rPr>
        <w:tab/>
      </w:r>
      <w:r w:rsidR="00C80A11" w:rsidRPr="005E64B8">
        <w:rPr>
          <w:rFonts w:eastAsia="Arial Narrow"/>
        </w:rPr>
        <w:t>Entities</w:t>
      </w:r>
      <w:bookmarkEnd w:id="362"/>
      <w:bookmarkEnd w:id="363"/>
      <w:bookmarkEnd w:id="364"/>
      <w:bookmarkEnd w:id="365"/>
      <w:bookmarkEnd w:id="366"/>
      <w:bookmarkEnd w:id="367"/>
      <w:bookmarkEnd w:id="368"/>
      <w:bookmarkEnd w:id="369"/>
      <w:r w:rsidR="00C80A11" w:rsidRPr="005E64B8">
        <w:rPr>
          <w:rFonts w:eastAsia="Arial Narrow"/>
        </w:rPr>
        <w:t xml:space="preserve"> </w:t>
      </w:r>
    </w:p>
    <w:p w14:paraId="000001EF" w14:textId="77777777" w:rsidR="00D67C8C" w:rsidRDefault="00C80A11" w:rsidP="00C95E5D">
      <w:pPr>
        <w:pStyle w:val="ParagraphContinued"/>
      </w:pPr>
      <w:bookmarkStart w:id="370" w:name="_heading=h.4cmhg48" w:colFirst="0" w:colLast="0"/>
      <w:bookmarkStart w:id="371" w:name="_Toc446948773"/>
      <w:bookmarkStart w:id="372" w:name="_Toc23176767"/>
      <w:bookmarkStart w:id="373" w:name="_Toc56635394"/>
      <w:bookmarkStart w:id="374" w:name="_Toc64983086"/>
      <w:bookmarkEnd w:id="370"/>
      <w:r>
        <w:t xml:space="preserve">Entities represent concepts that can serve to specify details about the patient, a person related to the patient, a practitioner, an organization, or a location. They are not QDM datatypes or attributes. An eCQM can use these entities to provide further information required for an individual or organization to meet the </w:t>
      </w:r>
      <w:proofErr w:type="spellStart"/>
      <w:r>
        <w:t>eCQM’s</w:t>
      </w:r>
      <w:proofErr w:type="spellEnd"/>
      <w:r>
        <w:t xml:space="preserve"> criteria.</w:t>
      </w:r>
      <w:r>
        <w:rPr>
          <w:vertAlign w:val="superscript"/>
        </w:rPr>
        <w:footnoteReference w:id="8"/>
      </w:r>
      <w:r>
        <w:t xml:space="preserve"> </w:t>
      </w:r>
    </w:p>
    <w:p w14:paraId="6367786A" w14:textId="77777777" w:rsidR="00120F7F" w:rsidRPr="00007E87" w:rsidRDefault="00C80A11" w:rsidP="00C95E5D">
      <w:pPr>
        <w:pStyle w:val="ListBullet"/>
        <w:rPr>
          <w:rFonts w:cs="Times New Roman"/>
          <w:szCs w:val="24"/>
        </w:rPr>
      </w:pPr>
      <w:r w:rsidRPr="005E64B8">
        <w:t xml:space="preserve">Patient refers to an individual receiving health care services. </w:t>
      </w:r>
    </w:p>
    <w:p w14:paraId="2E127799" w14:textId="7D17697C" w:rsidR="00120F7F" w:rsidRPr="00007E87" w:rsidRDefault="00C80A11" w:rsidP="00C95E5D">
      <w:pPr>
        <w:pStyle w:val="ListBullet"/>
        <w:rPr>
          <w:rFonts w:cs="Times New Roman"/>
          <w:szCs w:val="24"/>
        </w:rPr>
      </w:pPr>
      <w:r w:rsidRPr="005E64B8">
        <w:t>Related person is someone involved in the care of a patient but not the direct target of care; this entity includes an identifier and a relationship</w:t>
      </w:r>
      <w:r w:rsidR="00030383">
        <w:rPr>
          <w:rFonts w:cs="Times New Roman"/>
          <w:szCs w:val="24"/>
        </w:rPr>
        <w:t xml:space="preserve"> (</w:t>
      </w:r>
      <w:r w:rsidRPr="005E64B8">
        <w:t>for example, mother to a newborn infant</w:t>
      </w:r>
      <w:r w:rsidR="00030383">
        <w:t>)</w:t>
      </w:r>
      <w:r w:rsidRPr="00007E87">
        <w:rPr>
          <w:rFonts w:cs="Times New Roman"/>
          <w:szCs w:val="24"/>
        </w:rPr>
        <w:t xml:space="preserve">. </w:t>
      </w:r>
    </w:p>
    <w:p w14:paraId="02FAB59B" w14:textId="77777777" w:rsidR="00120F7F" w:rsidRPr="00007E87" w:rsidRDefault="00C80A11" w:rsidP="00C95E5D">
      <w:pPr>
        <w:pStyle w:val="ListBullet"/>
        <w:rPr>
          <w:rFonts w:cs="Times New Roman"/>
          <w:szCs w:val="24"/>
        </w:rPr>
      </w:pPr>
      <w:r w:rsidRPr="005E64B8">
        <w:t xml:space="preserve">Practitioner is a person with formal responsibility to provide health care with an ability to reference an identifier, role, qualification, or specialty. </w:t>
      </w:r>
    </w:p>
    <w:p w14:paraId="320BFAA3" w14:textId="77777777" w:rsidR="00120F7F" w:rsidRPr="00007E87" w:rsidRDefault="00C80A11" w:rsidP="00C95E5D">
      <w:pPr>
        <w:pStyle w:val="ListBullet"/>
        <w:rPr>
          <w:rFonts w:cs="Times New Roman"/>
          <w:szCs w:val="24"/>
        </w:rPr>
      </w:pPr>
      <w:r w:rsidRPr="005E64B8">
        <w:t xml:space="preserve">Organization is a grouping of people or organizations with a common purpose and includes identifier and datatype attributes. </w:t>
      </w:r>
    </w:p>
    <w:p w14:paraId="56848C54" w14:textId="77777777" w:rsidR="00120F7F" w:rsidRPr="00007E87" w:rsidRDefault="00C80A11" w:rsidP="00C95E5D">
      <w:pPr>
        <w:pStyle w:val="ListBullet"/>
        <w:rPr>
          <w:rFonts w:cs="Times New Roman"/>
          <w:szCs w:val="24"/>
        </w:rPr>
      </w:pPr>
      <w:r w:rsidRPr="005E64B8">
        <w:t xml:space="preserve">Location is information about a physical place and includes identifier and </w:t>
      </w:r>
      <w:proofErr w:type="spellStart"/>
      <w:r w:rsidRPr="005E64B8">
        <w:rPr>
          <w:i/>
        </w:rPr>
        <w:t>locationType</w:t>
      </w:r>
      <w:proofErr w:type="spellEnd"/>
      <w:r w:rsidRPr="005E64B8">
        <w:t xml:space="preserve"> attributes. </w:t>
      </w:r>
    </w:p>
    <w:p w14:paraId="000001F0" w14:textId="31619239" w:rsidR="00D67C8C" w:rsidRPr="007474C8" w:rsidRDefault="00C80A11" w:rsidP="00C95E5D">
      <w:pPr>
        <w:pStyle w:val="ParagraphContinued"/>
      </w:pPr>
      <w:r w:rsidRPr="005E64B8">
        <w:t xml:space="preserve">Full definitions of the five entities and their attributes as well as technical details are available in </w:t>
      </w:r>
      <w:hyperlink r:id="rId112">
        <w:r w:rsidRPr="005E64B8">
          <w:rPr>
            <w:color w:val="0563C1"/>
            <w:u w:val="single"/>
          </w:rPr>
          <w:t>QDM v5.6</w:t>
        </w:r>
      </w:hyperlink>
      <w:r w:rsidRPr="005E64B8">
        <w:t>. Information on which versions to use in each reporting</w:t>
      </w:r>
      <w:r w:rsidR="00562D34">
        <w:t>/</w:t>
      </w:r>
      <w:r w:rsidRPr="005E64B8">
        <w:t xml:space="preserve">performance period are available at the </w:t>
      </w:r>
      <w:hyperlink r:id="rId113">
        <w:r w:rsidRPr="005E64B8">
          <w:rPr>
            <w:color w:val="0563C1"/>
            <w:u w:val="single"/>
          </w:rPr>
          <w:t>eCQI Resource Center eCQM Standards and Tools Versions.</w:t>
        </w:r>
      </w:hyperlink>
      <w:r w:rsidRPr="005E64B8">
        <w:rPr>
          <w:color w:val="0563C1"/>
          <w:u w:val="single"/>
        </w:rPr>
        <w:t xml:space="preserve"> </w:t>
      </w:r>
    </w:p>
    <w:p w14:paraId="000001F1" w14:textId="4C29EBC5" w:rsidR="00D67C8C" w:rsidRDefault="00C95E5D" w:rsidP="00C95E5D">
      <w:pPr>
        <w:pStyle w:val="H2-Num"/>
      </w:pPr>
      <w:bookmarkStart w:id="375" w:name="_heading=h.2rrrqc1" w:colFirst="0" w:colLast="0"/>
      <w:bookmarkStart w:id="376" w:name="_Toc159578397"/>
      <w:bookmarkStart w:id="377" w:name="_Toc194959020"/>
      <w:bookmarkStart w:id="378" w:name="_Toc194994767"/>
      <w:bookmarkStart w:id="379" w:name="_Hlk157962925"/>
      <w:bookmarkEnd w:id="375"/>
      <w:r>
        <w:rPr>
          <w:rFonts w:eastAsia="Arial Narrow"/>
        </w:rPr>
        <w:t>3.12</w:t>
      </w:r>
      <w:r>
        <w:rPr>
          <w:rFonts w:eastAsia="Arial Narrow"/>
        </w:rPr>
        <w:tab/>
      </w:r>
      <w:r w:rsidR="00C80A11" w:rsidRPr="005E64B8">
        <w:rPr>
          <w:rFonts w:eastAsia="Arial Narrow"/>
        </w:rPr>
        <w:t xml:space="preserve">Supplemental Value </w:t>
      </w:r>
      <w:bookmarkEnd w:id="371"/>
      <w:bookmarkEnd w:id="372"/>
      <w:bookmarkEnd w:id="373"/>
      <w:bookmarkEnd w:id="374"/>
      <w:r w:rsidR="00C80A11" w:rsidRPr="005E64B8">
        <w:rPr>
          <w:rFonts w:eastAsia="Arial Narrow"/>
        </w:rPr>
        <w:t>Sets</w:t>
      </w:r>
      <w:bookmarkEnd w:id="376"/>
      <w:bookmarkEnd w:id="377"/>
      <w:bookmarkEnd w:id="378"/>
      <w:r w:rsidR="00C80A11" w:rsidRPr="005E64B8">
        <w:rPr>
          <w:rFonts w:eastAsia="Arial Narrow"/>
        </w:rPr>
        <w:t xml:space="preserve"> </w:t>
      </w:r>
    </w:p>
    <w:p w14:paraId="000001F2" w14:textId="0DCA32CF" w:rsidR="00D67C8C" w:rsidRDefault="00C80A11" w:rsidP="00C95E5D">
      <w:pPr>
        <w:pStyle w:val="ParagraphContinued"/>
      </w:pPr>
      <w:bookmarkStart w:id="380" w:name="_heading=h.16x20ju" w:colFirst="0" w:colLast="0"/>
      <w:bookmarkStart w:id="381" w:name="_Toc23176768"/>
      <w:bookmarkStart w:id="382" w:name="_Toc56635395"/>
      <w:bookmarkStart w:id="383" w:name="_Toc64983087"/>
      <w:bookmarkEnd w:id="380"/>
      <w:r>
        <w:t>Supplemental value sets are used in eCQMs to capture categories such as race, ethnicity,</w:t>
      </w:r>
      <w:r w:rsidR="00581563">
        <w:t xml:space="preserve"> </w:t>
      </w:r>
      <w:r>
        <w:t xml:space="preserve">sex, and payer that are not essential to the functioning of the measure. </w:t>
      </w:r>
    </w:p>
    <w:p w14:paraId="000001F3" w14:textId="79540B43" w:rsidR="00D67C8C" w:rsidRDefault="00C95E5D" w:rsidP="000544BB">
      <w:pPr>
        <w:pStyle w:val="H3-Num"/>
      </w:pPr>
      <w:bookmarkStart w:id="384" w:name="_heading=h.3qwpj7n" w:colFirst="0" w:colLast="0"/>
      <w:bookmarkStart w:id="385" w:name="_Toc159480017"/>
      <w:bookmarkStart w:id="386" w:name="_Toc159578398"/>
      <w:bookmarkStart w:id="387" w:name="_Toc194994768"/>
      <w:bookmarkEnd w:id="384"/>
      <w:r>
        <w:lastRenderedPageBreak/>
        <w:t>3.12.1</w:t>
      </w:r>
      <w:r>
        <w:tab/>
      </w:r>
      <w:r w:rsidR="00C80A11" w:rsidRPr="005E64B8">
        <w:t xml:space="preserve">Race and </w:t>
      </w:r>
      <w:bookmarkEnd w:id="381"/>
      <w:bookmarkEnd w:id="382"/>
      <w:bookmarkEnd w:id="383"/>
      <w:r w:rsidR="00C80A11" w:rsidRPr="005E64B8">
        <w:t>Ethnicity</w:t>
      </w:r>
      <w:bookmarkEnd w:id="385"/>
      <w:bookmarkEnd w:id="386"/>
      <w:bookmarkEnd w:id="387"/>
    </w:p>
    <w:p w14:paraId="000001F4" w14:textId="669B27E9" w:rsidR="00D67C8C" w:rsidRDefault="00C80A11" w:rsidP="000544BB">
      <w:pPr>
        <w:pStyle w:val="ParagraphContinued"/>
        <w:keepNext/>
        <w:keepLines/>
        <w:rPr>
          <w:b/>
        </w:rPr>
      </w:pPr>
      <w:r>
        <w:t>The eCQM specifications limit the reporting of patient race to the Centers for Disease Control and Prevention’s (CDC</w:t>
      </w:r>
      <w:r w:rsidR="00030383">
        <w:t>’s</w:t>
      </w:r>
      <w:r>
        <w:t xml:space="preserve">) value set “Race” </w:t>
      </w:r>
      <w:bookmarkStart w:id="388" w:name="bookmark=id.261ztfg" w:colFirst="0" w:colLast="0"/>
      <w:bookmarkStart w:id="389" w:name="bookmark=id.l7a3n9" w:colFirst="0" w:colLast="0"/>
      <w:bookmarkStart w:id="390" w:name="OLE_LINK246"/>
      <w:bookmarkStart w:id="391" w:name="OLE_LINK247"/>
      <w:bookmarkEnd w:id="388"/>
      <w:bookmarkEnd w:id="389"/>
      <w:r>
        <w:t>(OID: 2.16.840.1.114222.4.11.836</w:t>
      </w:r>
      <w:bookmarkEnd w:id="390"/>
      <w:bookmarkEnd w:id="391"/>
      <w:r>
        <w:t>):</w:t>
      </w:r>
    </w:p>
    <w:p w14:paraId="000001F5" w14:textId="77777777" w:rsidR="00D67C8C" w:rsidRPr="00C95E5D" w:rsidRDefault="00C80A11" w:rsidP="000544BB">
      <w:pPr>
        <w:pStyle w:val="Paragraph"/>
        <w:keepNext/>
        <w:keepLines/>
        <w:ind w:left="720"/>
        <w:rPr>
          <w:b/>
          <w:bCs/>
        </w:rPr>
      </w:pPr>
      <w:r w:rsidRPr="00C95E5D">
        <w:rPr>
          <w:b/>
          <w:bCs/>
        </w:rPr>
        <w:t>Code Description</w:t>
      </w:r>
    </w:p>
    <w:p w14:paraId="000001F6" w14:textId="77777777" w:rsidR="00D67C8C" w:rsidRDefault="00C80A11" w:rsidP="000544BB">
      <w:pPr>
        <w:pStyle w:val="Paragraph"/>
        <w:keepNext/>
        <w:keepLines/>
        <w:ind w:left="720"/>
      </w:pPr>
      <w:r>
        <w:t>1002-5 American Indian or Alaska Native</w:t>
      </w:r>
    </w:p>
    <w:p w14:paraId="000001F7" w14:textId="77777777" w:rsidR="00D67C8C" w:rsidRDefault="00C80A11" w:rsidP="00C95E5D">
      <w:pPr>
        <w:pStyle w:val="Paragraph"/>
        <w:ind w:left="720"/>
      </w:pPr>
      <w:r>
        <w:t>2028-9 Asian</w:t>
      </w:r>
    </w:p>
    <w:p w14:paraId="000001F8" w14:textId="77777777" w:rsidR="00D67C8C" w:rsidRDefault="00C80A11" w:rsidP="00C95E5D">
      <w:pPr>
        <w:pStyle w:val="Paragraph"/>
        <w:ind w:left="720"/>
      </w:pPr>
      <w:r>
        <w:t>2054-5 Black or African American</w:t>
      </w:r>
    </w:p>
    <w:p w14:paraId="000001F9" w14:textId="77777777" w:rsidR="00D67C8C" w:rsidRDefault="00C80A11" w:rsidP="00C95E5D">
      <w:pPr>
        <w:pStyle w:val="Paragraph"/>
        <w:ind w:left="720"/>
      </w:pPr>
      <w:r>
        <w:t>2076-8 Native Hawaiian or Other Pacific Islander</w:t>
      </w:r>
    </w:p>
    <w:p w14:paraId="000001FA" w14:textId="77777777" w:rsidR="00D67C8C" w:rsidRDefault="00C80A11" w:rsidP="00C95E5D">
      <w:pPr>
        <w:pStyle w:val="Paragraph"/>
        <w:ind w:left="720"/>
      </w:pPr>
      <w:r>
        <w:t>2106-3 White</w:t>
      </w:r>
    </w:p>
    <w:p w14:paraId="000001FB" w14:textId="77777777" w:rsidR="00D67C8C" w:rsidRDefault="00C80A11" w:rsidP="00C95E5D">
      <w:pPr>
        <w:pStyle w:val="Paragraph"/>
        <w:ind w:left="720"/>
        <w:rPr>
          <w:strike/>
        </w:rPr>
      </w:pPr>
      <w:r>
        <w:t>2131-1</w:t>
      </w:r>
      <w:r>
        <w:rPr>
          <w:i/>
        </w:rPr>
        <w:t xml:space="preserve"> </w:t>
      </w:r>
      <w:r>
        <w:t>Other Race</w:t>
      </w:r>
    </w:p>
    <w:p w14:paraId="000001FC" w14:textId="6FBEFB8C" w:rsidR="00D67C8C" w:rsidRDefault="00C80A11" w:rsidP="00C95E5D">
      <w:pPr>
        <w:pStyle w:val="ParagraphContinued"/>
      </w:pPr>
      <w:r>
        <w:t xml:space="preserve">To report an individual patient with a single race category in QRDA Category I, measured entities </w:t>
      </w:r>
      <w:r w:rsidR="0051074F">
        <w:t>report</w:t>
      </w:r>
      <w:r>
        <w:t xml:space="preserve"> one of the five U.S. Office of Management and Budget race category codes </w:t>
      </w:r>
      <w:r w:rsidR="002E2CCA">
        <w:br/>
      </w:r>
      <w:r>
        <w:t xml:space="preserve">(1002-5, 2028-9, 2054-5, 2076-8, and 2106-3) in </w:t>
      </w:r>
      <w:proofErr w:type="spellStart"/>
      <w:r>
        <w:t>raceCode</w:t>
      </w:r>
      <w:proofErr w:type="spellEnd"/>
      <w:r>
        <w:t xml:space="preserve">. To report an individual patient with more than one race category, the measured entity reports one race in </w:t>
      </w:r>
      <w:proofErr w:type="spellStart"/>
      <w:r>
        <w:t>raceCode</w:t>
      </w:r>
      <w:proofErr w:type="spellEnd"/>
      <w:r>
        <w:t xml:space="preserve"> and additional races using </w:t>
      </w:r>
      <w:proofErr w:type="spellStart"/>
      <w:proofErr w:type="gramStart"/>
      <w:r>
        <w:t>sdtc:raceCode</w:t>
      </w:r>
      <w:proofErr w:type="spellEnd"/>
      <w:proofErr w:type="gramEnd"/>
      <w:r>
        <w:t xml:space="preserve">. In accordance with the standard, all the race codes placed here are equivalent in priority. Users should not use QRDA Category I, </w:t>
      </w:r>
      <w:r>
        <w:rPr>
          <w:i/>
        </w:rPr>
        <w:t>Other Race</w:t>
      </w:r>
      <w:r>
        <w:t xml:space="preserve"> 2131-1, because null values are not appropriate to represent missing patient race information, as</w:t>
      </w:r>
      <w:r w:rsidR="00581563">
        <w:t xml:space="preserve"> </w:t>
      </w:r>
      <w:r>
        <w:t>described below</w:t>
      </w:r>
      <w:r w:rsidR="00581563">
        <w:t>.</w:t>
      </w:r>
    </w:p>
    <w:p w14:paraId="000001FD" w14:textId="77777777" w:rsidR="00D67C8C" w:rsidRDefault="00C80A11" w:rsidP="00C95E5D">
      <w:pPr>
        <w:pStyle w:val="Paragraph"/>
      </w:pPr>
      <w:r>
        <w:t xml:space="preserve">For QRDA Category III files, users should identify a patient with multiple races using </w:t>
      </w:r>
      <w:proofErr w:type="spellStart"/>
      <w:r>
        <w:t>raceCode</w:t>
      </w:r>
      <w:proofErr w:type="spellEnd"/>
      <w:r>
        <w:t xml:space="preserve"> category 2131-1 </w:t>
      </w:r>
      <w:r>
        <w:rPr>
          <w:i/>
        </w:rPr>
        <w:t>Other Race</w:t>
      </w:r>
      <w:r>
        <w:t>. This enables measured entities to report patients with multiple races in an aggregate document without creating multiple entries for a single patient with multiple races. Only</w:t>
      </w:r>
      <w:r>
        <w:rPr>
          <w:b/>
        </w:rPr>
        <w:t xml:space="preserve"> </w:t>
      </w:r>
      <w:r>
        <w:t xml:space="preserve">QRDA Category III files should use the </w:t>
      </w:r>
      <w:proofErr w:type="spellStart"/>
      <w:r>
        <w:t>raceCode</w:t>
      </w:r>
      <w:proofErr w:type="spellEnd"/>
      <w:r>
        <w:t xml:space="preserve"> 2131-1 </w:t>
      </w:r>
      <w:r>
        <w:rPr>
          <w:i/>
        </w:rPr>
        <w:t>Other Race</w:t>
      </w:r>
      <w:r>
        <w:t xml:space="preserve"> to express a </w:t>
      </w:r>
      <w:proofErr w:type="spellStart"/>
      <w:r>
        <w:t>raceCode</w:t>
      </w:r>
      <w:proofErr w:type="spellEnd"/>
      <w:r>
        <w:t xml:space="preserve"> category.</w:t>
      </w:r>
    </w:p>
    <w:p w14:paraId="000001FE" w14:textId="77777777" w:rsidR="00D67C8C" w:rsidRDefault="00C80A11" w:rsidP="00C95E5D">
      <w:pPr>
        <w:pStyle w:val="Paragraph"/>
      </w:pPr>
      <w:r>
        <w:t>Similarly, the specifications limit the reporting of ethnicity to the CDC value set “Ethnicity” (OID: 2.16.840.1.114222.4.11.837):</w:t>
      </w:r>
    </w:p>
    <w:p w14:paraId="000001FF" w14:textId="60812F95" w:rsidR="00D67C8C" w:rsidRPr="00C95E5D" w:rsidRDefault="00C80A11" w:rsidP="00C95E5D">
      <w:pPr>
        <w:pStyle w:val="Paragraph"/>
        <w:ind w:left="720"/>
        <w:rPr>
          <w:b/>
          <w:bCs/>
        </w:rPr>
      </w:pPr>
      <w:r w:rsidRPr="00C95E5D">
        <w:rPr>
          <w:b/>
          <w:bCs/>
        </w:rPr>
        <w:t>Code Description</w:t>
      </w:r>
    </w:p>
    <w:p w14:paraId="00000200" w14:textId="77777777" w:rsidR="00D67C8C" w:rsidRDefault="00C80A11" w:rsidP="00C95E5D">
      <w:pPr>
        <w:pStyle w:val="Paragraph"/>
        <w:ind w:left="720"/>
        <w:rPr>
          <w:color w:val="222222"/>
          <w:shd w:val="clear" w:color="auto" w:fill="FCFDFD"/>
        </w:rPr>
      </w:pPr>
      <w:r>
        <w:rPr>
          <w:color w:val="222222"/>
          <w:shd w:val="clear" w:color="auto" w:fill="FCFDFD"/>
        </w:rPr>
        <w:t>2135-2 Hispanic or Latino</w:t>
      </w:r>
    </w:p>
    <w:p w14:paraId="00000201" w14:textId="77777777" w:rsidR="00D67C8C" w:rsidRDefault="00C80A11" w:rsidP="00C95E5D">
      <w:pPr>
        <w:pStyle w:val="Paragraph"/>
        <w:ind w:left="720"/>
        <w:rPr>
          <w:color w:val="222222"/>
          <w:shd w:val="clear" w:color="auto" w:fill="FCFDFD"/>
        </w:rPr>
      </w:pPr>
      <w:r>
        <w:rPr>
          <w:color w:val="222222"/>
          <w:shd w:val="clear" w:color="auto" w:fill="FCFDFD"/>
        </w:rPr>
        <w:t>2186-5 Not Hispanic or Latino</w:t>
      </w:r>
    </w:p>
    <w:p w14:paraId="0EE8E526" w14:textId="22A91BD9" w:rsidR="005E0E0F" w:rsidRPr="008237E4" w:rsidRDefault="005E0E0F" w:rsidP="00CA152C">
      <w:pPr>
        <w:pStyle w:val="ParagraphContinued"/>
        <w:rPr>
          <w:color w:val="0563C1"/>
          <w:u w:val="single"/>
        </w:rPr>
      </w:pPr>
      <w:bookmarkStart w:id="392" w:name="_Hlk184979796"/>
      <w:r>
        <w:t xml:space="preserve">The </w:t>
      </w:r>
      <w:hyperlink r:id="rId114" w:history="1">
        <w:r w:rsidRPr="008237E4">
          <w:rPr>
            <w:rStyle w:val="Hyperlink"/>
          </w:rPr>
          <w:t xml:space="preserve">2024 Health Data, Technology, and Interoperability: Certification Program Updates, Algorithm Transparency, and Information Sharing </w:t>
        </w:r>
        <w:r w:rsidR="00BE3E02">
          <w:rPr>
            <w:rStyle w:val="Hyperlink"/>
          </w:rPr>
          <w:t xml:space="preserve">(HTI-1) </w:t>
        </w:r>
        <w:r w:rsidRPr="008237E4">
          <w:rPr>
            <w:rStyle w:val="Hyperlink"/>
          </w:rPr>
          <w:t>rule</w:t>
        </w:r>
      </w:hyperlink>
      <w:r>
        <w:t xml:space="preserve"> requires </w:t>
      </w:r>
      <w:r w:rsidR="00E75FFA" w:rsidRPr="00E75FFA">
        <w:t xml:space="preserve">health </w:t>
      </w:r>
      <w:r w:rsidR="00ED06F8">
        <w:t>IT</w:t>
      </w:r>
      <w:r w:rsidR="00E75FFA" w:rsidRPr="00E75FFA">
        <w:t xml:space="preserve"> developers certified under the Health </w:t>
      </w:r>
      <w:r w:rsidR="00ED06F8">
        <w:t>IT</w:t>
      </w:r>
      <w:r w:rsidR="00E75FFA" w:rsidRPr="00E75FFA">
        <w:t xml:space="preserve"> Certification Program</w:t>
      </w:r>
      <w:r w:rsidR="00F62C44">
        <w:t xml:space="preserve"> to the “patient demographics and observations” certification criterion</w:t>
      </w:r>
      <w:r>
        <w:t xml:space="preserve"> to</w:t>
      </w:r>
      <w:r w:rsidR="002E2CCA">
        <w:t xml:space="preserve"> do the following</w:t>
      </w:r>
      <w:r>
        <w:t>:</w:t>
      </w:r>
    </w:p>
    <w:p w14:paraId="17ABAC03" w14:textId="064063C3" w:rsidR="005E0E0F" w:rsidRPr="00CA152C" w:rsidRDefault="005E0E0F" w:rsidP="00CA152C">
      <w:pPr>
        <w:pStyle w:val="Paragraph"/>
        <w:rPr>
          <w:i/>
          <w:iCs/>
        </w:rPr>
      </w:pPr>
      <w:r w:rsidRPr="005E64B8">
        <w:t xml:space="preserve">§170.315 (a)(5) </w:t>
      </w:r>
      <w:r w:rsidR="00ED06F8" w:rsidRPr="00CA152C">
        <w:rPr>
          <w:i/>
          <w:iCs/>
        </w:rPr>
        <w:t>Patient d</w:t>
      </w:r>
      <w:r w:rsidRPr="00CA152C">
        <w:rPr>
          <w:i/>
          <w:iCs/>
        </w:rPr>
        <w:t>emographics</w:t>
      </w:r>
      <w:r w:rsidR="00ED06F8" w:rsidRPr="00CA152C">
        <w:rPr>
          <w:i/>
          <w:iCs/>
        </w:rPr>
        <w:t xml:space="preserve"> and observations</w:t>
      </w:r>
    </w:p>
    <w:p w14:paraId="2FF2B453" w14:textId="2A157383" w:rsidR="005E0E0F" w:rsidRPr="005E64B8" w:rsidRDefault="00274A61" w:rsidP="00CA152C">
      <w:pPr>
        <w:pStyle w:val="Paragraph"/>
        <w:ind w:left="1440"/>
      </w:pPr>
      <w:r w:rsidRPr="00274A61">
        <w:t>Enable a user to record, change, and access patient demographic and observations data including race, ethnicity, preferred language, sex…name to use…and date of birth</w:t>
      </w:r>
      <w:r w:rsidR="005E0E0F" w:rsidRPr="005E64B8">
        <w:t>.</w:t>
      </w:r>
    </w:p>
    <w:p w14:paraId="0CFCA7B3" w14:textId="5208A35A" w:rsidR="005E0E0F" w:rsidRPr="005E64B8" w:rsidRDefault="00ED06F8" w:rsidP="00CA152C">
      <w:pPr>
        <w:pStyle w:val="Paragraph"/>
        <w:ind w:left="1440"/>
      </w:pPr>
      <w:r w:rsidRPr="005E64B8">
        <w:t>§170.315 (a)(5)</w:t>
      </w:r>
      <w:r>
        <w:t xml:space="preserve">(A) </w:t>
      </w:r>
      <w:r w:rsidR="005E0E0F" w:rsidRPr="005E64B8">
        <w:rPr>
          <w:i/>
        </w:rPr>
        <w:t>Race and ethnicity</w:t>
      </w:r>
    </w:p>
    <w:p w14:paraId="53BA45CF" w14:textId="25E35B11" w:rsidR="005E0E0F" w:rsidRPr="005E64B8" w:rsidRDefault="00A80169" w:rsidP="00CA152C">
      <w:pPr>
        <w:pStyle w:val="Paragraph"/>
        <w:ind w:left="1800"/>
      </w:pPr>
      <w:r>
        <w:lastRenderedPageBreak/>
        <w:t>(</w:t>
      </w:r>
      <w:r w:rsidRPr="00A80169">
        <w:rPr>
          <w:i/>
          <w:iCs/>
        </w:rPr>
        <w:t>1</w:t>
      </w:r>
      <w:r>
        <w:t xml:space="preserve">) </w:t>
      </w:r>
      <w:r w:rsidR="005E0E0F" w:rsidRPr="005E64B8">
        <w:t>Enable each one of a patient’s races to be recorded in accordance with, at a minimum, the standard specified in §170.207(f)(</w:t>
      </w:r>
      <w:r w:rsidR="005E0E0F">
        <w:t>3</w:t>
      </w:r>
      <w:r w:rsidR="005E0E0F" w:rsidRPr="005E64B8">
        <w:t>) and whether a patient declines to specify race.</w:t>
      </w:r>
    </w:p>
    <w:p w14:paraId="5F45AC1E" w14:textId="5DD78964" w:rsidR="005E0E0F" w:rsidRPr="005E64B8" w:rsidRDefault="00A80169" w:rsidP="00CA152C">
      <w:pPr>
        <w:pStyle w:val="Paragraph"/>
        <w:ind w:left="1800"/>
      </w:pPr>
      <w:r>
        <w:t>(</w:t>
      </w:r>
      <w:r w:rsidRPr="00A80169">
        <w:rPr>
          <w:i/>
          <w:iCs/>
        </w:rPr>
        <w:t>2</w:t>
      </w:r>
      <w:r>
        <w:t xml:space="preserve">) </w:t>
      </w:r>
      <w:r w:rsidR="005E0E0F" w:rsidRPr="005E64B8">
        <w:t>Enable each one of a patient’s ethnicities to be recorded in accordance with, at a minimum, the standard specified in §170.207(f)(</w:t>
      </w:r>
      <w:r w:rsidR="005E0E0F">
        <w:t>3</w:t>
      </w:r>
      <w:r w:rsidR="005E0E0F" w:rsidRPr="005E64B8">
        <w:t>) and whether a patient declines to specify ethnicity.</w:t>
      </w:r>
    </w:p>
    <w:bookmarkEnd w:id="392"/>
    <w:p w14:paraId="00000209" w14:textId="64F996AC" w:rsidR="00D67C8C" w:rsidRDefault="00C80A11" w:rsidP="00CA152C">
      <w:pPr>
        <w:pStyle w:val="Paragraph"/>
      </w:pPr>
      <w:r>
        <w:t xml:space="preserve">Notably, the CDC value sets for race and ethnicity do not contain code(s) for </w:t>
      </w:r>
      <w:r w:rsidR="005C1743">
        <w:t xml:space="preserve">situations where a </w:t>
      </w:r>
      <w:r>
        <w:t>patient declined</w:t>
      </w:r>
      <w:r w:rsidR="005C1743">
        <w:t xml:space="preserve"> to provide race or ethnicity</w:t>
      </w:r>
      <w:r>
        <w:t xml:space="preserve">. To communicate that a demographic element is unknown or the patient declined to provide the information for race and ethnicity, use the built-in </w:t>
      </w:r>
      <w:proofErr w:type="spellStart"/>
      <w:r>
        <w:t>nullFlavor</w:t>
      </w:r>
      <w:proofErr w:type="spellEnd"/>
      <w:r>
        <w:t xml:space="preserve"> feature of QRDA. The </w:t>
      </w:r>
      <w:proofErr w:type="spellStart"/>
      <w:r>
        <w:t>nullFlavor</w:t>
      </w:r>
      <w:proofErr w:type="spellEnd"/>
      <w:r>
        <w:t xml:space="preserve"> feature works for race, ethnicity, preferred language, and other cases in which the QRDA calls for a value from a value set and allows the </w:t>
      </w:r>
      <w:proofErr w:type="spellStart"/>
      <w:r>
        <w:t>nullFlavor</w:t>
      </w:r>
      <w:proofErr w:type="spellEnd"/>
      <w:r>
        <w:t xml:space="preserve"> as specified by the standard.</w:t>
      </w:r>
    </w:p>
    <w:p w14:paraId="0000020A" w14:textId="77777777" w:rsidR="00D67C8C" w:rsidRDefault="00C80A11" w:rsidP="00CA152C">
      <w:pPr>
        <w:pStyle w:val="Paragraph"/>
      </w:pPr>
      <w:r>
        <w:t>Generally, QRDA represents race as:</w:t>
      </w:r>
    </w:p>
    <w:p w14:paraId="0000020B" w14:textId="77777777" w:rsidR="00D67C8C" w:rsidRPr="006123E2" w:rsidRDefault="00C80A11" w:rsidP="006123E2">
      <w:pPr>
        <w:pStyle w:val="Paragraph"/>
        <w:spacing w:before="240" w:after="240"/>
        <w:ind w:left="720"/>
        <w:rPr>
          <w:rFonts w:ascii="Courier New" w:hAnsi="Courier New" w:cs="Courier New"/>
        </w:rPr>
      </w:pPr>
      <w:r w:rsidRPr="006123E2">
        <w:rPr>
          <w:rFonts w:ascii="Courier New" w:hAnsi="Courier New" w:cs="Courier New"/>
        </w:rPr>
        <w:t>&lt;</w:t>
      </w:r>
      <w:proofErr w:type="spellStart"/>
      <w:r w:rsidRPr="006123E2">
        <w:rPr>
          <w:rFonts w:ascii="Courier New" w:hAnsi="Courier New" w:cs="Courier New"/>
        </w:rPr>
        <w:t>raceCode</w:t>
      </w:r>
      <w:proofErr w:type="spellEnd"/>
      <w:r w:rsidRPr="006123E2">
        <w:rPr>
          <w:rFonts w:ascii="Courier New" w:hAnsi="Courier New" w:cs="Courier New"/>
        </w:rPr>
        <w:t xml:space="preserve"> code=”2106-3” </w:t>
      </w:r>
      <w:proofErr w:type="spellStart"/>
      <w:r w:rsidRPr="006123E2">
        <w:rPr>
          <w:rFonts w:ascii="Courier New" w:hAnsi="Courier New" w:cs="Courier New"/>
        </w:rPr>
        <w:t>displayName</w:t>
      </w:r>
      <w:proofErr w:type="spellEnd"/>
      <w:proofErr w:type="gramStart"/>
      <w:r w:rsidRPr="006123E2">
        <w:rPr>
          <w:rFonts w:ascii="Courier New" w:hAnsi="Courier New" w:cs="Courier New"/>
        </w:rPr>
        <w:t>=”</w:t>
      </w:r>
      <w:proofErr w:type="spellStart"/>
      <w:r w:rsidRPr="006123E2">
        <w:rPr>
          <w:rFonts w:ascii="Courier New" w:hAnsi="Courier New" w:cs="Courier New"/>
        </w:rPr>
        <w:t>White</w:t>
      </w:r>
      <w:proofErr w:type="gramEnd"/>
      <w:r w:rsidRPr="006123E2">
        <w:rPr>
          <w:rFonts w:ascii="Courier New" w:hAnsi="Courier New" w:cs="Courier New"/>
        </w:rPr>
        <w:t>”codeSystem</w:t>
      </w:r>
      <w:proofErr w:type="spellEnd"/>
      <w:r w:rsidRPr="006123E2">
        <w:rPr>
          <w:rFonts w:ascii="Courier New" w:hAnsi="Courier New" w:cs="Courier New"/>
        </w:rPr>
        <w:t>=”2.16.840.1.113883.6.238”/&gt;</w:t>
      </w:r>
    </w:p>
    <w:p w14:paraId="0000020C" w14:textId="77777777" w:rsidR="00D67C8C" w:rsidRDefault="00C80A11" w:rsidP="006123E2">
      <w:pPr>
        <w:pStyle w:val="ParagraphContinued"/>
      </w:pPr>
      <w:r>
        <w:t xml:space="preserve">When the value is unknown, use the </w:t>
      </w:r>
      <w:proofErr w:type="spellStart"/>
      <w:r>
        <w:t>nullFlavor</w:t>
      </w:r>
      <w:proofErr w:type="spellEnd"/>
      <w:r>
        <w:t xml:space="preserve"> UNK for “Unknown:”</w:t>
      </w:r>
    </w:p>
    <w:p w14:paraId="0000020D" w14:textId="77777777" w:rsidR="00D67C8C" w:rsidRPr="006123E2" w:rsidRDefault="00C80A11" w:rsidP="006123E2">
      <w:pPr>
        <w:pStyle w:val="Paragraph"/>
        <w:spacing w:before="240" w:after="240"/>
        <w:ind w:left="720"/>
        <w:rPr>
          <w:rFonts w:ascii="Courier New" w:hAnsi="Courier New" w:cs="Courier New"/>
        </w:rPr>
      </w:pPr>
      <w:r w:rsidRPr="006123E2">
        <w:rPr>
          <w:rFonts w:ascii="Courier New" w:hAnsi="Courier New" w:cs="Courier New"/>
        </w:rPr>
        <w:t>&lt;</w:t>
      </w:r>
      <w:proofErr w:type="spellStart"/>
      <w:r w:rsidRPr="006123E2">
        <w:rPr>
          <w:rFonts w:ascii="Courier New" w:hAnsi="Courier New" w:cs="Courier New"/>
        </w:rPr>
        <w:t>raceCode</w:t>
      </w:r>
      <w:proofErr w:type="spellEnd"/>
      <w:r w:rsidRPr="006123E2">
        <w:rPr>
          <w:rFonts w:ascii="Courier New" w:hAnsi="Courier New" w:cs="Courier New"/>
        </w:rPr>
        <w:t xml:space="preserve"> </w:t>
      </w:r>
      <w:proofErr w:type="spellStart"/>
      <w:r w:rsidRPr="006123E2">
        <w:rPr>
          <w:rFonts w:ascii="Courier New" w:hAnsi="Courier New" w:cs="Courier New"/>
        </w:rPr>
        <w:t>nullFlavor</w:t>
      </w:r>
      <w:proofErr w:type="spellEnd"/>
      <w:proofErr w:type="gramStart"/>
      <w:r w:rsidRPr="006123E2">
        <w:rPr>
          <w:rFonts w:ascii="Courier New" w:hAnsi="Courier New" w:cs="Courier New"/>
        </w:rPr>
        <w:t>=”UNK</w:t>
      </w:r>
      <w:proofErr w:type="gramEnd"/>
      <w:r w:rsidRPr="006123E2">
        <w:rPr>
          <w:rFonts w:ascii="Courier New" w:hAnsi="Courier New" w:cs="Courier New"/>
        </w:rPr>
        <w:t>”/&gt;</w:t>
      </w:r>
    </w:p>
    <w:p w14:paraId="0000020E" w14:textId="77777777" w:rsidR="00D67C8C" w:rsidRDefault="00C80A11" w:rsidP="006123E2">
      <w:pPr>
        <w:pStyle w:val="ParagraphContinued"/>
      </w:pPr>
      <w:r>
        <w:t xml:space="preserve">When the patient declines to specify, use the </w:t>
      </w:r>
      <w:proofErr w:type="spellStart"/>
      <w:r>
        <w:t>nullFlavor</w:t>
      </w:r>
      <w:proofErr w:type="spellEnd"/>
      <w:r>
        <w:t xml:space="preserve"> ASKU for “Asked but Unknown:”</w:t>
      </w:r>
    </w:p>
    <w:p w14:paraId="0000020F" w14:textId="77777777" w:rsidR="00D67C8C" w:rsidRPr="006123E2" w:rsidRDefault="00C80A11" w:rsidP="006123E2">
      <w:pPr>
        <w:pStyle w:val="Paragraph"/>
        <w:spacing w:before="240" w:after="240"/>
        <w:ind w:left="720"/>
        <w:rPr>
          <w:rFonts w:ascii="Courier New" w:hAnsi="Courier New" w:cs="Courier New"/>
        </w:rPr>
      </w:pPr>
      <w:r w:rsidRPr="006123E2">
        <w:rPr>
          <w:rFonts w:ascii="Courier New" w:hAnsi="Courier New" w:cs="Courier New"/>
        </w:rPr>
        <w:t>&lt;</w:t>
      </w:r>
      <w:proofErr w:type="spellStart"/>
      <w:r w:rsidRPr="006123E2">
        <w:rPr>
          <w:rFonts w:ascii="Courier New" w:hAnsi="Courier New" w:cs="Courier New"/>
        </w:rPr>
        <w:t>raceCode</w:t>
      </w:r>
      <w:proofErr w:type="spellEnd"/>
      <w:r w:rsidRPr="006123E2">
        <w:rPr>
          <w:rFonts w:ascii="Courier New" w:hAnsi="Courier New" w:cs="Courier New"/>
        </w:rPr>
        <w:t xml:space="preserve"> </w:t>
      </w:r>
      <w:proofErr w:type="spellStart"/>
      <w:r w:rsidRPr="006123E2">
        <w:rPr>
          <w:rFonts w:ascii="Courier New" w:hAnsi="Courier New" w:cs="Courier New"/>
        </w:rPr>
        <w:t>nullFlavor</w:t>
      </w:r>
      <w:proofErr w:type="spellEnd"/>
      <w:proofErr w:type="gramStart"/>
      <w:r w:rsidRPr="006123E2">
        <w:rPr>
          <w:rFonts w:ascii="Courier New" w:hAnsi="Courier New" w:cs="Courier New"/>
        </w:rPr>
        <w:t>=”ASKU</w:t>
      </w:r>
      <w:proofErr w:type="gramEnd"/>
      <w:r w:rsidRPr="006123E2">
        <w:rPr>
          <w:rFonts w:ascii="Courier New" w:hAnsi="Courier New" w:cs="Courier New"/>
        </w:rPr>
        <w:t>”/&gt;</w:t>
      </w:r>
    </w:p>
    <w:p w14:paraId="00000210" w14:textId="7766C8DA" w:rsidR="00D67C8C" w:rsidRDefault="006123E2" w:rsidP="006123E2">
      <w:pPr>
        <w:pStyle w:val="H3-Num"/>
      </w:pPr>
      <w:bookmarkStart w:id="393" w:name="_heading=h.356xmb2" w:colFirst="0" w:colLast="0"/>
      <w:bookmarkStart w:id="394" w:name="_Toc159480018"/>
      <w:bookmarkStart w:id="395" w:name="_Toc159578399"/>
      <w:bookmarkStart w:id="396" w:name="_Toc194994769"/>
      <w:bookmarkEnd w:id="393"/>
      <w:r>
        <w:t>3.12.2</w:t>
      </w:r>
      <w:r>
        <w:tab/>
      </w:r>
      <w:r w:rsidR="00C80A11" w:rsidRPr="005E64B8">
        <w:t>Sex</w:t>
      </w:r>
      <w:bookmarkEnd w:id="394"/>
      <w:bookmarkEnd w:id="395"/>
      <w:bookmarkEnd w:id="396"/>
    </w:p>
    <w:p w14:paraId="00000211" w14:textId="5F6074E5" w:rsidR="00D67C8C" w:rsidRDefault="00C80A11" w:rsidP="006123E2">
      <w:pPr>
        <w:pStyle w:val="ParagraphContinued"/>
      </w:pPr>
      <w:r>
        <w:t>eCQMs identify a patient’s sex using</w:t>
      </w:r>
      <w:r w:rsidR="00274A61">
        <w:t xml:space="preserve"> SNOMED</w:t>
      </w:r>
      <w:r w:rsidR="0017030F">
        <w:t xml:space="preserve"> </w:t>
      </w:r>
      <w:r w:rsidR="00274A61">
        <w:t>CT</w:t>
      </w:r>
      <w:r>
        <w:t xml:space="preserve"> codes from the “</w:t>
      </w:r>
      <w:r w:rsidR="0055322D">
        <w:t>Federal Administrative</w:t>
      </w:r>
      <w:r w:rsidR="00274A61">
        <w:t xml:space="preserve"> Sex</w:t>
      </w:r>
      <w:r>
        <w:t xml:space="preserve">” (OID: </w:t>
      </w:r>
      <w:r w:rsidR="00274A61" w:rsidRPr="00274A61">
        <w:t>2.16.840.1.113762.1.4.1021.121</w:t>
      </w:r>
      <w:r>
        <w:t>) value set</w:t>
      </w:r>
      <w:bookmarkStart w:id="397" w:name="bookmark=id.2uxtw84" w:colFirst="0" w:colLast="0"/>
      <w:bookmarkStart w:id="398" w:name="bookmark=id.4fsjm0b" w:colFirst="0" w:colLast="0"/>
      <w:bookmarkEnd w:id="397"/>
      <w:bookmarkEnd w:id="398"/>
      <w:r>
        <w:t>. For reporting</w:t>
      </w:r>
      <w:r w:rsidR="007733C7">
        <w:t>/performance</w:t>
      </w:r>
      <w:r>
        <w:t xml:space="preserve"> year </w:t>
      </w:r>
      <w:r w:rsidR="00415519">
        <w:t>2027</w:t>
      </w:r>
      <w:r>
        <w:t xml:space="preserve">, this </w:t>
      </w:r>
      <w:r w:rsidR="00274A61">
        <w:t>extensional</w:t>
      </w:r>
      <w:r>
        <w:t xml:space="preserve"> value set contains the following values:</w:t>
      </w:r>
    </w:p>
    <w:p w14:paraId="00000212" w14:textId="1E80CD44" w:rsidR="00D67C8C" w:rsidRPr="006123E2" w:rsidRDefault="00C80A11" w:rsidP="006123E2">
      <w:pPr>
        <w:pStyle w:val="Paragraph"/>
        <w:ind w:left="720"/>
        <w:rPr>
          <w:b/>
          <w:bCs/>
          <w:shd w:val="clear" w:color="auto" w:fill="FCFDFD"/>
        </w:rPr>
      </w:pPr>
      <w:r w:rsidRPr="006123E2">
        <w:rPr>
          <w:b/>
          <w:bCs/>
          <w:shd w:val="clear" w:color="auto" w:fill="FCFDFD"/>
        </w:rPr>
        <w:t>Code Description</w:t>
      </w:r>
    </w:p>
    <w:p w14:paraId="00000215" w14:textId="5BA6B754" w:rsidR="00D67C8C" w:rsidRDefault="00C80A11" w:rsidP="006123E2">
      <w:pPr>
        <w:pStyle w:val="Paragraph"/>
        <w:ind w:left="720"/>
        <w:rPr>
          <w:shd w:val="clear" w:color="auto" w:fill="FCFDFD"/>
        </w:rPr>
      </w:pPr>
      <w:r>
        <w:rPr>
          <w:shd w:val="clear" w:color="auto" w:fill="FCFDFD"/>
        </w:rPr>
        <w:t>248152002 Female (finding)</w:t>
      </w:r>
    </w:p>
    <w:p w14:paraId="0000021B" w14:textId="71968000" w:rsidR="00D67C8C" w:rsidRDefault="00C80A11" w:rsidP="006123E2">
      <w:pPr>
        <w:pStyle w:val="Paragraph"/>
        <w:ind w:left="720"/>
        <w:rPr>
          <w:shd w:val="clear" w:color="auto" w:fill="FCFDFD"/>
        </w:rPr>
      </w:pPr>
      <w:r>
        <w:rPr>
          <w:shd w:val="clear" w:color="auto" w:fill="FCFDFD"/>
        </w:rPr>
        <w:t>248153007 Male (finding)</w:t>
      </w:r>
    </w:p>
    <w:p w14:paraId="0000021C" w14:textId="59B374BE" w:rsidR="00D67C8C" w:rsidRDefault="006123E2" w:rsidP="006123E2">
      <w:pPr>
        <w:pStyle w:val="H2-Num"/>
      </w:pPr>
      <w:bookmarkStart w:id="399" w:name="_heading=h.1kc7wiv" w:colFirst="0" w:colLast="0"/>
      <w:bookmarkStart w:id="400" w:name="_Toc446948774"/>
      <w:bookmarkStart w:id="401" w:name="_Toc23176770"/>
      <w:bookmarkStart w:id="402" w:name="_Toc56635397"/>
      <w:bookmarkStart w:id="403" w:name="_Toc64983089"/>
      <w:bookmarkStart w:id="404" w:name="_Toc159578400"/>
      <w:bookmarkStart w:id="405" w:name="_Toc194959021"/>
      <w:bookmarkStart w:id="406" w:name="_Toc194994770"/>
      <w:bookmarkEnd w:id="379"/>
      <w:bookmarkEnd w:id="399"/>
      <w:r>
        <w:rPr>
          <w:rFonts w:eastAsia="Arial Narrow"/>
        </w:rPr>
        <w:t>3.13</w:t>
      </w:r>
      <w:r>
        <w:rPr>
          <w:rFonts w:eastAsia="Arial Narrow"/>
        </w:rPr>
        <w:tab/>
      </w:r>
      <w:r w:rsidR="00C80A11" w:rsidRPr="005E64B8">
        <w:rPr>
          <w:rFonts w:eastAsia="Arial Narrow"/>
        </w:rPr>
        <w:t>ICD-9 and ICD-10 Codes in Value Sets</w:t>
      </w:r>
      <w:bookmarkEnd w:id="400"/>
      <w:bookmarkEnd w:id="401"/>
      <w:bookmarkEnd w:id="402"/>
      <w:bookmarkEnd w:id="403"/>
      <w:bookmarkEnd w:id="404"/>
      <w:bookmarkEnd w:id="405"/>
      <w:bookmarkEnd w:id="406"/>
    </w:p>
    <w:p w14:paraId="0000021D" w14:textId="477D68DD" w:rsidR="00D67C8C" w:rsidRDefault="006123E2" w:rsidP="006123E2">
      <w:pPr>
        <w:pStyle w:val="H3-Num"/>
      </w:pPr>
      <w:bookmarkStart w:id="407" w:name="_heading=h.44bvf6o" w:colFirst="0" w:colLast="0"/>
      <w:bookmarkStart w:id="408" w:name="_Toc23176771"/>
      <w:bookmarkStart w:id="409" w:name="_Toc56635398"/>
      <w:bookmarkStart w:id="410" w:name="_Toc64983090"/>
      <w:bookmarkStart w:id="411" w:name="_Toc159480020"/>
      <w:bookmarkStart w:id="412" w:name="_Toc159578401"/>
      <w:bookmarkStart w:id="413" w:name="_Toc194994771"/>
      <w:bookmarkEnd w:id="407"/>
      <w:r>
        <w:t>3.13.1</w:t>
      </w:r>
      <w:r>
        <w:tab/>
      </w:r>
      <w:r w:rsidR="00C80A11" w:rsidRPr="005E64B8">
        <w:t xml:space="preserve">Use of Nonclinical or Administrative Code </w:t>
      </w:r>
      <w:bookmarkEnd w:id="408"/>
      <w:bookmarkEnd w:id="409"/>
      <w:bookmarkEnd w:id="410"/>
      <w:r w:rsidR="00C80A11" w:rsidRPr="005E64B8">
        <w:t>Systems</w:t>
      </w:r>
      <w:bookmarkEnd w:id="411"/>
      <w:bookmarkEnd w:id="412"/>
      <w:bookmarkEnd w:id="413"/>
    </w:p>
    <w:p w14:paraId="0000021E" w14:textId="3C4BF106" w:rsidR="00D67C8C" w:rsidRDefault="00C80A11" w:rsidP="006123E2">
      <w:pPr>
        <w:pStyle w:val="ParagraphContinued"/>
      </w:pPr>
      <w:r>
        <w:t xml:space="preserve">Specifications for eCQMs include terminologies in value sets derived from clinical vocabulary standards and those originally specified for administrative purposes, such as billing and payment or mortality data. As an example, diagnosis value sets contain terms in the standard vocabulary (SNOMED CT) and the native capture terminologies (ICD-10-CM/PCS). A complete list of value sets and direct reference codes used in eCQMs is available for download from the </w:t>
      </w:r>
      <w:hyperlink r:id="rId115">
        <w:r>
          <w:rPr>
            <w:color w:val="0563C1"/>
            <w:u w:val="single"/>
          </w:rPr>
          <w:t>VSAC</w:t>
        </w:r>
      </w:hyperlink>
      <w:r>
        <w:t>.</w:t>
      </w:r>
    </w:p>
    <w:p w14:paraId="0000021F" w14:textId="10B4DD39" w:rsidR="00D67C8C" w:rsidRDefault="00C80A11" w:rsidP="006123E2">
      <w:pPr>
        <w:pStyle w:val="Paragraph"/>
      </w:pPr>
      <w:r>
        <w:t xml:space="preserve">CMS formally retired the use of the ICD-9-CM code system for billing and reporting purposes. </w:t>
      </w:r>
    </w:p>
    <w:p w14:paraId="00000220" w14:textId="7D4B6CA9" w:rsidR="00D67C8C" w:rsidRDefault="00C80A11" w:rsidP="006123E2">
      <w:pPr>
        <w:pStyle w:val="Paragraph"/>
      </w:pPr>
      <w:bookmarkStart w:id="414" w:name="_heading=h.2jh5peh" w:colFirst="0" w:colLast="0"/>
      <w:bookmarkStart w:id="415" w:name="_Toc91742264"/>
      <w:bookmarkStart w:id="416" w:name="_Toc91742265"/>
      <w:bookmarkStart w:id="417" w:name="_Toc446948775"/>
      <w:bookmarkStart w:id="418" w:name="_Toc23176773"/>
      <w:bookmarkStart w:id="419" w:name="_Toc56635400"/>
      <w:bookmarkStart w:id="420" w:name="_Toc64983092"/>
      <w:bookmarkEnd w:id="414"/>
      <w:bookmarkEnd w:id="415"/>
      <w:bookmarkEnd w:id="416"/>
      <w:r>
        <w:lastRenderedPageBreak/>
        <w:t>eCQM implementers should carefully review technical release notes and value sets posted to the eCQI Resource Center to determine the areas in which value set changes might affect their ability to capture data for the</w:t>
      </w:r>
      <w:r w:rsidR="00B35D3F">
        <w:t xml:space="preserve"> </w:t>
      </w:r>
      <w:r w:rsidR="00415519">
        <w:t xml:space="preserve">2027 </w:t>
      </w:r>
      <w:r>
        <w:t>reporting and performance period and adjust accordingly.</w:t>
      </w:r>
    </w:p>
    <w:p w14:paraId="00000221" w14:textId="004C2004" w:rsidR="00D67C8C" w:rsidRDefault="006123E2" w:rsidP="006123E2">
      <w:pPr>
        <w:pStyle w:val="H2-Num"/>
      </w:pPr>
      <w:bookmarkStart w:id="421" w:name="_heading=h.ymfzma" w:colFirst="0" w:colLast="0"/>
      <w:bookmarkStart w:id="422" w:name="_Toc159578402"/>
      <w:bookmarkStart w:id="423" w:name="_Toc194959022"/>
      <w:bookmarkStart w:id="424" w:name="_Toc194994772"/>
      <w:bookmarkEnd w:id="421"/>
      <w:r>
        <w:rPr>
          <w:rFonts w:eastAsia="Arial Narrow"/>
        </w:rPr>
        <w:t>3.14</w:t>
      </w:r>
      <w:r>
        <w:rPr>
          <w:rFonts w:eastAsia="Arial Narrow"/>
        </w:rPr>
        <w:tab/>
      </w:r>
      <w:r w:rsidR="00C80A11" w:rsidRPr="005E64B8">
        <w:rPr>
          <w:rFonts w:eastAsia="Arial Narrow"/>
        </w:rPr>
        <w:t>Display of Human-Readable HQMF</w:t>
      </w:r>
      <w:bookmarkEnd w:id="417"/>
      <w:bookmarkEnd w:id="418"/>
      <w:bookmarkEnd w:id="419"/>
      <w:bookmarkEnd w:id="420"/>
      <w:bookmarkEnd w:id="422"/>
      <w:bookmarkEnd w:id="423"/>
      <w:bookmarkEnd w:id="424"/>
    </w:p>
    <w:p w14:paraId="00000222" w14:textId="1A83E6F7" w:rsidR="00D67C8C" w:rsidRDefault="00C80A11" w:rsidP="006123E2">
      <w:pPr>
        <w:pStyle w:val="ParagraphContinued"/>
      </w:pPr>
      <w:r>
        <w:t xml:space="preserve">The measure specification package file contains the human-readable </w:t>
      </w:r>
      <w:r w:rsidR="00AA36AA" w:rsidRPr="00AA36AA">
        <w:t>Hypertext Markup Language</w:t>
      </w:r>
      <w:r w:rsidR="00AA36AA">
        <w:t xml:space="preserve"> (</w:t>
      </w:r>
      <w:r>
        <w:t>HTML</w:t>
      </w:r>
      <w:r w:rsidR="00AA36AA">
        <w:t>)</w:t>
      </w:r>
      <w:r>
        <w:t xml:space="preserve"> file of an eCQM. Users can also view the human-readable display directly on the eCQM page for a specific eCQM on the </w:t>
      </w:r>
      <w:hyperlink r:id="rId116">
        <w:r>
          <w:rPr>
            <w:color w:val="0563C1"/>
            <w:u w:val="single"/>
          </w:rPr>
          <w:t>eCQI Resource Center</w:t>
        </w:r>
      </w:hyperlink>
      <w:r>
        <w:t>.</w:t>
      </w:r>
    </w:p>
    <w:p w14:paraId="00000223" w14:textId="77777777" w:rsidR="00D67C8C" w:rsidRDefault="00D67C8C">
      <w:pPr>
        <w:sectPr w:rsidR="00D67C8C" w:rsidSect="005E64B8">
          <w:headerReference w:type="even" r:id="rId117"/>
          <w:headerReference w:type="default" r:id="rId118"/>
          <w:footerReference w:type="default" r:id="rId119"/>
          <w:headerReference w:type="first" r:id="rId120"/>
          <w:footerReference w:type="first" r:id="rId121"/>
          <w:pgSz w:w="12240" w:h="15840"/>
          <w:pgMar w:top="1440" w:right="1440" w:bottom="1440" w:left="1440" w:header="504" w:footer="504" w:gutter="0"/>
          <w:cols w:space="720"/>
        </w:sectPr>
      </w:pPr>
    </w:p>
    <w:p w14:paraId="00000224" w14:textId="49B5E87A" w:rsidR="00D67C8C" w:rsidRDefault="006123E2" w:rsidP="006123E2">
      <w:pPr>
        <w:pStyle w:val="H1-Num"/>
      </w:pPr>
      <w:bookmarkStart w:id="425" w:name="_heading=h.3im3ia3" w:colFirst="0" w:colLast="0"/>
      <w:bookmarkStart w:id="426" w:name="_Toc194959023"/>
      <w:bookmarkStart w:id="427" w:name="_Toc194994773"/>
      <w:bookmarkEnd w:id="425"/>
      <w:r>
        <w:lastRenderedPageBreak/>
        <w:t>4.</w:t>
      </w:r>
      <w:r>
        <w:tab/>
      </w:r>
      <w:bookmarkStart w:id="428" w:name="_Toc446948776"/>
      <w:bookmarkStart w:id="429" w:name="_Toc23176774"/>
      <w:bookmarkStart w:id="430" w:name="_Toc56635401"/>
      <w:bookmarkStart w:id="431" w:name="_Toc64983093"/>
      <w:bookmarkStart w:id="432" w:name="_Toc159578403"/>
      <w:r w:rsidR="00C80A11" w:rsidRPr="005E64B8">
        <w:t>eCQM Guidance</w:t>
      </w:r>
      <w:bookmarkEnd w:id="426"/>
      <w:bookmarkEnd w:id="427"/>
      <w:bookmarkEnd w:id="428"/>
      <w:bookmarkEnd w:id="429"/>
      <w:bookmarkEnd w:id="430"/>
      <w:bookmarkEnd w:id="431"/>
      <w:bookmarkEnd w:id="432"/>
    </w:p>
    <w:p w14:paraId="00000225" w14:textId="79E5B7E9" w:rsidR="00D67C8C" w:rsidRDefault="00C80A11" w:rsidP="006123E2">
      <w:pPr>
        <w:pStyle w:val="ParagraphContinued"/>
      </w:pPr>
      <w:r>
        <w:t xml:space="preserve">CMS provides eCQM guidance to help users understand and implement eCQMs. This guidance is available in the human-readable HTML and the eCQM HQMF XML in the measure specification package zip files located on the </w:t>
      </w:r>
      <w:hyperlink r:id="rId122">
        <w:r>
          <w:rPr>
            <w:color w:val="0563C1"/>
            <w:u w:val="single"/>
          </w:rPr>
          <w:t>eCQI Resource Center</w:t>
        </w:r>
      </w:hyperlink>
      <w:r>
        <w:rPr>
          <w:color w:val="0563C1"/>
          <w:u w:val="single"/>
        </w:rPr>
        <w:t>.</w:t>
      </w:r>
      <w:r>
        <w:t xml:space="preserve"> On this site, select one of the following three criteria to view program-specific measures, organized by reporting period:</w:t>
      </w:r>
    </w:p>
    <w:p w14:paraId="00000226" w14:textId="4C0D9EF3" w:rsidR="00D67C8C" w:rsidRDefault="00C80A11" w:rsidP="006123E2">
      <w:pPr>
        <w:pStyle w:val="ListBullet"/>
        <w:rPr>
          <w:color w:val="000000"/>
        </w:rPr>
      </w:pPr>
      <w:hyperlink r:id="rId123">
        <w:r>
          <w:rPr>
            <w:color w:val="0563C1"/>
            <w:u w:val="single"/>
          </w:rPr>
          <w:t>Eligible Clinician eCQMs</w:t>
        </w:r>
      </w:hyperlink>
    </w:p>
    <w:p w14:paraId="00000227" w14:textId="6A544D1C" w:rsidR="00D67C8C" w:rsidRDefault="00C80A11" w:rsidP="006123E2">
      <w:pPr>
        <w:pStyle w:val="ListBullet"/>
        <w:rPr>
          <w:color w:val="000000"/>
        </w:rPr>
      </w:pPr>
      <w:hyperlink r:id="rId124">
        <w:r>
          <w:rPr>
            <w:color w:val="0563C1"/>
            <w:u w:val="single"/>
          </w:rPr>
          <w:t>Hospital</w:t>
        </w:r>
        <w:r w:rsidR="00F56868">
          <w:rPr>
            <w:color w:val="0563C1"/>
            <w:u w:val="single"/>
          </w:rPr>
          <w:t xml:space="preserve"> </w:t>
        </w:r>
        <w:r w:rsidR="00672BF5">
          <w:rPr>
            <w:color w:val="0563C1"/>
            <w:u w:val="single"/>
          </w:rPr>
          <w:t>-</w:t>
        </w:r>
        <w:r>
          <w:rPr>
            <w:color w:val="0563C1"/>
            <w:u w:val="single"/>
          </w:rPr>
          <w:t xml:space="preserve"> </w:t>
        </w:r>
        <w:r w:rsidR="00F56868">
          <w:rPr>
            <w:color w:val="0563C1"/>
            <w:u w:val="single"/>
          </w:rPr>
          <w:t xml:space="preserve">Inpatient </w:t>
        </w:r>
        <w:r>
          <w:rPr>
            <w:color w:val="0563C1"/>
            <w:u w:val="single"/>
          </w:rPr>
          <w:t>eCQMs</w:t>
        </w:r>
      </w:hyperlink>
    </w:p>
    <w:p w14:paraId="00000228" w14:textId="2738D422" w:rsidR="00D67C8C" w:rsidRDefault="007A5E49" w:rsidP="006123E2">
      <w:pPr>
        <w:pStyle w:val="ListBullet"/>
        <w:rPr>
          <w:color w:val="0563C1"/>
          <w:u w:val="single"/>
        </w:rPr>
      </w:pPr>
      <w:hyperlink r:id="rId125" w:history="1">
        <w:r w:rsidRPr="007A5E49">
          <w:rPr>
            <w:rStyle w:val="Hyperlink"/>
          </w:rPr>
          <w:t xml:space="preserve">Hospital </w:t>
        </w:r>
        <w:r w:rsidR="00672BF5">
          <w:rPr>
            <w:rStyle w:val="Hyperlink"/>
          </w:rPr>
          <w:t>-</w:t>
        </w:r>
        <w:r w:rsidRPr="007A5E49">
          <w:rPr>
            <w:rStyle w:val="Hyperlink"/>
          </w:rPr>
          <w:t xml:space="preserve"> </w:t>
        </w:r>
        <w:r w:rsidR="00C80A11" w:rsidRPr="007A5E49">
          <w:rPr>
            <w:rStyle w:val="Hyperlink"/>
          </w:rPr>
          <w:t>Outpatient eCQMs</w:t>
        </w:r>
      </w:hyperlink>
    </w:p>
    <w:p w14:paraId="00000229" w14:textId="612CD54D" w:rsidR="00496022" w:rsidRDefault="00C80A11" w:rsidP="006123E2">
      <w:pPr>
        <w:pStyle w:val="ParagraphContinued"/>
      </w:pPr>
      <w:r>
        <w:t>Guidance is available in the eCQM header, in the inline comments in the eCQM logic itself, and in the technical release notes of each</w:t>
      </w:r>
      <w:r w:rsidR="00A84666">
        <w:t xml:space="preserve"> </w:t>
      </w:r>
      <w:r>
        <w:t>eCQM posted on the eCQI Resource Center. This guidance is critical to the correct implementation of the</w:t>
      </w:r>
      <w:r w:rsidR="00A84666">
        <w:t xml:space="preserve"> </w:t>
      </w:r>
      <w:r>
        <w:t xml:space="preserve">eCQM. The technical release notes, which describe changes to measures between different versions, are available on the </w:t>
      </w:r>
      <w:hyperlink r:id="rId126">
        <w:r>
          <w:rPr>
            <w:color w:val="0563C1"/>
            <w:u w:val="single"/>
          </w:rPr>
          <w:t>eCQI Resource Center</w:t>
        </w:r>
      </w:hyperlink>
      <w:r>
        <w:t>.</w:t>
      </w:r>
    </w:p>
    <w:p w14:paraId="757E70FD" w14:textId="77777777" w:rsidR="00496022" w:rsidRDefault="00496022">
      <w:pPr>
        <w:spacing w:after="0"/>
      </w:pPr>
      <w:r>
        <w:br w:type="page"/>
      </w:r>
    </w:p>
    <w:p w14:paraId="0000022B" w14:textId="15EB6BAA" w:rsidR="00D67C8C" w:rsidRDefault="006123E2" w:rsidP="006123E2">
      <w:pPr>
        <w:pStyle w:val="H1-Num"/>
      </w:pPr>
      <w:bookmarkStart w:id="433" w:name="_heading=h.1xrdshw" w:colFirst="0" w:colLast="0"/>
      <w:bookmarkStart w:id="434" w:name="_Toc446948777"/>
      <w:bookmarkStart w:id="435" w:name="_Toc447094771"/>
      <w:bookmarkStart w:id="436" w:name="_Toc447095512"/>
      <w:bookmarkStart w:id="437" w:name="_Toc447096035"/>
      <w:bookmarkStart w:id="438" w:name="_heading=h.4hr1b5p" w:colFirst="0" w:colLast="0"/>
      <w:bookmarkStart w:id="439" w:name="_Toc194959024"/>
      <w:bookmarkStart w:id="440" w:name="_Toc194994774"/>
      <w:bookmarkEnd w:id="433"/>
      <w:bookmarkEnd w:id="434"/>
      <w:bookmarkEnd w:id="435"/>
      <w:bookmarkEnd w:id="436"/>
      <w:bookmarkEnd w:id="437"/>
      <w:bookmarkEnd w:id="438"/>
      <w:r>
        <w:rPr>
          <w:rFonts w:cs="Arial Narrow"/>
          <w:szCs w:val="36"/>
        </w:rPr>
        <w:lastRenderedPageBreak/>
        <w:t>5.</w:t>
      </w:r>
      <w:r>
        <w:rPr>
          <w:rFonts w:cs="Arial Narrow"/>
          <w:szCs w:val="36"/>
        </w:rPr>
        <w:tab/>
      </w:r>
      <w:r w:rsidR="00262A8E">
        <w:rPr>
          <w:rFonts w:cs="Arial Narrow"/>
          <w:szCs w:val="36"/>
        </w:rPr>
        <w:t>ASTP/</w:t>
      </w:r>
      <w:bookmarkStart w:id="441" w:name="_Toc159578404"/>
      <w:bookmarkStart w:id="442" w:name="_Toc446948778"/>
      <w:bookmarkStart w:id="443" w:name="_Toc23176775"/>
      <w:bookmarkStart w:id="444" w:name="_Toc56635402"/>
      <w:bookmarkStart w:id="445" w:name="_Toc64983094"/>
      <w:r w:rsidR="00C80A11" w:rsidRPr="005E64B8">
        <w:t>ONC Project Tracking System (Jira)</w:t>
      </w:r>
      <w:bookmarkEnd w:id="439"/>
      <w:bookmarkEnd w:id="440"/>
      <w:bookmarkEnd w:id="441"/>
      <w:r w:rsidR="00C80A11" w:rsidRPr="005E64B8">
        <w:t xml:space="preserve"> </w:t>
      </w:r>
      <w:bookmarkEnd w:id="442"/>
      <w:bookmarkEnd w:id="443"/>
      <w:bookmarkEnd w:id="444"/>
      <w:bookmarkEnd w:id="445"/>
    </w:p>
    <w:p w14:paraId="0000022C" w14:textId="05978517" w:rsidR="00D67C8C" w:rsidRDefault="00C80A11" w:rsidP="006123E2">
      <w:pPr>
        <w:pStyle w:val="ParagraphContinued"/>
      </w:pPr>
      <w:bookmarkStart w:id="446" w:name="_heading=h.2wwbldi" w:colFirst="0" w:colLast="0"/>
      <w:bookmarkEnd w:id="446"/>
      <w:r>
        <w:t xml:space="preserve">CMS contractors manage and respond to eCQM interested parties </w:t>
      </w:r>
      <w:bookmarkStart w:id="447" w:name="_Hlk510090706"/>
      <w:r>
        <w:t>through the</w:t>
      </w:r>
      <w:r w:rsidR="00691F4D">
        <w:t xml:space="preserve"> </w:t>
      </w:r>
      <w:r>
        <w:t>ASTP</w:t>
      </w:r>
      <w:r w:rsidR="00262A8E">
        <w:t>/ONC</w:t>
      </w:r>
      <w:hyperlink r:id="rId127">
        <w:r>
          <w:rPr>
            <w:color w:val="0563C1"/>
            <w:u w:val="single"/>
          </w:rPr>
          <w:t xml:space="preserve"> Project Tracking System (Jira)</w:t>
        </w:r>
      </w:hyperlink>
      <w:hyperlink r:id="rId128">
        <w:r>
          <w:rPr>
            <w:color w:val="000000"/>
          </w:rPr>
          <w:t>.</w:t>
        </w:r>
      </w:hyperlink>
      <w:r>
        <w:t xml:space="preserve"> This system supports feedback and questions that apply to all phases of the eCQM life cycle, including development, approval, implementation, and updates regarding eCQM intent, specifications, certification, standards, and errors</w:t>
      </w:r>
      <w:bookmarkEnd w:id="447"/>
      <w:r>
        <w:t>. Interested parties should report</w:t>
      </w:r>
      <w:r w:rsidR="00A84666">
        <w:t xml:space="preserve"> </w:t>
      </w:r>
      <w:r>
        <w:t xml:space="preserve">issues </w:t>
      </w:r>
      <w:r w:rsidR="0040143D">
        <w:t>and</w:t>
      </w:r>
      <w:r>
        <w:t xml:space="preserve"> questions about eCQM specifications</w:t>
      </w:r>
      <w:r w:rsidR="0040143D">
        <w:t xml:space="preserve"> on Jira</w:t>
      </w:r>
      <w:r>
        <w:t xml:space="preserve">. </w:t>
      </w:r>
      <w:r w:rsidR="00FA525B">
        <w:t>Interested parties</w:t>
      </w:r>
      <w:r>
        <w:t xml:space="preserve"> can also ask questions or raise issues about</w:t>
      </w:r>
      <w:r w:rsidR="00E16AA0">
        <w:t xml:space="preserve"> </w:t>
      </w:r>
      <w:r>
        <w:t xml:space="preserve">eCQM tools and standards in different projects within Jira. </w:t>
      </w:r>
      <w:r w:rsidR="00E16AA0">
        <w:t>Q</w:t>
      </w:r>
      <w:r>
        <w:t>uality reporting issue trackers found on Jira include</w:t>
      </w:r>
      <w:r w:rsidR="008F2EB0">
        <w:t xml:space="preserve"> the following</w:t>
      </w:r>
      <w:r>
        <w:t>:</w:t>
      </w:r>
    </w:p>
    <w:p w14:paraId="0000022E" w14:textId="3FBF1454" w:rsidR="00D67C8C" w:rsidRPr="005E64B8" w:rsidRDefault="00C80A11" w:rsidP="006123E2">
      <w:pPr>
        <w:pStyle w:val="ListBullet"/>
        <w:rPr>
          <w:color w:val="000000"/>
        </w:rPr>
      </w:pPr>
      <w:hyperlink r:id="rId129">
        <w:r>
          <w:rPr>
            <w:color w:val="0563C1"/>
            <w:u w:val="single"/>
          </w:rPr>
          <w:t>CMS Hybrid Measures</w:t>
        </w:r>
      </w:hyperlink>
      <w:r w:rsidRPr="005E64B8">
        <w:rPr>
          <w:color w:val="000000"/>
        </w:rPr>
        <w:t>—CMS hybrid measure issues</w:t>
      </w:r>
      <w:r>
        <w:rPr>
          <w:color w:val="000000"/>
        </w:rPr>
        <w:t xml:space="preserve"> and </w:t>
      </w:r>
      <w:r w:rsidRPr="005E64B8">
        <w:rPr>
          <w:color w:val="000000"/>
        </w:rPr>
        <w:t>questions</w:t>
      </w:r>
    </w:p>
    <w:p w14:paraId="00000230" w14:textId="207BABE4" w:rsidR="00D67C8C" w:rsidRPr="005E64B8" w:rsidRDefault="00C80A11" w:rsidP="006123E2">
      <w:pPr>
        <w:pStyle w:val="ListBullet"/>
        <w:rPr>
          <w:color w:val="000000"/>
        </w:rPr>
      </w:pPr>
      <w:hyperlink r:id="rId130">
        <w:r>
          <w:rPr>
            <w:color w:val="0563C1"/>
            <w:u w:val="single"/>
          </w:rPr>
          <w:t>CQL Issue Tracker</w:t>
        </w:r>
      </w:hyperlink>
      <w:r w:rsidRPr="005E64B8">
        <w:rPr>
          <w:color w:val="000000"/>
        </w:rPr>
        <w:t>—CQL development</w:t>
      </w:r>
      <w:r w:rsidR="00325200">
        <w:rPr>
          <w:color w:val="000000"/>
        </w:rPr>
        <w:t>,</w:t>
      </w:r>
      <w:r w:rsidR="00325200" w:rsidRPr="005E64B8">
        <w:rPr>
          <w:color w:val="000000"/>
        </w:rPr>
        <w:t xml:space="preserve"> </w:t>
      </w:r>
      <w:r w:rsidRPr="005E64B8">
        <w:rPr>
          <w:color w:val="000000"/>
        </w:rPr>
        <w:t>implementation</w:t>
      </w:r>
      <w:r w:rsidR="00325200">
        <w:rPr>
          <w:color w:val="000000"/>
        </w:rPr>
        <w:t>,</w:t>
      </w:r>
      <w:r w:rsidRPr="005E64B8">
        <w:rPr>
          <w:color w:val="000000"/>
        </w:rPr>
        <w:t xml:space="preserve"> and standards issues</w:t>
      </w:r>
    </w:p>
    <w:p w14:paraId="00000231" w14:textId="7A132110" w:rsidR="00D67C8C" w:rsidRPr="005E64B8" w:rsidRDefault="00C80A11" w:rsidP="006123E2">
      <w:pPr>
        <w:pStyle w:val="ListBullet"/>
        <w:rPr>
          <w:color w:val="000000"/>
        </w:rPr>
      </w:pPr>
      <w:hyperlink r:id="rId131">
        <w:r>
          <w:rPr>
            <w:color w:val="0563C1"/>
            <w:u w:val="single"/>
          </w:rPr>
          <w:t>CYPRESS Issue Tracker</w:t>
        </w:r>
      </w:hyperlink>
      <w:r w:rsidRPr="005E64B8">
        <w:rPr>
          <w:color w:val="000000"/>
        </w:rPr>
        <w:t>—Certification testing tool test cases and implementation issues</w:t>
      </w:r>
    </w:p>
    <w:p w14:paraId="00000232" w14:textId="0A0B8E91" w:rsidR="00D67C8C" w:rsidRPr="005E64B8" w:rsidRDefault="00C80A11" w:rsidP="006123E2">
      <w:pPr>
        <w:pStyle w:val="ListBullet"/>
        <w:rPr>
          <w:color w:val="000000"/>
        </w:rPr>
      </w:pPr>
      <w:hyperlink r:id="rId132">
        <w:r>
          <w:rPr>
            <w:color w:val="0563C1"/>
            <w:u w:val="single"/>
          </w:rPr>
          <w:t>eCQM Issue Tracker</w:t>
        </w:r>
      </w:hyperlink>
      <w:r w:rsidRPr="005E64B8">
        <w:rPr>
          <w:color w:val="000000"/>
        </w:rPr>
        <w:t>—eCQM implementation and value sets issues</w:t>
      </w:r>
    </w:p>
    <w:p w14:paraId="00000233" w14:textId="7869057F" w:rsidR="00D67C8C" w:rsidRPr="005E64B8" w:rsidRDefault="00C80A11" w:rsidP="006123E2">
      <w:pPr>
        <w:pStyle w:val="ListBullet"/>
        <w:rPr>
          <w:color w:val="000000"/>
        </w:rPr>
      </w:pPr>
      <w:hyperlink r:id="rId133">
        <w:r>
          <w:rPr>
            <w:color w:val="0563C1"/>
            <w:u w:val="single"/>
          </w:rPr>
          <w:t xml:space="preserve">eCQM Known Issues </w:t>
        </w:r>
      </w:hyperlink>
      <w:r w:rsidRPr="005E64B8">
        <w:rPr>
          <w:color w:val="000000"/>
        </w:rPr>
        <w:t>—Implementation information on eCQMs with known technical issues for which a solution is under development but not yet available in a published eCQM specification</w:t>
      </w:r>
    </w:p>
    <w:p w14:paraId="00000234" w14:textId="5116AD92" w:rsidR="00D67C8C" w:rsidRDefault="00C80A11" w:rsidP="006123E2">
      <w:pPr>
        <w:pStyle w:val="ListBullet"/>
        <w:rPr>
          <w:color w:val="000000"/>
        </w:rPr>
      </w:pPr>
      <w:hyperlink r:id="rId134" w:history="1">
        <w:r>
          <w:rPr>
            <w:color w:val="0563C1"/>
            <w:u w:val="single"/>
          </w:rPr>
          <w:t>MADiE Issue Tracker</w:t>
        </w:r>
      </w:hyperlink>
      <w:r>
        <w:rPr>
          <w:color w:val="000000"/>
        </w:rPr>
        <w:t>—eCQM development and testing tool issues</w:t>
      </w:r>
    </w:p>
    <w:p w14:paraId="00000236" w14:textId="00336FFE" w:rsidR="00D67C8C" w:rsidRPr="005E64B8" w:rsidRDefault="00C80A11" w:rsidP="006123E2">
      <w:pPr>
        <w:pStyle w:val="ListBullet"/>
        <w:rPr>
          <w:color w:val="000000"/>
        </w:rPr>
      </w:pPr>
      <w:hyperlink r:id="rId135">
        <w:r>
          <w:rPr>
            <w:color w:val="0563C1"/>
            <w:u w:val="single"/>
          </w:rPr>
          <w:t>QDM Issue Tracker</w:t>
        </w:r>
      </w:hyperlink>
      <w:r w:rsidRPr="005E64B8">
        <w:rPr>
          <w:color w:val="000000"/>
        </w:rPr>
        <w:t>—QDM development and implementation issues</w:t>
      </w:r>
    </w:p>
    <w:p w14:paraId="00000237" w14:textId="168E3B65" w:rsidR="00D67C8C" w:rsidRPr="005E64B8" w:rsidRDefault="00C80A11" w:rsidP="006123E2">
      <w:pPr>
        <w:pStyle w:val="ListBullet"/>
        <w:rPr>
          <w:color w:val="000000"/>
        </w:rPr>
      </w:pPr>
      <w:hyperlink r:id="rId136">
        <w:r>
          <w:rPr>
            <w:color w:val="0563C1"/>
            <w:u w:val="single"/>
          </w:rPr>
          <w:t>QRDA Issue Tracker</w:t>
        </w:r>
      </w:hyperlink>
      <w:r w:rsidRPr="005E64B8">
        <w:rPr>
          <w:color w:val="000000"/>
        </w:rPr>
        <w:t>—QRDA implementation issues</w:t>
      </w:r>
    </w:p>
    <w:p w14:paraId="00000238" w14:textId="4C5C7690" w:rsidR="00D67C8C" w:rsidRDefault="00C80A11" w:rsidP="006123E2">
      <w:pPr>
        <w:pStyle w:val="ListBullet"/>
        <w:rPr>
          <w:color w:val="000000"/>
        </w:rPr>
      </w:pPr>
      <w:hyperlink r:id="rId137">
        <w:r>
          <w:rPr>
            <w:color w:val="0563C1"/>
            <w:u w:val="single"/>
          </w:rPr>
          <w:t xml:space="preserve">QDM Known Issues </w:t>
        </w:r>
      </w:hyperlink>
      <w:r>
        <w:t xml:space="preserve">—Guidance for eCQM developers and implementers on interpreting QDM attributes </w:t>
      </w:r>
      <w:r>
        <w:rPr>
          <w:color w:val="000000"/>
        </w:rPr>
        <w:t>located on the CQL Formatting and Usage Wiki (not in Jira)</w:t>
      </w:r>
    </w:p>
    <w:p w14:paraId="00000239" w14:textId="7F25CC7B" w:rsidR="00D67C8C" w:rsidRPr="005E64B8" w:rsidRDefault="00C80A11" w:rsidP="006123E2">
      <w:pPr>
        <w:pStyle w:val="ListBullet"/>
        <w:rPr>
          <w:color w:val="000000"/>
        </w:rPr>
      </w:pPr>
      <w:hyperlink r:id="rId138">
        <w:r>
          <w:rPr>
            <w:color w:val="0563C1"/>
            <w:u w:val="single"/>
          </w:rPr>
          <w:t>QRDA Known Issue</w:t>
        </w:r>
      </w:hyperlink>
      <w:r w:rsidR="00E77CC6">
        <w:rPr>
          <w:color w:val="0563C1"/>
          <w:u w:val="single"/>
        </w:rPr>
        <w:t>s Dashboard</w:t>
      </w:r>
      <w:r w:rsidRPr="005E64B8">
        <w:rPr>
          <w:color w:val="000000"/>
        </w:rPr>
        <w:t>—</w:t>
      </w:r>
      <w:r w:rsidRPr="005E64B8">
        <w:rPr>
          <w:color w:val="000000"/>
          <w:highlight w:val="white"/>
        </w:rPr>
        <w:t>Implementation information for QRDA IGs or supporting documents with known technical issues for which a solution is under development but not yet published</w:t>
      </w:r>
    </w:p>
    <w:p w14:paraId="0000023A" w14:textId="7ACCC926" w:rsidR="00D67C8C" w:rsidRPr="005E64B8" w:rsidRDefault="00C80A11" w:rsidP="006123E2">
      <w:pPr>
        <w:pStyle w:val="ListBullet"/>
        <w:rPr>
          <w:color w:val="000000"/>
        </w:rPr>
      </w:pPr>
      <w:hyperlink r:id="rId139">
        <w:r>
          <w:rPr>
            <w:color w:val="0563C1"/>
            <w:highlight w:val="white"/>
            <w:u w:val="single"/>
          </w:rPr>
          <w:t>USCDI+ Quality</w:t>
        </w:r>
      </w:hyperlink>
      <w:r w:rsidRPr="005E64B8">
        <w:rPr>
          <w:color w:val="000000"/>
        </w:rPr>
        <w:t>—Feedback on draft USCDI+ Quality data element list</w:t>
      </w:r>
    </w:p>
    <w:p w14:paraId="0000023B" w14:textId="63416393" w:rsidR="00D67C8C" w:rsidRDefault="00A84666" w:rsidP="006123E2">
      <w:pPr>
        <w:pStyle w:val="ParagraphContinued"/>
      </w:pPr>
      <w:r>
        <w:t>A user must create an accoun</w:t>
      </w:r>
      <w:r w:rsidRPr="00E77CC6">
        <w:t xml:space="preserve">t to </w:t>
      </w:r>
      <w:r w:rsidR="00E77CC6" w:rsidRPr="00E77CC6">
        <w:t>submit</w:t>
      </w:r>
      <w:r w:rsidRPr="00E77CC6">
        <w:t>, watch</w:t>
      </w:r>
      <w:r>
        <w:t>, or comment on an issue. Before reporting a new issue, eCQM interested parties should first search the applicable Jira project to determine whether a similar question has been previously submitted and addressed. If someone previously reported a similar issue, interested parties can follow the issue and receive updates.</w:t>
      </w:r>
    </w:p>
    <w:p w14:paraId="0000023C" w14:textId="2700DB37" w:rsidR="00D67C8C" w:rsidRDefault="00C80A11" w:rsidP="006123E2">
      <w:pPr>
        <w:pStyle w:val="Paragraph"/>
      </w:pPr>
      <w:bookmarkStart w:id="448" w:name="_heading=h.1c1lvlb" w:colFirst="0" w:colLast="0"/>
      <w:bookmarkStart w:id="449" w:name="_Hlk510090837"/>
      <w:bookmarkEnd w:id="448"/>
      <w:r>
        <w:t xml:space="preserve">When reporting a new issue, </w:t>
      </w:r>
      <w:r w:rsidR="0055322D">
        <w:t>interested parties</w:t>
      </w:r>
      <w:r>
        <w:t xml:space="preserve"> should fill out the ticket completely, selecting a title summarizing the issue, describing the issue in the description field, including the measure name and version number</w:t>
      </w:r>
      <w:r w:rsidR="00262A8E">
        <w:t xml:space="preserve"> whe</w:t>
      </w:r>
      <w:r w:rsidR="003837DE">
        <w:t>n</w:t>
      </w:r>
      <w:r w:rsidR="00262A8E">
        <w:t xml:space="preserve"> applicable</w:t>
      </w:r>
      <w:r>
        <w:t xml:space="preserve">, and selecting an appropriate issue type. CMS encourages </w:t>
      </w:r>
      <w:r w:rsidR="0055322D">
        <w:t>interested parties</w:t>
      </w:r>
      <w:r>
        <w:t xml:space="preserve"> to add attachments—</w:t>
      </w:r>
      <w:r w:rsidR="003837DE">
        <w:t xml:space="preserve">though </w:t>
      </w:r>
      <w:r>
        <w:t xml:space="preserve">never </w:t>
      </w:r>
      <w:r w:rsidR="003837DE">
        <w:t xml:space="preserve">any that </w:t>
      </w:r>
      <w:r>
        <w:t>includ</w:t>
      </w:r>
      <w:r w:rsidR="003837DE">
        <w:t>e</w:t>
      </w:r>
      <w:r>
        <w:t xml:space="preserve"> protected health information—to facilitate a quick and accurate response. If </w:t>
      </w:r>
      <w:r w:rsidR="0055322D">
        <w:t>interested parties</w:t>
      </w:r>
      <w:r>
        <w:t xml:space="preserve"> enter insufficient information, the assignee will be unable to provide a response until the </w:t>
      </w:r>
      <w:r w:rsidR="0055322D">
        <w:t>interested party</w:t>
      </w:r>
      <w:r>
        <w:t xml:space="preserve"> updates the ticket. If the </w:t>
      </w:r>
      <w:r w:rsidR="0055322D">
        <w:t>interested party</w:t>
      </w:r>
      <w:r>
        <w:t xml:space="preserve"> does not provide clarifying information within 10 business days of submitting the initial inquiry, the administrator will close the ticket. Once the assignee provides a solution, the assignee will update the ticket to a status of “Closed.” Please note, there may be delays in responding to issues requiring feedback from more than one </w:t>
      </w:r>
      <w:r w:rsidR="00EB232A">
        <w:t>team</w:t>
      </w:r>
      <w:r w:rsidR="00117111">
        <w:t xml:space="preserve"> or assignee</w:t>
      </w:r>
      <w:r>
        <w:t>.</w:t>
      </w:r>
    </w:p>
    <w:p w14:paraId="0000023D" w14:textId="7D4574C2" w:rsidR="00D67C8C" w:rsidRDefault="00C80A11" w:rsidP="006123E2">
      <w:pPr>
        <w:pStyle w:val="Paragraph"/>
        <w:sectPr w:rsidR="00D67C8C" w:rsidSect="005E64B8">
          <w:headerReference w:type="even" r:id="rId140"/>
          <w:headerReference w:type="default" r:id="rId141"/>
          <w:footerReference w:type="default" r:id="rId142"/>
          <w:headerReference w:type="first" r:id="rId143"/>
          <w:pgSz w:w="12240" w:h="15840"/>
          <w:pgMar w:top="1440" w:right="1440" w:bottom="1440" w:left="1440" w:header="504" w:footer="504" w:gutter="0"/>
          <w:cols w:space="720"/>
          <w:titlePg/>
        </w:sectPr>
      </w:pPr>
      <w:r>
        <w:t xml:space="preserve">If a response is insufficient to answer an issue, the </w:t>
      </w:r>
      <w:r w:rsidR="00FA525B">
        <w:t>interested party</w:t>
      </w:r>
      <w:r>
        <w:t xml:space="preserve"> may add a comment to the existing issue and explicitly state how the previous answer did not adequately address the issue, </w:t>
      </w:r>
      <w:r>
        <w:lastRenderedPageBreak/>
        <w:t>citing any previous ticket numbers if applicable. It is appropriate to comment regarding a missing resolution if there has not been any update or response in more than 10 business days and there is no comment from the assignee explaining the delay or when the resolution will be available.</w:t>
      </w:r>
    </w:p>
    <w:p w14:paraId="0000023E" w14:textId="11FAD6CC" w:rsidR="00D67C8C" w:rsidRDefault="00F07F06" w:rsidP="00F07F06">
      <w:pPr>
        <w:pStyle w:val="H1-Num"/>
      </w:pPr>
      <w:bookmarkStart w:id="450" w:name="_heading=h.3w19e94" w:colFirst="0" w:colLast="0"/>
      <w:bookmarkStart w:id="451" w:name="_Toc23176776"/>
      <w:bookmarkStart w:id="452" w:name="_Toc56635403"/>
      <w:bookmarkStart w:id="453" w:name="_Toc64983095"/>
      <w:bookmarkStart w:id="454" w:name="_Toc159578405"/>
      <w:bookmarkStart w:id="455" w:name="_Toc194959025"/>
      <w:bookmarkStart w:id="456" w:name="_Toc194994775"/>
      <w:bookmarkEnd w:id="450"/>
      <w:r>
        <w:lastRenderedPageBreak/>
        <w:t>6.</w:t>
      </w:r>
      <w:r>
        <w:tab/>
      </w:r>
      <w:r w:rsidR="00C80A11" w:rsidRPr="005E64B8">
        <w:t>CMS Quality Program Helpdesks</w:t>
      </w:r>
      <w:bookmarkEnd w:id="451"/>
      <w:bookmarkEnd w:id="452"/>
      <w:bookmarkEnd w:id="453"/>
      <w:bookmarkEnd w:id="454"/>
      <w:bookmarkEnd w:id="455"/>
      <w:bookmarkEnd w:id="456"/>
    </w:p>
    <w:bookmarkEnd w:id="449"/>
    <w:p w14:paraId="0000023F" w14:textId="2FA6F287" w:rsidR="00D67C8C" w:rsidRDefault="00C80A11" w:rsidP="00F07F06">
      <w:pPr>
        <w:pStyle w:val="ParagraphContinued"/>
      </w:pPr>
      <w:r>
        <w:t>Questions regarding CMS quality and value-based purchasing program reporting requirements can be addressed to</w:t>
      </w:r>
      <w:r w:rsidR="00A84666">
        <w:t xml:space="preserve"> </w:t>
      </w:r>
      <w:r>
        <w:t>the following Helpdesks.</w:t>
      </w:r>
    </w:p>
    <w:p w14:paraId="00000240" w14:textId="5E8A7BD7" w:rsidR="00D67C8C" w:rsidRPr="005E64B8" w:rsidRDefault="00C80A11" w:rsidP="00F40704">
      <w:pPr>
        <w:pStyle w:val="TableTitle"/>
      </w:pPr>
      <w:bookmarkStart w:id="457" w:name="_heading=h.2b6jogx" w:colFirst="0" w:colLast="0"/>
      <w:bookmarkStart w:id="458" w:name="_Toc159578220"/>
      <w:bookmarkStart w:id="459" w:name="_Toc195001987"/>
      <w:bookmarkEnd w:id="457"/>
      <w:r w:rsidRPr="005E64B8">
        <w:t xml:space="preserve">Table </w:t>
      </w:r>
      <w:r w:rsidR="003837DE">
        <w:t>6</w:t>
      </w:r>
      <w:r w:rsidRPr="005E64B8">
        <w:t>.1. Helpdesk Contact Information for CMS Quality Reporting Programs</w:t>
      </w:r>
      <w:bookmarkEnd w:id="458"/>
      <w:bookmarkEnd w:id="459"/>
    </w:p>
    <w:tbl>
      <w:tblPr>
        <w:tblStyle w:val="BaseTable"/>
        <w:tblW w:w="936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4A0" w:firstRow="1" w:lastRow="0" w:firstColumn="1" w:lastColumn="0" w:noHBand="0" w:noVBand="1"/>
      </w:tblPr>
      <w:tblGrid>
        <w:gridCol w:w="4945"/>
        <w:gridCol w:w="4415"/>
      </w:tblGrid>
      <w:tr w:rsidR="00D67C8C" w:rsidRPr="00F40704" w14:paraId="35132E26" w14:textId="77777777" w:rsidTr="00F40704">
        <w:trPr>
          <w:cnfStyle w:val="100000000000" w:firstRow="1" w:lastRow="0" w:firstColumn="0" w:lastColumn="0" w:oddVBand="0" w:evenVBand="0" w:oddHBand="0" w:evenHBand="0" w:firstRowFirstColumn="0" w:firstRowLastColumn="0" w:lastRowFirstColumn="0" w:lastRowLastColumn="0"/>
          <w:trHeight w:val="120"/>
          <w:tblHeader/>
        </w:trPr>
        <w:tc>
          <w:tcPr>
            <w:tcW w:w="4945" w:type="dxa"/>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D5DCE4"/>
          </w:tcPr>
          <w:p w14:paraId="00000241" w14:textId="77777777" w:rsidR="00D67C8C" w:rsidRPr="00F40704" w:rsidRDefault="00C80A11" w:rsidP="00F40704">
            <w:pPr>
              <w:pStyle w:val="TableHeaderCenter"/>
            </w:pPr>
            <w:r w:rsidRPr="00F40704">
              <w:t>CMS Quality Reporting Program</w:t>
            </w:r>
          </w:p>
        </w:tc>
        <w:tc>
          <w:tcPr>
            <w:tcW w:w="4415" w:type="dxa"/>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D5DCE4"/>
          </w:tcPr>
          <w:p w14:paraId="00000242" w14:textId="77777777" w:rsidR="00D67C8C" w:rsidRPr="00F40704" w:rsidRDefault="00C80A11" w:rsidP="00F40704">
            <w:pPr>
              <w:pStyle w:val="TableHeaderCenter"/>
            </w:pPr>
            <w:r w:rsidRPr="00F40704">
              <w:t>Helpdesk Contact Info</w:t>
            </w:r>
          </w:p>
        </w:tc>
      </w:tr>
      <w:tr w:rsidR="00D67C8C" w:rsidRPr="00F40704" w14:paraId="3BDE2B04" w14:textId="77777777" w:rsidTr="00F40704">
        <w:trPr>
          <w:trHeight w:val="120"/>
        </w:trPr>
        <w:tc>
          <w:tcPr>
            <w:tcW w:w="4945" w:type="dxa"/>
          </w:tcPr>
          <w:p w14:paraId="00000243" w14:textId="419C899E" w:rsidR="00D67C8C" w:rsidRPr="00F40704" w:rsidRDefault="00C80A11" w:rsidP="00F40704">
            <w:pPr>
              <w:pStyle w:val="TableTextLeft"/>
              <w:rPr>
                <w:sz w:val="20"/>
                <w:szCs w:val="20"/>
              </w:rPr>
            </w:pPr>
            <w:r w:rsidRPr="00F40704">
              <w:rPr>
                <w:sz w:val="20"/>
                <w:szCs w:val="20"/>
              </w:rPr>
              <w:t>Hospital Inpatient Quality Reporting (IQR)</w:t>
            </w:r>
            <w:r w:rsidR="00DF4B47" w:rsidRPr="00F40704">
              <w:rPr>
                <w:sz w:val="20"/>
                <w:szCs w:val="20"/>
              </w:rPr>
              <w:t xml:space="preserve"> and PPS-</w:t>
            </w:r>
            <w:r w:rsidR="007B1728" w:rsidRPr="00F40704">
              <w:rPr>
                <w:sz w:val="20"/>
                <w:szCs w:val="20"/>
              </w:rPr>
              <w:t>E</w:t>
            </w:r>
            <w:r w:rsidR="00DF4B47" w:rsidRPr="00F40704">
              <w:rPr>
                <w:sz w:val="20"/>
                <w:szCs w:val="20"/>
              </w:rPr>
              <w:t>xempt Cancer Hospital</w:t>
            </w:r>
            <w:r w:rsidR="007B1728" w:rsidRPr="00F40704">
              <w:rPr>
                <w:sz w:val="20"/>
                <w:szCs w:val="20"/>
              </w:rPr>
              <w:t xml:space="preserve"> Quality Reporting (PCHQR)</w:t>
            </w:r>
          </w:p>
        </w:tc>
        <w:tc>
          <w:tcPr>
            <w:tcW w:w="4415" w:type="dxa"/>
          </w:tcPr>
          <w:p w14:paraId="00000244" w14:textId="77777777" w:rsidR="00D67C8C" w:rsidRPr="00F40704" w:rsidRDefault="00C80A11" w:rsidP="00F40704">
            <w:pPr>
              <w:pStyle w:val="TableTextLeft"/>
              <w:rPr>
                <w:sz w:val="20"/>
                <w:szCs w:val="20"/>
              </w:rPr>
            </w:pPr>
            <w:r w:rsidRPr="00F40704">
              <w:rPr>
                <w:sz w:val="20"/>
                <w:szCs w:val="20"/>
              </w:rPr>
              <w:t>Hospital Inpatient Support Team</w:t>
            </w:r>
          </w:p>
          <w:p w14:paraId="00000245" w14:textId="77777777" w:rsidR="00D67C8C" w:rsidRPr="00F40704" w:rsidRDefault="00C80A11" w:rsidP="00F40704">
            <w:pPr>
              <w:pStyle w:val="TableTextLeft"/>
              <w:rPr>
                <w:sz w:val="20"/>
                <w:szCs w:val="20"/>
              </w:rPr>
            </w:pPr>
            <w:hyperlink r:id="rId144">
              <w:r w:rsidRPr="00F40704">
                <w:rPr>
                  <w:color w:val="0563C1"/>
                  <w:sz w:val="20"/>
                  <w:szCs w:val="20"/>
                  <w:u w:val="single"/>
                </w:rPr>
                <w:t>Quality Question and Answer Tool</w:t>
              </w:r>
            </w:hyperlink>
          </w:p>
          <w:p w14:paraId="00000246" w14:textId="77777777" w:rsidR="00D67C8C" w:rsidRPr="00F40704" w:rsidRDefault="00C80A11" w:rsidP="00F40704">
            <w:pPr>
              <w:pStyle w:val="TableTextLeft"/>
              <w:rPr>
                <w:sz w:val="20"/>
                <w:szCs w:val="20"/>
              </w:rPr>
            </w:pPr>
            <w:r w:rsidRPr="00F40704">
              <w:rPr>
                <w:sz w:val="20"/>
                <w:szCs w:val="20"/>
              </w:rPr>
              <w:t>(844) 472-4477</w:t>
            </w:r>
          </w:p>
        </w:tc>
      </w:tr>
      <w:tr w:rsidR="00D67C8C" w:rsidRPr="00F40704" w14:paraId="55250FAB" w14:textId="77777777" w:rsidTr="00F40704">
        <w:trPr>
          <w:trHeight w:val="120"/>
        </w:trPr>
        <w:tc>
          <w:tcPr>
            <w:tcW w:w="4945" w:type="dxa"/>
          </w:tcPr>
          <w:p w14:paraId="00000247" w14:textId="6D507C18" w:rsidR="00D67C8C" w:rsidRPr="00F40704" w:rsidRDefault="00C80A11" w:rsidP="00F40704">
            <w:pPr>
              <w:pStyle w:val="TableTextLeft"/>
              <w:rPr>
                <w:sz w:val="20"/>
                <w:szCs w:val="20"/>
              </w:rPr>
            </w:pPr>
            <w:r w:rsidRPr="00F40704">
              <w:rPr>
                <w:sz w:val="20"/>
                <w:szCs w:val="20"/>
              </w:rPr>
              <w:t>Hospital Outpatient Quality Reporting (OQR)</w:t>
            </w:r>
            <w:r w:rsidR="00DF4B47" w:rsidRPr="00F40704">
              <w:rPr>
                <w:sz w:val="20"/>
                <w:szCs w:val="20"/>
              </w:rPr>
              <w:t xml:space="preserve"> and Rural Emergency Hospital</w:t>
            </w:r>
            <w:r w:rsidR="007B1728" w:rsidRPr="00F40704">
              <w:rPr>
                <w:sz w:val="20"/>
                <w:szCs w:val="20"/>
              </w:rPr>
              <w:t xml:space="preserve"> Quality Reporting (REHQR)</w:t>
            </w:r>
          </w:p>
        </w:tc>
        <w:tc>
          <w:tcPr>
            <w:tcW w:w="4415" w:type="dxa"/>
          </w:tcPr>
          <w:p w14:paraId="00000248" w14:textId="77777777" w:rsidR="00D67C8C" w:rsidRPr="00F40704" w:rsidRDefault="00C80A11" w:rsidP="00F40704">
            <w:pPr>
              <w:pStyle w:val="TableTextLeft"/>
              <w:rPr>
                <w:sz w:val="20"/>
                <w:szCs w:val="20"/>
              </w:rPr>
            </w:pPr>
            <w:r w:rsidRPr="00F40704">
              <w:rPr>
                <w:sz w:val="20"/>
                <w:szCs w:val="20"/>
              </w:rPr>
              <w:t>Hospital OQR Support</w:t>
            </w:r>
          </w:p>
          <w:p w14:paraId="00000249" w14:textId="77777777" w:rsidR="00D67C8C" w:rsidRPr="00F40704" w:rsidRDefault="00C80A11" w:rsidP="00F40704">
            <w:pPr>
              <w:pStyle w:val="TableTextLeft"/>
              <w:rPr>
                <w:sz w:val="20"/>
                <w:szCs w:val="20"/>
              </w:rPr>
            </w:pPr>
            <w:hyperlink r:id="rId145">
              <w:r w:rsidRPr="00F40704">
                <w:rPr>
                  <w:color w:val="0563C1"/>
                  <w:sz w:val="20"/>
                  <w:szCs w:val="20"/>
                  <w:u w:val="single"/>
                </w:rPr>
                <w:t>Quality Question and Answer Tool</w:t>
              </w:r>
            </w:hyperlink>
          </w:p>
          <w:p w14:paraId="0000024A" w14:textId="77777777" w:rsidR="00D67C8C" w:rsidRPr="00F40704" w:rsidRDefault="00C80A11" w:rsidP="00F40704">
            <w:pPr>
              <w:pStyle w:val="TableTextLeft"/>
              <w:rPr>
                <w:sz w:val="20"/>
                <w:szCs w:val="20"/>
              </w:rPr>
            </w:pPr>
            <w:r w:rsidRPr="00F40704">
              <w:rPr>
                <w:sz w:val="20"/>
                <w:szCs w:val="20"/>
              </w:rPr>
              <w:t>(866) 800-8756</w:t>
            </w:r>
          </w:p>
        </w:tc>
      </w:tr>
      <w:tr w:rsidR="00D67C8C" w:rsidRPr="00F40704" w14:paraId="09D6FD73" w14:textId="77777777" w:rsidTr="00F40704">
        <w:trPr>
          <w:trHeight w:val="120"/>
        </w:trPr>
        <w:tc>
          <w:tcPr>
            <w:tcW w:w="4945" w:type="dxa"/>
          </w:tcPr>
          <w:p w14:paraId="0000024B" w14:textId="77777777" w:rsidR="00D67C8C" w:rsidRPr="00F40704" w:rsidRDefault="00C80A11" w:rsidP="00F40704">
            <w:pPr>
              <w:pStyle w:val="TableTextLeft"/>
              <w:rPr>
                <w:sz w:val="20"/>
                <w:szCs w:val="20"/>
              </w:rPr>
            </w:pPr>
            <w:r w:rsidRPr="00F40704">
              <w:rPr>
                <w:sz w:val="20"/>
                <w:szCs w:val="20"/>
              </w:rPr>
              <w:t>Quality Payment Program (QPP)</w:t>
            </w:r>
          </w:p>
        </w:tc>
        <w:tc>
          <w:tcPr>
            <w:tcW w:w="4415" w:type="dxa"/>
          </w:tcPr>
          <w:p w14:paraId="05AAFA13" w14:textId="267584FF" w:rsidR="001E4E40" w:rsidRPr="00EF07A0" w:rsidRDefault="001E4E40" w:rsidP="00F40704">
            <w:pPr>
              <w:pStyle w:val="TableTextLeft"/>
              <w:rPr>
                <w:sz w:val="20"/>
                <w:szCs w:val="24"/>
              </w:rPr>
            </w:pPr>
            <w:hyperlink r:id="rId146" w:history="1">
              <w:r w:rsidRPr="00EF07A0">
                <w:rPr>
                  <w:rStyle w:val="Hyperlink"/>
                  <w:szCs w:val="24"/>
                </w:rPr>
                <w:t>QPP Service Center</w:t>
              </w:r>
            </w:hyperlink>
          </w:p>
          <w:p w14:paraId="0000024C" w14:textId="17DFF447" w:rsidR="00D67C8C" w:rsidRPr="00F40704" w:rsidRDefault="00C80A11" w:rsidP="00F40704">
            <w:pPr>
              <w:pStyle w:val="TableTextLeft"/>
              <w:rPr>
                <w:sz w:val="20"/>
                <w:szCs w:val="20"/>
              </w:rPr>
            </w:pPr>
            <w:hyperlink r:id="rId147">
              <w:r w:rsidRPr="00F40704">
                <w:rPr>
                  <w:color w:val="0563C1"/>
                  <w:sz w:val="20"/>
                  <w:szCs w:val="20"/>
                  <w:u w:val="single"/>
                </w:rPr>
                <w:t>QPP@cms.hhs.gov</w:t>
              </w:r>
            </w:hyperlink>
            <w:r w:rsidRPr="00F40704">
              <w:rPr>
                <w:sz w:val="20"/>
                <w:szCs w:val="20"/>
              </w:rPr>
              <w:t xml:space="preserve"> </w:t>
            </w:r>
          </w:p>
          <w:p w14:paraId="0000024D" w14:textId="77777777" w:rsidR="00D67C8C" w:rsidRPr="00F40704" w:rsidRDefault="00C80A11" w:rsidP="00F40704">
            <w:pPr>
              <w:pStyle w:val="TableTextLeft"/>
              <w:rPr>
                <w:sz w:val="20"/>
                <w:szCs w:val="20"/>
              </w:rPr>
            </w:pPr>
            <w:r w:rsidRPr="00F40704">
              <w:rPr>
                <w:sz w:val="20"/>
                <w:szCs w:val="20"/>
              </w:rPr>
              <w:t>(866) 288-8292</w:t>
            </w:r>
          </w:p>
        </w:tc>
      </w:tr>
      <w:tr w:rsidR="00D67C8C" w:rsidRPr="00F40704" w14:paraId="17C5CE97" w14:textId="77777777" w:rsidTr="00F40704">
        <w:trPr>
          <w:trHeight w:val="120"/>
        </w:trPr>
        <w:tc>
          <w:tcPr>
            <w:tcW w:w="4945" w:type="dxa"/>
          </w:tcPr>
          <w:p w14:paraId="0000024E" w14:textId="77777777" w:rsidR="00D67C8C" w:rsidRPr="00F40704" w:rsidRDefault="00C80A11" w:rsidP="00F40704">
            <w:pPr>
              <w:pStyle w:val="TableTextLeft"/>
              <w:rPr>
                <w:sz w:val="20"/>
                <w:szCs w:val="20"/>
              </w:rPr>
            </w:pPr>
            <w:r w:rsidRPr="00F40704">
              <w:rPr>
                <w:sz w:val="20"/>
                <w:szCs w:val="20"/>
              </w:rPr>
              <w:t>Medicare Promoting Interoperability (formerly EHR Incentive) Programs</w:t>
            </w:r>
          </w:p>
          <w:p w14:paraId="0000024F" w14:textId="77777777" w:rsidR="00D67C8C" w:rsidRPr="00F40704" w:rsidRDefault="00C80A11" w:rsidP="00F40704">
            <w:pPr>
              <w:pStyle w:val="TableTextLeft"/>
              <w:rPr>
                <w:sz w:val="20"/>
                <w:szCs w:val="20"/>
              </w:rPr>
            </w:pPr>
            <w:proofErr w:type="spellStart"/>
            <w:r w:rsidRPr="00F40704">
              <w:rPr>
                <w:sz w:val="20"/>
                <w:szCs w:val="20"/>
                <w:highlight w:val="white"/>
              </w:rPr>
              <w:t>QualityNet</w:t>
            </w:r>
            <w:proofErr w:type="spellEnd"/>
            <w:r w:rsidRPr="00F40704">
              <w:rPr>
                <w:b/>
                <w:color w:val="242424"/>
                <w:sz w:val="20"/>
                <w:szCs w:val="20"/>
                <w:highlight w:val="white"/>
              </w:rPr>
              <w:t> </w:t>
            </w:r>
            <w:r w:rsidRPr="00F40704">
              <w:rPr>
                <w:sz w:val="20"/>
                <w:szCs w:val="20"/>
              </w:rPr>
              <w:t>reporting and data uploads</w:t>
            </w:r>
          </w:p>
        </w:tc>
        <w:tc>
          <w:tcPr>
            <w:tcW w:w="4415" w:type="dxa"/>
          </w:tcPr>
          <w:p w14:paraId="00000250" w14:textId="77777777" w:rsidR="00D67C8C" w:rsidRPr="00F40704" w:rsidRDefault="00C80A11" w:rsidP="00F40704">
            <w:pPr>
              <w:pStyle w:val="TableTextLeft"/>
              <w:rPr>
                <w:sz w:val="20"/>
                <w:szCs w:val="20"/>
              </w:rPr>
            </w:pPr>
            <w:hyperlink r:id="rId148">
              <w:r w:rsidRPr="00F40704">
                <w:rPr>
                  <w:color w:val="0563C1"/>
                  <w:sz w:val="20"/>
                  <w:szCs w:val="20"/>
                  <w:u w:val="single"/>
                </w:rPr>
                <w:t>QNetSupport@cms.hhs.gov</w:t>
              </w:r>
            </w:hyperlink>
          </w:p>
          <w:p w14:paraId="00000251" w14:textId="77777777" w:rsidR="00D67C8C" w:rsidRPr="00F40704" w:rsidRDefault="00C80A11" w:rsidP="00F40704">
            <w:pPr>
              <w:pStyle w:val="TableTextLeft"/>
              <w:rPr>
                <w:sz w:val="20"/>
                <w:szCs w:val="20"/>
              </w:rPr>
            </w:pPr>
            <w:r w:rsidRPr="00F40704">
              <w:rPr>
                <w:color w:val="242424"/>
                <w:sz w:val="20"/>
                <w:szCs w:val="20"/>
                <w:highlight w:val="white"/>
              </w:rPr>
              <w:t>(866) 288-8912</w:t>
            </w:r>
          </w:p>
        </w:tc>
      </w:tr>
    </w:tbl>
    <w:p w14:paraId="00000252" w14:textId="77777777" w:rsidR="00D67C8C" w:rsidRDefault="00D67C8C">
      <w:pPr>
        <w:spacing w:after="160" w:line="259" w:lineRule="auto"/>
        <w:rPr>
          <w:color w:val="333333"/>
        </w:rPr>
        <w:sectPr w:rsidR="00D67C8C" w:rsidSect="005E64B8">
          <w:headerReference w:type="even" r:id="rId149"/>
          <w:headerReference w:type="default" r:id="rId150"/>
          <w:footerReference w:type="default" r:id="rId151"/>
          <w:headerReference w:type="first" r:id="rId152"/>
          <w:pgSz w:w="12240" w:h="15840"/>
          <w:pgMar w:top="1440" w:right="1440" w:bottom="1440" w:left="1440" w:header="504" w:footer="504" w:gutter="0"/>
          <w:cols w:space="720"/>
          <w:titlePg/>
        </w:sectPr>
      </w:pPr>
    </w:p>
    <w:p w14:paraId="00000253" w14:textId="77777777" w:rsidR="00D67C8C" w:rsidRPr="005E64B8" w:rsidRDefault="00C80A11" w:rsidP="00EB0AE4">
      <w:pPr>
        <w:pStyle w:val="AppendixTitle"/>
      </w:pPr>
      <w:bookmarkStart w:id="460" w:name="bookmark=id.qbtyoq" w:colFirst="0" w:colLast="0"/>
      <w:bookmarkStart w:id="461" w:name="_heading=h.3abhhcj" w:colFirst="0" w:colLast="0"/>
      <w:bookmarkStart w:id="462" w:name="VersionHistory"/>
      <w:bookmarkStart w:id="463" w:name="_Toc64983096"/>
      <w:bookmarkStart w:id="464" w:name="_Toc64983397"/>
      <w:bookmarkStart w:id="465" w:name="_Toc67046079"/>
      <w:bookmarkStart w:id="466" w:name="_Toc91742270"/>
      <w:bookmarkStart w:id="467" w:name="_Toc159578406"/>
      <w:bookmarkStart w:id="468" w:name="_Toc194959026"/>
      <w:bookmarkStart w:id="469" w:name="_Toc194994776"/>
      <w:bookmarkEnd w:id="460"/>
      <w:bookmarkEnd w:id="461"/>
      <w:r w:rsidRPr="005E64B8">
        <w:lastRenderedPageBreak/>
        <w:t>Version History</w:t>
      </w:r>
      <w:bookmarkEnd w:id="462"/>
      <w:bookmarkEnd w:id="463"/>
      <w:bookmarkEnd w:id="464"/>
      <w:bookmarkEnd w:id="465"/>
      <w:bookmarkEnd w:id="466"/>
      <w:bookmarkEnd w:id="467"/>
      <w:bookmarkEnd w:id="468"/>
      <w:bookmarkEnd w:id="469"/>
    </w:p>
    <w:tbl>
      <w:tblPr>
        <w:tblStyle w:val="BaseTable"/>
        <w:tblW w:w="9355"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4A0" w:firstRow="1" w:lastRow="0" w:firstColumn="1" w:lastColumn="0" w:noHBand="0" w:noVBand="1"/>
      </w:tblPr>
      <w:tblGrid>
        <w:gridCol w:w="1165"/>
        <w:gridCol w:w="1530"/>
        <w:gridCol w:w="1890"/>
        <w:gridCol w:w="4770"/>
      </w:tblGrid>
      <w:tr w:rsidR="00871419" w14:paraId="16935C85" w14:textId="77777777" w:rsidTr="00740DB4">
        <w:trPr>
          <w:cnfStyle w:val="100000000000" w:firstRow="1" w:lastRow="0" w:firstColumn="0" w:lastColumn="0" w:oddVBand="0" w:evenVBand="0" w:oddHBand="0" w:evenHBand="0" w:firstRowFirstColumn="0" w:firstRowLastColumn="0" w:lastRowFirstColumn="0" w:lastRowLastColumn="0"/>
          <w:trHeight w:val="120"/>
          <w:tblHeader/>
        </w:trPr>
        <w:tc>
          <w:tcPr>
            <w:tcW w:w="1165" w:type="dxa"/>
            <w:tcBorders>
              <w:bottom w:val="single" w:sz="4" w:space="0" w:color="000000" w:themeColor="text1"/>
            </w:tcBorders>
            <w:shd w:val="clear" w:color="auto" w:fill="D5DCE4"/>
          </w:tcPr>
          <w:p w14:paraId="00000254" w14:textId="77777777" w:rsidR="00D67C8C" w:rsidRPr="00865438" w:rsidRDefault="00C80A11" w:rsidP="00865438">
            <w:pPr>
              <w:pStyle w:val="TableHeaderLeft"/>
              <w:rPr>
                <w:b w:val="0"/>
                <w:color w:val="000000" w:themeColor="text1"/>
              </w:rPr>
            </w:pPr>
            <w:r w:rsidRPr="00865438">
              <w:rPr>
                <w:color w:val="000000" w:themeColor="text1"/>
              </w:rPr>
              <w:t>Version</w:t>
            </w:r>
          </w:p>
        </w:tc>
        <w:tc>
          <w:tcPr>
            <w:tcW w:w="1530" w:type="dxa"/>
            <w:tcBorders>
              <w:bottom w:val="single" w:sz="4" w:space="0" w:color="000000" w:themeColor="text1"/>
            </w:tcBorders>
            <w:shd w:val="clear" w:color="auto" w:fill="D5DCE4"/>
          </w:tcPr>
          <w:p w14:paraId="00000255" w14:textId="77777777" w:rsidR="00D67C8C" w:rsidRPr="00865438" w:rsidRDefault="00C80A11" w:rsidP="00865438">
            <w:pPr>
              <w:pStyle w:val="TableHeaderCenter"/>
              <w:rPr>
                <w:b w:val="0"/>
                <w:color w:val="000000" w:themeColor="text1"/>
              </w:rPr>
            </w:pPr>
            <w:r w:rsidRPr="00865438">
              <w:rPr>
                <w:color w:val="000000" w:themeColor="text1"/>
              </w:rPr>
              <w:t>Date</w:t>
            </w:r>
          </w:p>
        </w:tc>
        <w:tc>
          <w:tcPr>
            <w:tcW w:w="1890" w:type="dxa"/>
            <w:tcBorders>
              <w:bottom w:val="single" w:sz="4" w:space="0" w:color="000000" w:themeColor="text1"/>
            </w:tcBorders>
            <w:shd w:val="clear" w:color="auto" w:fill="D5DCE4"/>
          </w:tcPr>
          <w:p w14:paraId="00000256" w14:textId="01E9E4AB" w:rsidR="00D67C8C" w:rsidRPr="00865438" w:rsidRDefault="00C80A11" w:rsidP="00865438">
            <w:pPr>
              <w:pStyle w:val="TableHeaderCenter"/>
              <w:rPr>
                <w:b w:val="0"/>
                <w:color w:val="000000" w:themeColor="text1"/>
              </w:rPr>
            </w:pPr>
            <w:r w:rsidRPr="00865438">
              <w:rPr>
                <w:color w:val="000000" w:themeColor="text1"/>
              </w:rPr>
              <w:t>Author/</w:t>
            </w:r>
            <w:r w:rsidR="00E747B5">
              <w:rPr>
                <w:color w:val="000000" w:themeColor="text1"/>
              </w:rPr>
              <w:t>O</w:t>
            </w:r>
            <w:r w:rsidRPr="00865438">
              <w:rPr>
                <w:color w:val="000000" w:themeColor="text1"/>
              </w:rPr>
              <w:t>wner</w:t>
            </w:r>
          </w:p>
        </w:tc>
        <w:tc>
          <w:tcPr>
            <w:tcW w:w="4770" w:type="dxa"/>
            <w:shd w:val="clear" w:color="auto" w:fill="D5DCE4"/>
          </w:tcPr>
          <w:p w14:paraId="00000257" w14:textId="77777777" w:rsidR="00D67C8C" w:rsidRPr="00865438" w:rsidRDefault="00C80A11" w:rsidP="00865438">
            <w:pPr>
              <w:pStyle w:val="TableHeaderCenter"/>
              <w:rPr>
                <w:b w:val="0"/>
                <w:color w:val="000000" w:themeColor="text1"/>
              </w:rPr>
            </w:pPr>
            <w:r w:rsidRPr="00865438">
              <w:rPr>
                <w:color w:val="000000" w:themeColor="text1"/>
              </w:rPr>
              <w:t>Description of Change</w:t>
            </w:r>
          </w:p>
        </w:tc>
      </w:tr>
      <w:tr w:rsidR="00320541" w14:paraId="2E511E21" w14:textId="77777777" w:rsidTr="00034F34">
        <w:trPr>
          <w:trHeight w:val="120"/>
        </w:trPr>
        <w:tc>
          <w:tcPr>
            <w:tcW w:w="1165" w:type="dxa"/>
            <w:tcBorders>
              <w:bottom w:val="nil"/>
            </w:tcBorders>
          </w:tcPr>
          <w:p w14:paraId="00000258" w14:textId="77777777" w:rsidR="00D67C8C" w:rsidRPr="00E747B5" w:rsidRDefault="00C80A11" w:rsidP="00865438">
            <w:pPr>
              <w:pStyle w:val="TableTextLeft"/>
              <w:rPr>
                <w:sz w:val="20"/>
                <w:szCs w:val="20"/>
              </w:rPr>
            </w:pPr>
            <w:r w:rsidRPr="00E747B5">
              <w:rPr>
                <w:sz w:val="20"/>
                <w:szCs w:val="20"/>
              </w:rPr>
              <w:t>1.13</w:t>
            </w:r>
          </w:p>
        </w:tc>
        <w:tc>
          <w:tcPr>
            <w:tcW w:w="1530" w:type="dxa"/>
            <w:tcBorders>
              <w:bottom w:val="nil"/>
            </w:tcBorders>
          </w:tcPr>
          <w:p w14:paraId="00000259" w14:textId="77777777" w:rsidR="00D67C8C" w:rsidRPr="00E747B5" w:rsidRDefault="00C80A11" w:rsidP="00865438">
            <w:pPr>
              <w:pStyle w:val="TableTextLeft"/>
              <w:rPr>
                <w:sz w:val="20"/>
                <w:szCs w:val="20"/>
              </w:rPr>
            </w:pPr>
            <w:r w:rsidRPr="00E747B5">
              <w:rPr>
                <w:sz w:val="20"/>
                <w:szCs w:val="20"/>
              </w:rPr>
              <w:t>May 5, 2017</w:t>
            </w:r>
          </w:p>
        </w:tc>
        <w:tc>
          <w:tcPr>
            <w:tcW w:w="1890" w:type="dxa"/>
            <w:tcBorders>
              <w:bottom w:val="nil"/>
            </w:tcBorders>
          </w:tcPr>
          <w:p w14:paraId="0000025A" w14:textId="2AE0B11D" w:rsidR="00D67C8C" w:rsidRPr="00E747B5" w:rsidRDefault="00C80A11" w:rsidP="00865438">
            <w:pPr>
              <w:pStyle w:val="TableTextLeft"/>
              <w:rPr>
                <w:sz w:val="20"/>
                <w:szCs w:val="20"/>
              </w:rPr>
            </w:pPr>
            <w:r w:rsidRPr="00E747B5">
              <w:rPr>
                <w:sz w:val="20"/>
                <w:szCs w:val="20"/>
              </w:rPr>
              <w:t>CMS</w:t>
            </w:r>
            <w:r w:rsidR="00865438" w:rsidRPr="00E747B5">
              <w:rPr>
                <w:sz w:val="20"/>
                <w:szCs w:val="20"/>
              </w:rPr>
              <w:t>/</w:t>
            </w:r>
            <w:r w:rsidRPr="00E747B5">
              <w:rPr>
                <w:sz w:val="20"/>
                <w:szCs w:val="20"/>
              </w:rPr>
              <w:t>ONC (MITRE)</w:t>
            </w:r>
          </w:p>
        </w:tc>
        <w:tc>
          <w:tcPr>
            <w:tcW w:w="4770" w:type="dxa"/>
          </w:tcPr>
          <w:p w14:paraId="0000025B" w14:textId="77777777" w:rsidR="00D67C8C" w:rsidRPr="00E747B5" w:rsidRDefault="00C80A11" w:rsidP="00E747B5">
            <w:pPr>
              <w:pStyle w:val="TableListBullet"/>
              <w:rPr>
                <w:sz w:val="20"/>
                <w:szCs w:val="20"/>
              </w:rPr>
            </w:pPr>
            <w:r w:rsidRPr="00E747B5">
              <w:rPr>
                <w:sz w:val="20"/>
                <w:szCs w:val="20"/>
              </w:rPr>
              <w:t>Updated language in Introduction to include Merit-based Incentive Payment System Eligible Clinician and broadened from specific quality reporting programs to generic</w:t>
            </w:r>
          </w:p>
          <w:p w14:paraId="0000025C" w14:textId="77777777" w:rsidR="00D67C8C" w:rsidRPr="00E747B5" w:rsidRDefault="00C80A11" w:rsidP="00E747B5">
            <w:pPr>
              <w:pStyle w:val="TableListBullet"/>
              <w:rPr>
                <w:sz w:val="20"/>
                <w:szCs w:val="20"/>
              </w:rPr>
            </w:pPr>
            <w:r w:rsidRPr="00E747B5">
              <w:rPr>
                <w:sz w:val="20"/>
                <w:szCs w:val="20"/>
              </w:rPr>
              <w:t>Removed tools, resources, and standards references; now referencing the eCQI Resource Center for this information</w:t>
            </w:r>
          </w:p>
          <w:p w14:paraId="0000025D" w14:textId="77777777" w:rsidR="00D67C8C" w:rsidRPr="00E747B5" w:rsidRDefault="00C80A11" w:rsidP="00E747B5">
            <w:pPr>
              <w:pStyle w:val="TableListBullet"/>
              <w:rPr>
                <w:sz w:val="20"/>
                <w:szCs w:val="20"/>
              </w:rPr>
            </w:pPr>
            <w:r w:rsidRPr="00E747B5">
              <w:rPr>
                <w:sz w:val="20"/>
                <w:szCs w:val="20"/>
              </w:rPr>
              <w:t>Renumbered and updated Table 3, Example Inputs and Results for Overlap</w:t>
            </w:r>
          </w:p>
        </w:tc>
      </w:tr>
      <w:tr w:rsidR="00320541" w14:paraId="78FD9A39" w14:textId="77777777" w:rsidTr="00034F34">
        <w:trPr>
          <w:trHeight w:val="120"/>
        </w:trPr>
        <w:tc>
          <w:tcPr>
            <w:tcW w:w="1165" w:type="dxa"/>
            <w:tcBorders>
              <w:top w:val="nil"/>
              <w:bottom w:val="nil"/>
            </w:tcBorders>
          </w:tcPr>
          <w:p w14:paraId="0000025E" w14:textId="67572438" w:rsidR="00D67C8C" w:rsidRPr="00740DB4" w:rsidRDefault="00C80A11" w:rsidP="00865438">
            <w:pPr>
              <w:pStyle w:val="TableTextLeft"/>
              <w:rPr>
                <w:color w:val="FFFFFF" w:themeColor="background1"/>
                <w:sz w:val="20"/>
                <w:szCs w:val="20"/>
              </w:rPr>
            </w:pPr>
            <w:r w:rsidRPr="00740DB4">
              <w:rPr>
                <w:color w:val="FFFFFF" w:themeColor="background1"/>
                <w:sz w:val="20"/>
                <w:szCs w:val="20"/>
              </w:rPr>
              <w:t xml:space="preserve"> </w:t>
            </w:r>
            <w:r w:rsidR="00740DB4" w:rsidRPr="00740DB4">
              <w:rPr>
                <w:color w:val="FFFFFF" w:themeColor="background1"/>
                <w:sz w:val="20"/>
                <w:szCs w:val="20"/>
              </w:rPr>
              <w:t>.</w:t>
            </w:r>
          </w:p>
        </w:tc>
        <w:tc>
          <w:tcPr>
            <w:tcW w:w="1530" w:type="dxa"/>
            <w:tcBorders>
              <w:top w:val="nil"/>
              <w:bottom w:val="nil"/>
            </w:tcBorders>
          </w:tcPr>
          <w:p w14:paraId="0000025F" w14:textId="15156511" w:rsidR="00D67C8C" w:rsidRPr="00740DB4" w:rsidRDefault="00C80A11" w:rsidP="00865438">
            <w:pPr>
              <w:pStyle w:val="TableTextLeft"/>
              <w:rPr>
                <w:color w:val="FFFFFF" w:themeColor="background1"/>
                <w:sz w:val="20"/>
                <w:szCs w:val="20"/>
              </w:rPr>
            </w:pPr>
            <w:r w:rsidRPr="00740DB4">
              <w:rPr>
                <w:color w:val="FFFFFF" w:themeColor="background1"/>
                <w:sz w:val="20"/>
                <w:szCs w:val="20"/>
              </w:rPr>
              <w:t xml:space="preserve"> </w:t>
            </w:r>
            <w:r w:rsidR="00740DB4" w:rsidRPr="00740DB4">
              <w:rPr>
                <w:color w:val="FFFFFF" w:themeColor="background1"/>
                <w:sz w:val="20"/>
                <w:szCs w:val="20"/>
              </w:rPr>
              <w:t>.</w:t>
            </w:r>
          </w:p>
        </w:tc>
        <w:tc>
          <w:tcPr>
            <w:tcW w:w="1890" w:type="dxa"/>
            <w:tcBorders>
              <w:top w:val="nil"/>
              <w:bottom w:val="nil"/>
            </w:tcBorders>
          </w:tcPr>
          <w:p w14:paraId="00000260" w14:textId="70D30627" w:rsidR="00D67C8C" w:rsidRPr="00740DB4" w:rsidRDefault="00C80A11" w:rsidP="00865438">
            <w:pPr>
              <w:pStyle w:val="TableTextLeft"/>
              <w:rPr>
                <w:color w:val="FFFFFF" w:themeColor="background1"/>
                <w:sz w:val="20"/>
                <w:szCs w:val="20"/>
              </w:rPr>
            </w:pPr>
            <w:r w:rsidRPr="00740DB4">
              <w:rPr>
                <w:color w:val="FFFFFF" w:themeColor="background1"/>
                <w:sz w:val="20"/>
                <w:szCs w:val="20"/>
              </w:rPr>
              <w:t xml:space="preserve"> </w:t>
            </w:r>
            <w:r w:rsidR="00740DB4" w:rsidRPr="00740DB4">
              <w:rPr>
                <w:color w:val="FFFFFF" w:themeColor="background1"/>
                <w:sz w:val="20"/>
                <w:szCs w:val="20"/>
              </w:rPr>
              <w:t>.</w:t>
            </w:r>
          </w:p>
        </w:tc>
        <w:tc>
          <w:tcPr>
            <w:tcW w:w="4770" w:type="dxa"/>
          </w:tcPr>
          <w:p w14:paraId="00000261" w14:textId="77777777" w:rsidR="00D67C8C" w:rsidRPr="00E747B5" w:rsidRDefault="00C80A11" w:rsidP="00E747B5">
            <w:pPr>
              <w:pStyle w:val="TableTextLeft"/>
              <w:rPr>
                <w:b/>
                <w:bCs/>
                <w:sz w:val="20"/>
                <w:szCs w:val="20"/>
              </w:rPr>
            </w:pPr>
            <w:r w:rsidRPr="00E747B5">
              <w:rPr>
                <w:b/>
                <w:bCs/>
                <w:sz w:val="20"/>
                <w:szCs w:val="20"/>
              </w:rPr>
              <w:t>Section 2:</w:t>
            </w:r>
          </w:p>
          <w:p w14:paraId="00000262" w14:textId="77777777" w:rsidR="00D67C8C" w:rsidRPr="00E747B5" w:rsidRDefault="00C80A11" w:rsidP="00E747B5">
            <w:pPr>
              <w:pStyle w:val="TableListBullet"/>
              <w:rPr>
                <w:sz w:val="20"/>
                <w:szCs w:val="20"/>
              </w:rPr>
            </w:pPr>
            <w:r w:rsidRPr="00E747B5">
              <w:rPr>
                <w:sz w:val="20"/>
                <w:szCs w:val="20"/>
              </w:rPr>
              <w:t>Updated language in subsections 2.1, 2.2, 2.3, 2.4</w:t>
            </w:r>
          </w:p>
          <w:p w14:paraId="00000263" w14:textId="77777777" w:rsidR="00D67C8C" w:rsidRPr="00E747B5" w:rsidRDefault="00C80A11" w:rsidP="00E747B5">
            <w:pPr>
              <w:pStyle w:val="TableListBullet"/>
              <w:rPr>
                <w:sz w:val="20"/>
                <w:szCs w:val="20"/>
              </w:rPr>
            </w:pPr>
            <w:r w:rsidRPr="00E747B5">
              <w:rPr>
                <w:sz w:val="20"/>
                <w:szCs w:val="20"/>
              </w:rPr>
              <w:t>Converted table graphic to image, Figure 1 (Sample Measure Item Count), in subsection 2.2</w:t>
            </w:r>
          </w:p>
        </w:tc>
      </w:tr>
      <w:tr w:rsidR="00320541" w14:paraId="34126C6D" w14:textId="77777777" w:rsidTr="00034F34">
        <w:trPr>
          <w:trHeight w:val="120"/>
        </w:trPr>
        <w:tc>
          <w:tcPr>
            <w:tcW w:w="1165" w:type="dxa"/>
            <w:tcBorders>
              <w:top w:val="nil"/>
              <w:bottom w:val="nil"/>
            </w:tcBorders>
          </w:tcPr>
          <w:p w14:paraId="00000264" w14:textId="6AA00339" w:rsidR="00D67C8C" w:rsidRPr="00740DB4" w:rsidRDefault="00C80A11" w:rsidP="00865438">
            <w:pPr>
              <w:pStyle w:val="TableTextLeft"/>
              <w:rPr>
                <w:color w:val="FFFFFF" w:themeColor="background1"/>
                <w:sz w:val="20"/>
                <w:szCs w:val="20"/>
              </w:rPr>
            </w:pPr>
            <w:r w:rsidRPr="00740DB4">
              <w:rPr>
                <w:color w:val="FFFFFF" w:themeColor="background1"/>
                <w:sz w:val="20"/>
                <w:szCs w:val="20"/>
              </w:rPr>
              <w:t xml:space="preserve"> </w:t>
            </w:r>
            <w:r w:rsidR="00740DB4" w:rsidRPr="00740DB4">
              <w:rPr>
                <w:color w:val="FFFFFF" w:themeColor="background1"/>
                <w:sz w:val="20"/>
                <w:szCs w:val="20"/>
              </w:rPr>
              <w:t>.</w:t>
            </w:r>
          </w:p>
        </w:tc>
        <w:tc>
          <w:tcPr>
            <w:tcW w:w="1530" w:type="dxa"/>
            <w:tcBorders>
              <w:top w:val="nil"/>
              <w:bottom w:val="nil"/>
            </w:tcBorders>
          </w:tcPr>
          <w:p w14:paraId="00000265" w14:textId="17A881B1" w:rsidR="00D67C8C" w:rsidRPr="00740DB4" w:rsidRDefault="00C80A11" w:rsidP="00865438">
            <w:pPr>
              <w:pStyle w:val="TableTextLeft"/>
              <w:rPr>
                <w:color w:val="FFFFFF" w:themeColor="background1"/>
                <w:sz w:val="20"/>
                <w:szCs w:val="20"/>
              </w:rPr>
            </w:pPr>
            <w:r w:rsidRPr="00740DB4">
              <w:rPr>
                <w:color w:val="FFFFFF" w:themeColor="background1"/>
                <w:sz w:val="20"/>
                <w:szCs w:val="20"/>
              </w:rPr>
              <w:t xml:space="preserve"> </w:t>
            </w:r>
            <w:r w:rsidR="00740DB4" w:rsidRPr="00740DB4">
              <w:rPr>
                <w:color w:val="FFFFFF" w:themeColor="background1"/>
                <w:sz w:val="20"/>
                <w:szCs w:val="20"/>
              </w:rPr>
              <w:t>.</w:t>
            </w:r>
          </w:p>
        </w:tc>
        <w:tc>
          <w:tcPr>
            <w:tcW w:w="1890" w:type="dxa"/>
            <w:tcBorders>
              <w:top w:val="nil"/>
              <w:bottom w:val="nil"/>
            </w:tcBorders>
          </w:tcPr>
          <w:p w14:paraId="00000266" w14:textId="368430ED" w:rsidR="00D67C8C" w:rsidRPr="00740DB4" w:rsidRDefault="00C80A11" w:rsidP="00865438">
            <w:pPr>
              <w:pStyle w:val="TableTextLeft"/>
              <w:rPr>
                <w:color w:val="FFFFFF" w:themeColor="background1"/>
                <w:sz w:val="20"/>
                <w:szCs w:val="20"/>
              </w:rPr>
            </w:pPr>
            <w:r w:rsidRPr="00740DB4">
              <w:rPr>
                <w:color w:val="FFFFFF" w:themeColor="background1"/>
                <w:sz w:val="20"/>
                <w:szCs w:val="20"/>
              </w:rPr>
              <w:t xml:space="preserve"> </w:t>
            </w:r>
            <w:r w:rsidR="00740DB4" w:rsidRPr="00740DB4">
              <w:rPr>
                <w:color w:val="FFFFFF" w:themeColor="background1"/>
                <w:sz w:val="20"/>
                <w:szCs w:val="20"/>
              </w:rPr>
              <w:t>.</w:t>
            </w:r>
          </w:p>
        </w:tc>
        <w:tc>
          <w:tcPr>
            <w:tcW w:w="4770" w:type="dxa"/>
          </w:tcPr>
          <w:p w14:paraId="00000267" w14:textId="77777777" w:rsidR="00D67C8C" w:rsidRPr="00E747B5" w:rsidRDefault="00C80A11" w:rsidP="00E747B5">
            <w:pPr>
              <w:pStyle w:val="TableTextLeft"/>
              <w:rPr>
                <w:b/>
                <w:bCs/>
                <w:sz w:val="20"/>
                <w:szCs w:val="20"/>
              </w:rPr>
            </w:pPr>
            <w:r w:rsidRPr="00E747B5">
              <w:rPr>
                <w:b/>
                <w:bCs/>
                <w:sz w:val="20"/>
                <w:szCs w:val="20"/>
              </w:rPr>
              <w:t>Section 3:</w:t>
            </w:r>
          </w:p>
          <w:p w14:paraId="00000268" w14:textId="77777777" w:rsidR="00D67C8C" w:rsidRPr="00E747B5" w:rsidRDefault="00C80A11" w:rsidP="00E747B5">
            <w:pPr>
              <w:pStyle w:val="TableListBullet"/>
              <w:rPr>
                <w:sz w:val="20"/>
                <w:szCs w:val="20"/>
              </w:rPr>
            </w:pPr>
            <w:r w:rsidRPr="00E747B5">
              <w:rPr>
                <w:sz w:val="20"/>
                <w:szCs w:val="20"/>
              </w:rPr>
              <w:t>Modified introductory paragraph in Section 3</w:t>
            </w:r>
          </w:p>
          <w:p w14:paraId="00000269" w14:textId="77777777" w:rsidR="00D67C8C" w:rsidRPr="00E747B5" w:rsidRDefault="00C80A11" w:rsidP="00E747B5">
            <w:pPr>
              <w:pStyle w:val="TableListBullet"/>
              <w:rPr>
                <w:sz w:val="20"/>
                <w:szCs w:val="20"/>
              </w:rPr>
            </w:pPr>
            <w:r w:rsidRPr="00E747B5">
              <w:rPr>
                <w:sz w:val="20"/>
                <w:szCs w:val="20"/>
              </w:rPr>
              <w:t>Removed Tables 1 and 2, Eligible Clinician eCQM Types and Versions and Eligible Hospital eCQM Types and Versions</w:t>
            </w:r>
          </w:p>
        </w:tc>
      </w:tr>
      <w:tr w:rsidR="00320541" w14:paraId="41D664D8" w14:textId="77777777" w:rsidTr="000544BB">
        <w:trPr>
          <w:trHeight w:val="120"/>
        </w:trPr>
        <w:tc>
          <w:tcPr>
            <w:tcW w:w="1165" w:type="dxa"/>
            <w:tcBorders>
              <w:top w:val="nil"/>
              <w:bottom w:val="nil"/>
            </w:tcBorders>
          </w:tcPr>
          <w:p w14:paraId="0000026A" w14:textId="0855D4D5" w:rsidR="00D67C8C" w:rsidRPr="00740DB4" w:rsidRDefault="00C80A11" w:rsidP="00865438">
            <w:pPr>
              <w:pStyle w:val="TableTextLeft"/>
              <w:rPr>
                <w:color w:val="FFFFFF" w:themeColor="background1"/>
                <w:sz w:val="20"/>
                <w:szCs w:val="20"/>
              </w:rPr>
            </w:pPr>
            <w:r w:rsidRPr="00740DB4">
              <w:rPr>
                <w:color w:val="FFFFFF" w:themeColor="background1"/>
                <w:sz w:val="20"/>
                <w:szCs w:val="20"/>
              </w:rPr>
              <w:t xml:space="preserve"> </w:t>
            </w:r>
            <w:r w:rsidR="00740DB4" w:rsidRPr="00740DB4">
              <w:rPr>
                <w:color w:val="FFFFFF" w:themeColor="background1"/>
                <w:sz w:val="20"/>
                <w:szCs w:val="20"/>
              </w:rPr>
              <w:t>.</w:t>
            </w:r>
          </w:p>
        </w:tc>
        <w:tc>
          <w:tcPr>
            <w:tcW w:w="1530" w:type="dxa"/>
            <w:tcBorders>
              <w:top w:val="nil"/>
              <w:bottom w:val="nil"/>
            </w:tcBorders>
          </w:tcPr>
          <w:p w14:paraId="0000026B" w14:textId="5FD2B5F6" w:rsidR="00D67C8C" w:rsidRPr="00740DB4" w:rsidRDefault="00C80A11" w:rsidP="00865438">
            <w:pPr>
              <w:pStyle w:val="TableTextLeft"/>
              <w:rPr>
                <w:color w:val="FFFFFF" w:themeColor="background1"/>
                <w:sz w:val="20"/>
                <w:szCs w:val="20"/>
              </w:rPr>
            </w:pPr>
            <w:r w:rsidRPr="00740DB4">
              <w:rPr>
                <w:color w:val="FFFFFF" w:themeColor="background1"/>
                <w:sz w:val="20"/>
                <w:szCs w:val="20"/>
              </w:rPr>
              <w:t xml:space="preserve"> </w:t>
            </w:r>
            <w:r w:rsidR="00740DB4" w:rsidRPr="00740DB4">
              <w:rPr>
                <w:color w:val="FFFFFF" w:themeColor="background1"/>
                <w:sz w:val="20"/>
                <w:szCs w:val="20"/>
              </w:rPr>
              <w:t>.</w:t>
            </w:r>
          </w:p>
        </w:tc>
        <w:tc>
          <w:tcPr>
            <w:tcW w:w="1890" w:type="dxa"/>
            <w:tcBorders>
              <w:top w:val="nil"/>
              <w:bottom w:val="nil"/>
            </w:tcBorders>
          </w:tcPr>
          <w:p w14:paraId="0000026C" w14:textId="319B7C41" w:rsidR="00D67C8C" w:rsidRPr="00740DB4" w:rsidRDefault="00C80A11" w:rsidP="00865438">
            <w:pPr>
              <w:pStyle w:val="TableTextLeft"/>
              <w:rPr>
                <w:color w:val="FFFFFF" w:themeColor="background1"/>
                <w:sz w:val="20"/>
                <w:szCs w:val="20"/>
              </w:rPr>
            </w:pPr>
            <w:r w:rsidRPr="00740DB4">
              <w:rPr>
                <w:color w:val="FFFFFF" w:themeColor="background1"/>
                <w:sz w:val="20"/>
                <w:szCs w:val="20"/>
              </w:rPr>
              <w:t xml:space="preserve"> </w:t>
            </w:r>
            <w:r w:rsidR="00740DB4" w:rsidRPr="00740DB4">
              <w:rPr>
                <w:color w:val="FFFFFF" w:themeColor="background1"/>
                <w:sz w:val="20"/>
                <w:szCs w:val="20"/>
              </w:rPr>
              <w:t>.</w:t>
            </w:r>
          </w:p>
        </w:tc>
        <w:tc>
          <w:tcPr>
            <w:tcW w:w="4770" w:type="dxa"/>
          </w:tcPr>
          <w:p w14:paraId="0000026D" w14:textId="77777777" w:rsidR="00D67C8C" w:rsidRPr="00E747B5" w:rsidRDefault="00C80A11" w:rsidP="00E747B5">
            <w:pPr>
              <w:pStyle w:val="TableTextLeft"/>
              <w:rPr>
                <w:b/>
                <w:bCs/>
                <w:sz w:val="20"/>
                <w:szCs w:val="20"/>
              </w:rPr>
            </w:pPr>
            <w:r w:rsidRPr="00E747B5">
              <w:rPr>
                <w:b/>
                <w:bCs/>
                <w:sz w:val="20"/>
                <w:szCs w:val="20"/>
              </w:rPr>
              <w:t>Section 4:</w:t>
            </w:r>
          </w:p>
          <w:p w14:paraId="0000026E" w14:textId="77777777" w:rsidR="00D67C8C" w:rsidRPr="00E747B5" w:rsidRDefault="00C80A11" w:rsidP="00E747B5">
            <w:pPr>
              <w:pStyle w:val="TableListBullet"/>
              <w:rPr>
                <w:sz w:val="20"/>
                <w:szCs w:val="20"/>
              </w:rPr>
            </w:pPr>
            <w:r w:rsidRPr="00E747B5">
              <w:rPr>
                <w:sz w:val="20"/>
                <w:szCs w:val="20"/>
              </w:rPr>
              <w:t>Updated language and logic sample in subsections 4.3.1, 4.3.3, 4.6, 5.2, 5.3</w:t>
            </w:r>
          </w:p>
          <w:p w14:paraId="0000026F" w14:textId="77777777" w:rsidR="00D67C8C" w:rsidRPr="00E747B5" w:rsidRDefault="00C80A11" w:rsidP="00E747B5">
            <w:pPr>
              <w:pStyle w:val="TableListBullet"/>
              <w:rPr>
                <w:sz w:val="20"/>
                <w:szCs w:val="20"/>
              </w:rPr>
            </w:pPr>
            <w:r w:rsidRPr="00E747B5">
              <w:rPr>
                <w:sz w:val="20"/>
                <w:szCs w:val="20"/>
              </w:rPr>
              <w:t>Updated language in subsections 4.3.2, 4.3.4, 4.3.5</w:t>
            </w:r>
          </w:p>
        </w:tc>
      </w:tr>
      <w:tr w:rsidR="00320541" w14:paraId="58E784BD" w14:textId="77777777" w:rsidTr="000544BB">
        <w:trPr>
          <w:trHeight w:val="120"/>
        </w:trPr>
        <w:tc>
          <w:tcPr>
            <w:tcW w:w="1165" w:type="dxa"/>
            <w:tcBorders>
              <w:top w:val="nil"/>
              <w:bottom w:val="single" w:sz="4" w:space="0" w:color="000000" w:themeColor="text1"/>
            </w:tcBorders>
          </w:tcPr>
          <w:p w14:paraId="00000270" w14:textId="34FA93F1" w:rsidR="00D67C8C" w:rsidRPr="00740DB4" w:rsidRDefault="00C80A11" w:rsidP="00865438">
            <w:pPr>
              <w:pStyle w:val="TableTextLeft"/>
              <w:rPr>
                <w:color w:val="FFFFFF" w:themeColor="background1"/>
                <w:sz w:val="20"/>
                <w:szCs w:val="20"/>
              </w:rPr>
            </w:pPr>
            <w:r w:rsidRPr="00740DB4">
              <w:rPr>
                <w:color w:val="FFFFFF" w:themeColor="background1"/>
                <w:sz w:val="20"/>
                <w:szCs w:val="20"/>
              </w:rPr>
              <w:t xml:space="preserve"> </w:t>
            </w:r>
            <w:r w:rsidR="00740DB4" w:rsidRPr="00740DB4">
              <w:rPr>
                <w:color w:val="FFFFFF" w:themeColor="background1"/>
                <w:sz w:val="20"/>
                <w:szCs w:val="20"/>
              </w:rPr>
              <w:t>.</w:t>
            </w:r>
          </w:p>
        </w:tc>
        <w:tc>
          <w:tcPr>
            <w:tcW w:w="1530" w:type="dxa"/>
            <w:tcBorders>
              <w:top w:val="nil"/>
              <w:bottom w:val="single" w:sz="4" w:space="0" w:color="000000" w:themeColor="text1"/>
            </w:tcBorders>
          </w:tcPr>
          <w:p w14:paraId="00000271" w14:textId="0C0A6596" w:rsidR="00D67C8C" w:rsidRPr="00740DB4" w:rsidRDefault="00C80A11" w:rsidP="00865438">
            <w:pPr>
              <w:pStyle w:val="TableTextLeft"/>
              <w:rPr>
                <w:color w:val="FFFFFF" w:themeColor="background1"/>
                <w:sz w:val="20"/>
                <w:szCs w:val="20"/>
              </w:rPr>
            </w:pPr>
            <w:r w:rsidRPr="00740DB4">
              <w:rPr>
                <w:color w:val="FFFFFF" w:themeColor="background1"/>
                <w:sz w:val="20"/>
                <w:szCs w:val="20"/>
              </w:rPr>
              <w:t xml:space="preserve"> </w:t>
            </w:r>
            <w:r w:rsidR="00740DB4" w:rsidRPr="00740DB4">
              <w:rPr>
                <w:color w:val="FFFFFF" w:themeColor="background1"/>
                <w:sz w:val="20"/>
                <w:szCs w:val="20"/>
              </w:rPr>
              <w:t>.</w:t>
            </w:r>
          </w:p>
        </w:tc>
        <w:tc>
          <w:tcPr>
            <w:tcW w:w="1890" w:type="dxa"/>
            <w:tcBorders>
              <w:top w:val="nil"/>
              <w:bottom w:val="single" w:sz="4" w:space="0" w:color="000000" w:themeColor="text1"/>
            </w:tcBorders>
          </w:tcPr>
          <w:p w14:paraId="00000272" w14:textId="05E7E797" w:rsidR="00D67C8C" w:rsidRPr="00740DB4" w:rsidRDefault="00C80A11" w:rsidP="00865438">
            <w:pPr>
              <w:pStyle w:val="TableTextLeft"/>
              <w:rPr>
                <w:color w:val="FFFFFF" w:themeColor="background1"/>
                <w:sz w:val="20"/>
                <w:szCs w:val="20"/>
              </w:rPr>
            </w:pPr>
            <w:r w:rsidRPr="00740DB4">
              <w:rPr>
                <w:color w:val="FFFFFF" w:themeColor="background1"/>
                <w:sz w:val="20"/>
                <w:szCs w:val="20"/>
              </w:rPr>
              <w:t xml:space="preserve"> </w:t>
            </w:r>
            <w:r w:rsidR="00740DB4" w:rsidRPr="00740DB4">
              <w:rPr>
                <w:color w:val="FFFFFF" w:themeColor="background1"/>
                <w:sz w:val="20"/>
                <w:szCs w:val="20"/>
              </w:rPr>
              <w:t>.</w:t>
            </w:r>
          </w:p>
        </w:tc>
        <w:tc>
          <w:tcPr>
            <w:tcW w:w="4770" w:type="dxa"/>
            <w:tcBorders>
              <w:bottom w:val="single" w:sz="4" w:space="0" w:color="000000" w:themeColor="text1"/>
            </w:tcBorders>
          </w:tcPr>
          <w:p w14:paraId="00000273" w14:textId="77777777" w:rsidR="00D67C8C" w:rsidRPr="00E747B5" w:rsidRDefault="00C80A11" w:rsidP="00E747B5">
            <w:pPr>
              <w:pStyle w:val="TableTextLeft"/>
              <w:rPr>
                <w:b/>
                <w:bCs/>
                <w:sz w:val="20"/>
                <w:szCs w:val="20"/>
              </w:rPr>
            </w:pPr>
            <w:r w:rsidRPr="00E747B5">
              <w:rPr>
                <w:b/>
                <w:bCs/>
                <w:sz w:val="20"/>
                <w:szCs w:val="20"/>
              </w:rPr>
              <w:t>Section 6:</w:t>
            </w:r>
          </w:p>
          <w:p w14:paraId="00000274" w14:textId="2309CB75" w:rsidR="00D67C8C" w:rsidRPr="00E747B5" w:rsidRDefault="00C80A11" w:rsidP="00E747B5">
            <w:pPr>
              <w:pStyle w:val="TableListBullet"/>
              <w:rPr>
                <w:sz w:val="20"/>
                <w:szCs w:val="20"/>
              </w:rPr>
            </w:pPr>
            <w:r w:rsidRPr="00E747B5">
              <w:rPr>
                <w:sz w:val="20"/>
                <w:szCs w:val="20"/>
              </w:rPr>
              <w:t>Updated language in subsection 6.1—U</w:t>
            </w:r>
            <w:r w:rsidR="00E350E5">
              <w:rPr>
                <w:sz w:val="20"/>
                <w:szCs w:val="20"/>
              </w:rPr>
              <w:t>SH</w:t>
            </w:r>
            <w:r w:rsidRPr="00E747B5">
              <w:rPr>
                <w:sz w:val="20"/>
                <w:szCs w:val="20"/>
              </w:rPr>
              <w:t>IK</w:t>
            </w:r>
          </w:p>
          <w:p w14:paraId="00000275" w14:textId="77777777" w:rsidR="00D67C8C" w:rsidRPr="00E747B5" w:rsidRDefault="00C80A11" w:rsidP="00E747B5">
            <w:pPr>
              <w:pStyle w:val="TableListBullet"/>
              <w:rPr>
                <w:sz w:val="20"/>
                <w:szCs w:val="20"/>
              </w:rPr>
            </w:pPr>
            <w:r w:rsidRPr="00E747B5">
              <w:rPr>
                <w:sz w:val="20"/>
                <w:szCs w:val="20"/>
              </w:rPr>
              <w:t>Updated language in subsection 6.2—QDM Category and Code System</w:t>
            </w:r>
          </w:p>
          <w:p w14:paraId="00000276" w14:textId="77777777" w:rsidR="00D67C8C" w:rsidRPr="00E747B5" w:rsidRDefault="00C80A11" w:rsidP="00E747B5">
            <w:pPr>
              <w:pStyle w:val="TableListBullet"/>
              <w:rPr>
                <w:sz w:val="20"/>
                <w:szCs w:val="20"/>
              </w:rPr>
            </w:pPr>
            <w:r w:rsidRPr="00E747B5">
              <w:rPr>
                <w:sz w:val="20"/>
                <w:szCs w:val="20"/>
              </w:rPr>
              <w:t>Updated language in subsection 6.5—Allergies to Medications and Other Substances</w:t>
            </w:r>
          </w:p>
          <w:p w14:paraId="00000277" w14:textId="77777777" w:rsidR="00D67C8C" w:rsidRPr="00E747B5" w:rsidRDefault="00C80A11" w:rsidP="00E747B5">
            <w:pPr>
              <w:pStyle w:val="TableListBullet"/>
              <w:rPr>
                <w:sz w:val="20"/>
                <w:szCs w:val="20"/>
              </w:rPr>
            </w:pPr>
            <w:r w:rsidRPr="00E747B5">
              <w:rPr>
                <w:sz w:val="20"/>
                <w:szCs w:val="20"/>
              </w:rPr>
              <w:t>Updated language in subsection 6.6—Principal Diagnosis in Inpatient Encounters</w:t>
            </w:r>
          </w:p>
          <w:p w14:paraId="00000278" w14:textId="77777777" w:rsidR="00D67C8C" w:rsidRPr="00E747B5" w:rsidRDefault="00C80A11" w:rsidP="00E747B5">
            <w:pPr>
              <w:pStyle w:val="TableListBullet"/>
              <w:rPr>
                <w:sz w:val="20"/>
                <w:szCs w:val="20"/>
              </w:rPr>
            </w:pPr>
            <w:r w:rsidRPr="00E747B5">
              <w:rPr>
                <w:sz w:val="20"/>
                <w:szCs w:val="20"/>
              </w:rPr>
              <w:t>Updated language in subsection 6.9—Activities That Were “Not Done”</w:t>
            </w:r>
          </w:p>
          <w:p w14:paraId="00000279" w14:textId="77777777" w:rsidR="00D67C8C" w:rsidRPr="00E747B5" w:rsidRDefault="00C80A11" w:rsidP="00E747B5">
            <w:pPr>
              <w:pStyle w:val="TableListBullet"/>
              <w:rPr>
                <w:sz w:val="20"/>
                <w:szCs w:val="20"/>
              </w:rPr>
            </w:pPr>
            <w:r w:rsidRPr="00E747B5">
              <w:rPr>
                <w:sz w:val="20"/>
                <w:szCs w:val="20"/>
              </w:rPr>
              <w:t>Updated language in subsection 6.10—Newborn/Gestational Age</w:t>
            </w:r>
          </w:p>
          <w:p w14:paraId="0000027A" w14:textId="77777777" w:rsidR="00D67C8C" w:rsidRPr="00E747B5" w:rsidRDefault="00C80A11" w:rsidP="00E747B5">
            <w:pPr>
              <w:pStyle w:val="TableListBullet"/>
              <w:rPr>
                <w:sz w:val="20"/>
                <w:szCs w:val="20"/>
              </w:rPr>
            </w:pPr>
            <w:r w:rsidRPr="00E747B5">
              <w:rPr>
                <w:sz w:val="20"/>
                <w:szCs w:val="20"/>
              </w:rPr>
              <w:t>Updated language in subsection 6.11—Source</w:t>
            </w:r>
          </w:p>
          <w:p w14:paraId="0000027B" w14:textId="77777777" w:rsidR="00D67C8C" w:rsidRPr="00E747B5" w:rsidRDefault="00C80A11" w:rsidP="00E747B5">
            <w:pPr>
              <w:pStyle w:val="TableListBullet"/>
              <w:rPr>
                <w:sz w:val="20"/>
                <w:szCs w:val="20"/>
              </w:rPr>
            </w:pPr>
            <w:r w:rsidRPr="00E747B5">
              <w:rPr>
                <w:sz w:val="20"/>
                <w:szCs w:val="20"/>
              </w:rPr>
              <w:t>Updated language in subsection 6.12—Patient Characteristic Birthdate and Patient Characteristic Expired</w:t>
            </w:r>
          </w:p>
          <w:p w14:paraId="0000027C" w14:textId="77777777" w:rsidR="00D67C8C" w:rsidRPr="00E747B5" w:rsidRDefault="00C80A11" w:rsidP="00E747B5">
            <w:pPr>
              <w:pStyle w:val="TableListBullet"/>
              <w:rPr>
                <w:sz w:val="20"/>
                <w:szCs w:val="20"/>
              </w:rPr>
            </w:pPr>
            <w:r w:rsidRPr="00E747B5">
              <w:rPr>
                <w:sz w:val="20"/>
                <w:szCs w:val="20"/>
              </w:rPr>
              <w:t>Added subsection 6.15.2—The 2016 Value Set Addendum</w:t>
            </w:r>
          </w:p>
        </w:tc>
      </w:tr>
      <w:tr w:rsidR="000544BB" w14:paraId="2AC8E4A0" w14:textId="77777777" w:rsidTr="000544BB">
        <w:trPr>
          <w:trHeight w:val="120"/>
        </w:trPr>
        <w:tc>
          <w:tcPr>
            <w:tcW w:w="1165" w:type="dxa"/>
            <w:tcBorders>
              <w:top w:val="single" w:sz="4" w:space="0" w:color="000000" w:themeColor="text1"/>
            </w:tcBorders>
          </w:tcPr>
          <w:p w14:paraId="436D7CBD" w14:textId="3F382E7A" w:rsidR="000544BB" w:rsidRPr="000544BB" w:rsidRDefault="000544BB" w:rsidP="000544BB">
            <w:pPr>
              <w:pStyle w:val="TableTextLeft"/>
              <w:keepNext/>
              <w:keepLines/>
              <w:rPr>
                <w:color w:val="FFFFFF" w:themeColor="background1"/>
                <w:szCs w:val="20"/>
              </w:rPr>
            </w:pPr>
            <w:r w:rsidRPr="000544BB">
              <w:rPr>
                <w:color w:val="FFFFFF" w:themeColor="background1"/>
                <w:sz w:val="20"/>
                <w:szCs w:val="20"/>
              </w:rPr>
              <w:lastRenderedPageBreak/>
              <w:t>1.13</w:t>
            </w:r>
          </w:p>
        </w:tc>
        <w:tc>
          <w:tcPr>
            <w:tcW w:w="1530" w:type="dxa"/>
            <w:tcBorders>
              <w:top w:val="single" w:sz="4" w:space="0" w:color="000000" w:themeColor="text1"/>
            </w:tcBorders>
          </w:tcPr>
          <w:p w14:paraId="5A572637" w14:textId="04552500" w:rsidR="000544BB" w:rsidRPr="000544BB" w:rsidRDefault="000544BB" w:rsidP="000544BB">
            <w:pPr>
              <w:pStyle w:val="TableTextLeft"/>
              <w:keepNext/>
              <w:keepLines/>
              <w:rPr>
                <w:color w:val="FFFFFF" w:themeColor="background1"/>
                <w:szCs w:val="20"/>
              </w:rPr>
            </w:pPr>
            <w:r w:rsidRPr="000544BB">
              <w:rPr>
                <w:color w:val="FFFFFF" w:themeColor="background1"/>
                <w:sz w:val="20"/>
                <w:szCs w:val="20"/>
              </w:rPr>
              <w:t>May 5, 2017</w:t>
            </w:r>
          </w:p>
        </w:tc>
        <w:tc>
          <w:tcPr>
            <w:tcW w:w="1890" w:type="dxa"/>
            <w:tcBorders>
              <w:top w:val="single" w:sz="4" w:space="0" w:color="000000" w:themeColor="text1"/>
            </w:tcBorders>
          </w:tcPr>
          <w:p w14:paraId="5C61F7BA" w14:textId="2FB2AB68" w:rsidR="000544BB" w:rsidRPr="000544BB" w:rsidRDefault="000544BB" w:rsidP="000544BB">
            <w:pPr>
              <w:pStyle w:val="TableTextLeft"/>
              <w:keepNext/>
              <w:keepLines/>
              <w:rPr>
                <w:color w:val="FFFFFF" w:themeColor="background1"/>
                <w:szCs w:val="20"/>
              </w:rPr>
            </w:pPr>
            <w:r w:rsidRPr="000544BB">
              <w:rPr>
                <w:color w:val="FFFFFF" w:themeColor="background1"/>
                <w:sz w:val="20"/>
                <w:szCs w:val="20"/>
              </w:rPr>
              <w:t>CMS/ONC (MITRE)</w:t>
            </w:r>
          </w:p>
        </w:tc>
        <w:tc>
          <w:tcPr>
            <w:tcW w:w="4770" w:type="dxa"/>
            <w:tcBorders>
              <w:top w:val="single" w:sz="4" w:space="0" w:color="000000" w:themeColor="text1"/>
            </w:tcBorders>
          </w:tcPr>
          <w:p w14:paraId="65B81229" w14:textId="77777777" w:rsidR="000544BB" w:rsidRPr="00E747B5" w:rsidRDefault="000544BB" w:rsidP="000544BB">
            <w:pPr>
              <w:pStyle w:val="TableTextLeft"/>
              <w:keepNext/>
              <w:keepLines/>
              <w:rPr>
                <w:b/>
                <w:bCs/>
                <w:sz w:val="20"/>
                <w:szCs w:val="20"/>
              </w:rPr>
            </w:pPr>
            <w:r w:rsidRPr="00E747B5">
              <w:rPr>
                <w:b/>
                <w:bCs/>
                <w:sz w:val="20"/>
                <w:szCs w:val="20"/>
              </w:rPr>
              <w:t>Appendix B</w:t>
            </w:r>
          </w:p>
          <w:p w14:paraId="619D8CDA" w14:textId="77777777" w:rsidR="000544BB" w:rsidRDefault="000544BB" w:rsidP="000544BB">
            <w:pPr>
              <w:pStyle w:val="TableListBullet"/>
              <w:keepNext/>
              <w:keepLines/>
              <w:rPr>
                <w:sz w:val="20"/>
                <w:szCs w:val="20"/>
              </w:rPr>
            </w:pPr>
            <w:r w:rsidRPr="00E747B5">
              <w:rPr>
                <w:sz w:val="20"/>
                <w:szCs w:val="20"/>
              </w:rPr>
              <w:t>Updated table number for Table 3 Time Interval Definitions and Examples</w:t>
            </w:r>
          </w:p>
          <w:p w14:paraId="35697C0E" w14:textId="74317EDA" w:rsidR="000544BB" w:rsidRPr="00E747B5" w:rsidRDefault="000544BB" w:rsidP="000544BB">
            <w:pPr>
              <w:pStyle w:val="TableListBullet"/>
              <w:keepNext/>
              <w:keepLines/>
              <w:rPr>
                <w:szCs w:val="20"/>
              </w:rPr>
            </w:pPr>
            <w:r>
              <w:rPr>
                <w:sz w:val="20"/>
                <w:szCs w:val="20"/>
              </w:rPr>
              <w:t>Updated acronym list</w:t>
            </w:r>
          </w:p>
        </w:tc>
      </w:tr>
      <w:tr w:rsidR="00320541" w14:paraId="04520CAB" w14:textId="77777777" w:rsidTr="00865438">
        <w:trPr>
          <w:trHeight w:val="120"/>
        </w:trPr>
        <w:tc>
          <w:tcPr>
            <w:tcW w:w="1165" w:type="dxa"/>
          </w:tcPr>
          <w:p w14:paraId="00000286" w14:textId="77777777" w:rsidR="00D67C8C" w:rsidRPr="00E747B5" w:rsidRDefault="00C80A11" w:rsidP="00865438">
            <w:pPr>
              <w:pStyle w:val="TableTextLeft"/>
              <w:rPr>
                <w:sz w:val="20"/>
                <w:szCs w:val="20"/>
              </w:rPr>
            </w:pPr>
            <w:r w:rsidRPr="00E747B5">
              <w:rPr>
                <w:sz w:val="20"/>
                <w:szCs w:val="20"/>
              </w:rPr>
              <w:t>2.0</w:t>
            </w:r>
          </w:p>
        </w:tc>
        <w:tc>
          <w:tcPr>
            <w:tcW w:w="1530" w:type="dxa"/>
          </w:tcPr>
          <w:p w14:paraId="00000287" w14:textId="77777777" w:rsidR="00D67C8C" w:rsidRPr="00E747B5" w:rsidRDefault="00C80A11" w:rsidP="00865438">
            <w:pPr>
              <w:pStyle w:val="TableTextLeft"/>
              <w:rPr>
                <w:sz w:val="20"/>
                <w:szCs w:val="20"/>
              </w:rPr>
            </w:pPr>
            <w:r w:rsidRPr="00E747B5">
              <w:rPr>
                <w:sz w:val="20"/>
                <w:szCs w:val="20"/>
              </w:rPr>
              <w:t>May 4, 2018</w:t>
            </w:r>
          </w:p>
        </w:tc>
        <w:tc>
          <w:tcPr>
            <w:tcW w:w="1890" w:type="dxa"/>
          </w:tcPr>
          <w:p w14:paraId="00000288" w14:textId="77777777" w:rsidR="00D67C8C" w:rsidRPr="00E747B5" w:rsidRDefault="00C80A11" w:rsidP="00865438">
            <w:pPr>
              <w:pStyle w:val="TableTextLeft"/>
              <w:rPr>
                <w:sz w:val="20"/>
                <w:szCs w:val="20"/>
              </w:rPr>
            </w:pPr>
            <w:r w:rsidRPr="00E747B5">
              <w:rPr>
                <w:sz w:val="20"/>
                <w:szCs w:val="20"/>
              </w:rPr>
              <w:t>CMS (MITRE)</w:t>
            </w:r>
          </w:p>
        </w:tc>
        <w:tc>
          <w:tcPr>
            <w:tcW w:w="4770" w:type="dxa"/>
          </w:tcPr>
          <w:p w14:paraId="00000289" w14:textId="77777777" w:rsidR="00D67C8C" w:rsidRPr="00E747B5" w:rsidRDefault="00C80A11" w:rsidP="00E747B5">
            <w:pPr>
              <w:pStyle w:val="TableListBullet"/>
              <w:rPr>
                <w:sz w:val="20"/>
                <w:szCs w:val="20"/>
              </w:rPr>
            </w:pPr>
            <w:r w:rsidRPr="00E747B5">
              <w:rPr>
                <w:sz w:val="20"/>
                <w:szCs w:val="20"/>
              </w:rPr>
              <w:t>Updates and edits resulting in version 2.0 for release</w:t>
            </w:r>
          </w:p>
        </w:tc>
      </w:tr>
      <w:tr w:rsidR="00320541" w14:paraId="5ABCABED" w14:textId="77777777" w:rsidTr="00865438">
        <w:trPr>
          <w:trHeight w:val="120"/>
        </w:trPr>
        <w:tc>
          <w:tcPr>
            <w:tcW w:w="1165" w:type="dxa"/>
          </w:tcPr>
          <w:p w14:paraId="0000028A" w14:textId="77777777" w:rsidR="00D67C8C" w:rsidRPr="00E747B5" w:rsidRDefault="00C80A11" w:rsidP="00865438">
            <w:pPr>
              <w:pStyle w:val="TableTextLeft"/>
              <w:rPr>
                <w:sz w:val="20"/>
                <w:szCs w:val="20"/>
              </w:rPr>
            </w:pPr>
            <w:r w:rsidRPr="00E747B5">
              <w:rPr>
                <w:sz w:val="20"/>
                <w:szCs w:val="20"/>
              </w:rPr>
              <w:t>3.0</w:t>
            </w:r>
          </w:p>
        </w:tc>
        <w:tc>
          <w:tcPr>
            <w:tcW w:w="1530" w:type="dxa"/>
          </w:tcPr>
          <w:p w14:paraId="0000028B" w14:textId="77777777" w:rsidR="00D67C8C" w:rsidRPr="00E747B5" w:rsidRDefault="00C80A11" w:rsidP="00865438">
            <w:pPr>
              <w:pStyle w:val="TableTextLeft"/>
              <w:rPr>
                <w:sz w:val="20"/>
                <w:szCs w:val="20"/>
              </w:rPr>
            </w:pPr>
            <w:r w:rsidRPr="00E747B5">
              <w:rPr>
                <w:sz w:val="20"/>
                <w:szCs w:val="20"/>
              </w:rPr>
              <w:t>May 3, 2019</w:t>
            </w:r>
          </w:p>
        </w:tc>
        <w:tc>
          <w:tcPr>
            <w:tcW w:w="1890" w:type="dxa"/>
          </w:tcPr>
          <w:p w14:paraId="0000028C" w14:textId="77777777" w:rsidR="00D67C8C" w:rsidRPr="00E747B5" w:rsidRDefault="00C80A11" w:rsidP="00865438">
            <w:pPr>
              <w:pStyle w:val="TableTextLeft"/>
              <w:rPr>
                <w:sz w:val="20"/>
                <w:szCs w:val="20"/>
              </w:rPr>
            </w:pPr>
            <w:r w:rsidRPr="00E747B5">
              <w:rPr>
                <w:sz w:val="20"/>
                <w:szCs w:val="20"/>
              </w:rPr>
              <w:t>CMS (Mathematica)</w:t>
            </w:r>
          </w:p>
        </w:tc>
        <w:tc>
          <w:tcPr>
            <w:tcW w:w="4770" w:type="dxa"/>
          </w:tcPr>
          <w:p w14:paraId="0000028D" w14:textId="77777777" w:rsidR="00D67C8C" w:rsidRPr="00E747B5" w:rsidRDefault="00C80A11" w:rsidP="00E747B5">
            <w:pPr>
              <w:pStyle w:val="TableListBullet"/>
              <w:rPr>
                <w:sz w:val="20"/>
                <w:szCs w:val="20"/>
              </w:rPr>
            </w:pPr>
            <w:r w:rsidRPr="00E747B5">
              <w:rPr>
                <w:rFonts w:cs="Arial"/>
                <w:sz w:val="20"/>
                <w:szCs w:val="20"/>
              </w:rPr>
              <w:t xml:space="preserve">Updated measure examples, figures, hyperlinks, and versions of standards referenced throughout </w:t>
            </w:r>
          </w:p>
          <w:p w14:paraId="0000028E" w14:textId="77777777" w:rsidR="00D67C8C" w:rsidRPr="00E747B5" w:rsidRDefault="00C80A11" w:rsidP="00E747B5">
            <w:pPr>
              <w:pStyle w:val="TableListBullet"/>
              <w:rPr>
                <w:sz w:val="20"/>
                <w:szCs w:val="20"/>
              </w:rPr>
            </w:pPr>
            <w:r w:rsidRPr="00E747B5">
              <w:rPr>
                <w:rFonts w:cs="Arial"/>
                <w:sz w:val="20"/>
                <w:szCs w:val="20"/>
              </w:rPr>
              <w:t>Revised text based on input from interested parties and external reviewers</w:t>
            </w:r>
          </w:p>
          <w:p w14:paraId="0000028F" w14:textId="77777777" w:rsidR="00D67C8C" w:rsidRPr="00E747B5" w:rsidRDefault="00C80A11" w:rsidP="00E747B5">
            <w:pPr>
              <w:pStyle w:val="TableListBullet"/>
              <w:rPr>
                <w:sz w:val="20"/>
                <w:szCs w:val="20"/>
              </w:rPr>
            </w:pPr>
            <w:r w:rsidRPr="00E747B5">
              <w:rPr>
                <w:sz w:val="20"/>
                <w:szCs w:val="20"/>
              </w:rPr>
              <w:t>Updated acronym list</w:t>
            </w:r>
          </w:p>
        </w:tc>
      </w:tr>
      <w:tr w:rsidR="00320541" w14:paraId="131C7898" w14:textId="77777777" w:rsidTr="00865438">
        <w:trPr>
          <w:trHeight w:val="120"/>
        </w:trPr>
        <w:tc>
          <w:tcPr>
            <w:tcW w:w="1165" w:type="dxa"/>
          </w:tcPr>
          <w:p w14:paraId="00000290" w14:textId="77777777" w:rsidR="00D67C8C" w:rsidRPr="00E747B5" w:rsidRDefault="00C80A11" w:rsidP="00865438">
            <w:pPr>
              <w:pStyle w:val="TableTextLeft"/>
              <w:rPr>
                <w:sz w:val="20"/>
                <w:szCs w:val="20"/>
              </w:rPr>
            </w:pPr>
            <w:r w:rsidRPr="00E747B5">
              <w:rPr>
                <w:sz w:val="20"/>
                <w:szCs w:val="20"/>
              </w:rPr>
              <w:t>4.0</w:t>
            </w:r>
          </w:p>
        </w:tc>
        <w:tc>
          <w:tcPr>
            <w:tcW w:w="1530" w:type="dxa"/>
          </w:tcPr>
          <w:p w14:paraId="00000291" w14:textId="77777777" w:rsidR="00D67C8C" w:rsidRPr="00E747B5" w:rsidRDefault="00C80A11" w:rsidP="00865438">
            <w:pPr>
              <w:pStyle w:val="TableTextLeft"/>
              <w:rPr>
                <w:sz w:val="20"/>
                <w:szCs w:val="20"/>
              </w:rPr>
            </w:pPr>
            <w:r w:rsidRPr="00E747B5">
              <w:rPr>
                <w:sz w:val="20"/>
                <w:szCs w:val="20"/>
              </w:rPr>
              <w:t>May 2020</w:t>
            </w:r>
          </w:p>
        </w:tc>
        <w:tc>
          <w:tcPr>
            <w:tcW w:w="1890" w:type="dxa"/>
          </w:tcPr>
          <w:p w14:paraId="00000292" w14:textId="77777777" w:rsidR="00D67C8C" w:rsidRPr="00E747B5" w:rsidRDefault="00C80A11" w:rsidP="00865438">
            <w:pPr>
              <w:pStyle w:val="TableTextLeft"/>
              <w:rPr>
                <w:sz w:val="20"/>
                <w:szCs w:val="20"/>
              </w:rPr>
            </w:pPr>
            <w:r w:rsidRPr="00E747B5">
              <w:rPr>
                <w:sz w:val="20"/>
                <w:szCs w:val="20"/>
              </w:rPr>
              <w:t>CMS (Mathematica)</w:t>
            </w:r>
          </w:p>
        </w:tc>
        <w:tc>
          <w:tcPr>
            <w:tcW w:w="4770" w:type="dxa"/>
          </w:tcPr>
          <w:p w14:paraId="00000293" w14:textId="77777777" w:rsidR="00D67C8C" w:rsidRPr="00E747B5" w:rsidRDefault="00C80A11" w:rsidP="00E747B5">
            <w:pPr>
              <w:pStyle w:val="TableListBullet"/>
              <w:rPr>
                <w:sz w:val="20"/>
                <w:szCs w:val="20"/>
              </w:rPr>
            </w:pPr>
            <w:r w:rsidRPr="00E747B5">
              <w:rPr>
                <w:rFonts w:cs="Arial"/>
                <w:sz w:val="20"/>
                <w:szCs w:val="20"/>
              </w:rPr>
              <w:t xml:space="preserve">Updated measure examples, figures, hyperlinks, and versions of standards referenced throughout </w:t>
            </w:r>
          </w:p>
          <w:p w14:paraId="00000294" w14:textId="77777777" w:rsidR="00D67C8C" w:rsidRPr="00E747B5" w:rsidRDefault="00C80A11" w:rsidP="00E747B5">
            <w:pPr>
              <w:pStyle w:val="TableListBullet"/>
              <w:rPr>
                <w:sz w:val="20"/>
                <w:szCs w:val="20"/>
              </w:rPr>
            </w:pPr>
            <w:r w:rsidRPr="00E747B5">
              <w:rPr>
                <w:rFonts w:cs="Arial"/>
                <w:sz w:val="20"/>
                <w:szCs w:val="20"/>
              </w:rPr>
              <w:t>Revised text based on input from interested parties and external reviewers</w:t>
            </w:r>
          </w:p>
          <w:p w14:paraId="00000295" w14:textId="77777777" w:rsidR="00D67C8C" w:rsidRPr="00E747B5" w:rsidRDefault="00C80A11" w:rsidP="00E747B5">
            <w:pPr>
              <w:pStyle w:val="TableListBullet"/>
              <w:rPr>
                <w:sz w:val="20"/>
                <w:szCs w:val="20"/>
              </w:rPr>
            </w:pPr>
            <w:r w:rsidRPr="00E747B5">
              <w:rPr>
                <w:sz w:val="20"/>
                <w:szCs w:val="20"/>
              </w:rPr>
              <w:t>Updated acronym list</w:t>
            </w:r>
          </w:p>
        </w:tc>
      </w:tr>
      <w:tr w:rsidR="00320541" w14:paraId="464B1C5C" w14:textId="77777777" w:rsidTr="00865438">
        <w:trPr>
          <w:trHeight w:val="120"/>
        </w:trPr>
        <w:tc>
          <w:tcPr>
            <w:tcW w:w="1165" w:type="dxa"/>
          </w:tcPr>
          <w:p w14:paraId="00000296" w14:textId="77777777" w:rsidR="00D67C8C" w:rsidRPr="00E747B5" w:rsidRDefault="00C80A11" w:rsidP="00865438">
            <w:pPr>
              <w:pStyle w:val="TableTextLeft"/>
              <w:rPr>
                <w:sz w:val="20"/>
                <w:szCs w:val="20"/>
              </w:rPr>
            </w:pPr>
            <w:r w:rsidRPr="00E747B5">
              <w:rPr>
                <w:sz w:val="20"/>
                <w:szCs w:val="20"/>
              </w:rPr>
              <w:t>5.0</w:t>
            </w:r>
          </w:p>
        </w:tc>
        <w:tc>
          <w:tcPr>
            <w:tcW w:w="1530" w:type="dxa"/>
          </w:tcPr>
          <w:p w14:paraId="00000297" w14:textId="77777777" w:rsidR="00D67C8C" w:rsidRPr="00E747B5" w:rsidRDefault="00C80A11" w:rsidP="00865438">
            <w:pPr>
              <w:pStyle w:val="TableTextLeft"/>
              <w:rPr>
                <w:sz w:val="20"/>
                <w:szCs w:val="20"/>
              </w:rPr>
            </w:pPr>
            <w:r w:rsidRPr="00E747B5">
              <w:rPr>
                <w:sz w:val="20"/>
                <w:szCs w:val="20"/>
              </w:rPr>
              <w:t>May 2021</w:t>
            </w:r>
          </w:p>
        </w:tc>
        <w:tc>
          <w:tcPr>
            <w:tcW w:w="1890" w:type="dxa"/>
          </w:tcPr>
          <w:p w14:paraId="00000298" w14:textId="77777777" w:rsidR="00D67C8C" w:rsidRPr="00E747B5" w:rsidRDefault="00C80A11" w:rsidP="00865438">
            <w:pPr>
              <w:pStyle w:val="TableTextLeft"/>
              <w:rPr>
                <w:sz w:val="20"/>
                <w:szCs w:val="20"/>
              </w:rPr>
            </w:pPr>
            <w:r w:rsidRPr="00E747B5">
              <w:rPr>
                <w:sz w:val="20"/>
                <w:szCs w:val="20"/>
              </w:rPr>
              <w:t>CMS (Mathematica)</w:t>
            </w:r>
          </w:p>
        </w:tc>
        <w:tc>
          <w:tcPr>
            <w:tcW w:w="4770" w:type="dxa"/>
          </w:tcPr>
          <w:p w14:paraId="00000299" w14:textId="77777777" w:rsidR="00D67C8C" w:rsidRPr="00E747B5" w:rsidRDefault="00C80A11" w:rsidP="00E747B5">
            <w:pPr>
              <w:pStyle w:val="TableListBullet"/>
              <w:rPr>
                <w:sz w:val="20"/>
                <w:szCs w:val="20"/>
              </w:rPr>
            </w:pPr>
            <w:r w:rsidRPr="00E747B5">
              <w:rPr>
                <w:rFonts w:cs="Arial"/>
                <w:sz w:val="20"/>
                <w:szCs w:val="20"/>
              </w:rPr>
              <w:t xml:space="preserve">Updated measure examples, figures, hyperlinks, and versions of standards referenced throughout </w:t>
            </w:r>
          </w:p>
          <w:p w14:paraId="0000029A" w14:textId="77777777" w:rsidR="00D67C8C" w:rsidRPr="00E747B5" w:rsidRDefault="00C80A11" w:rsidP="00E747B5">
            <w:pPr>
              <w:pStyle w:val="TableListBullet"/>
              <w:rPr>
                <w:sz w:val="20"/>
                <w:szCs w:val="20"/>
              </w:rPr>
            </w:pPr>
            <w:r w:rsidRPr="00E747B5">
              <w:rPr>
                <w:rFonts w:cs="Arial"/>
                <w:sz w:val="20"/>
                <w:szCs w:val="20"/>
              </w:rPr>
              <w:t xml:space="preserve">Removed measure tables </w:t>
            </w:r>
          </w:p>
          <w:p w14:paraId="0000029B" w14:textId="77777777" w:rsidR="00D67C8C" w:rsidRPr="00E747B5" w:rsidRDefault="00C80A11" w:rsidP="00E747B5">
            <w:pPr>
              <w:pStyle w:val="TableListBullet"/>
              <w:rPr>
                <w:sz w:val="20"/>
                <w:szCs w:val="20"/>
              </w:rPr>
            </w:pPr>
            <w:r w:rsidRPr="00E747B5">
              <w:rPr>
                <w:rFonts w:cs="Arial"/>
                <w:sz w:val="20"/>
                <w:szCs w:val="20"/>
              </w:rPr>
              <w:t>Revised text based on input from interested parties and external reviewers</w:t>
            </w:r>
          </w:p>
          <w:p w14:paraId="0000029C" w14:textId="77777777" w:rsidR="00D67C8C" w:rsidRPr="00E747B5" w:rsidRDefault="00C80A11" w:rsidP="00E747B5">
            <w:pPr>
              <w:pStyle w:val="TableListBullet"/>
              <w:rPr>
                <w:sz w:val="20"/>
                <w:szCs w:val="20"/>
              </w:rPr>
            </w:pPr>
            <w:r w:rsidRPr="00E747B5">
              <w:rPr>
                <w:rFonts w:cs="Arial"/>
                <w:sz w:val="20"/>
                <w:szCs w:val="20"/>
              </w:rPr>
              <w:t xml:space="preserve">Added section on hybrid measures, Program Candidate measures, and telehealth information </w:t>
            </w:r>
          </w:p>
          <w:p w14:paraId="0000029D" w14:textId="77777777" w:rsidR="00D67C8C" w:rsidRPr="00E747B5" w:rsidRDefault="00C80A11" w:rsidP="00E747B5">
            <w:pPr>
              <w:pStyle w:val="TableListBullet"/>
              <w:rPr>
                <w:sz w:val="20"/>
                <w:szCs w:val="20"/>
              </w:rPr>
            </w:pPr>
            <w:r w:rsidRPr="00E747B5">
              <w:rPr>
                <w:sz w:val="20"/>
                <w:szCs w:val="20"/>
              </w:rPr>
              <w:t>Added reference to eCQM and QRDA Known Issue trackers</w:t>
            </w:r>
          </w:p>
        </w:tc>
      </w:tr>
      <w:tr w:rsidR="00320541" w14:paraId="4A8BD7A7" w14:textId="77777777" w:rsidTr="00865438">
        <w:trPr>
          <w:trHeight w:val="120"/>
        </w:trPr>
        <w:tc>
          <w:tcPr>
            <w:tcW w:w="1165" w:type="dxa"/>
          </w:tcPr>
          <w:p w14:paraId="0000029E" w14:textId="77777777" w:rsidR="00D67C8C" w:rsidRPr="00E747B5" w:rsidRDefault="00C80A11" w:rsidP="00865438">
            <w:pPr>
              <w:pStyle w:val="TableTextLeft"/>
              <w:rPr>
                <w:sz w:val="20"/>
                <w:szCs w:val="20"/>
              </w:rPr>
            </w:pPr>
            <w:r w:rsidRPr="00E747B5">
              <w:rPr>
                <w:sz w:val="20"/>
                <w:szCs w:val="20"/>
              </w:rPr>
              <w:t>6.0</w:t>
            </w:r>
          </w:p>
        </w:tc>
        <w:tc>
          <w:tcPr>
            <w:tcW w:w="1530" w:type="dxa"/>
          </w:tcPr>
          <w:p w14:paraId="0000029F" w14:textId="77777777" w:rsidR="00D67C8C" w:rsidRPr="00E747B5" w:rsidRDefault="00C80A11" w:rsidP="00865438">
            <w:pPr>
              <w:pStyle w:val="TableTextLeft"/>
              <w:rPr>
                <w:sz w:val="20"/>
                <w:szCs w:val="20"/>
              </w:rPr>
            </w:pPr>
            <w:r w:rsidRPr="00E747B5">
              <w:rPr>
                <w:sz w:val="20"/>
                <w:szCs w:val="20"/>
              </w:rPr>
              <w:t>May 2022</w:t>
            </w:r>
          </w:p>
        </w:tc>
        <w:tc>
          <w:tcPr>
            <w:tcW w:w="1890" w:type="dxa"/>
          </w:tcPr>
          <w:p w14:paraId="000002A0" w14:textId="77777777" w:rsidR="00D67C8C" w:rsidRPr="00E747B5" w:rsidRDefault="00C80A11" w:rsidP="00865438">
            <w:pPr>
              <w:pStyle w:val="TableTextLeft"/>
              <w:rPr>
                <w:sz w:val="20"/>
                <w:szCs w:val="20"/>
              </w:rPr>
            </w:pPr>
            <w:r w:rsidRPr="00E747B5">
              <w:rPr>
                <w:sz w:val="20"/>
                <w:szCs w:val="20"/>
              </w:rPr>
              <w:t>CMS (Mathematica)</w:t>
            </w:r>
          </w:p>
        </w:tc>
        <w:tc>
          <w:tcPr>
            <w:tcW w:w="4770" w:type="dxa"/>
          </w:tcPr>
          <w:p w14:paraId="000002A1" w14:textId="77777777" w:rsidR="00D67C8C" w:rsidRPr="00E747B5" w:rsidRDefault="00C80A11" w:rsidP="00E747B5">
            <w:pPr>
              <w:pStyle w:val="TableListBullet"/>
              <w:rPr>
                <w:sz w:val="20"/>
                <w:szCs w:val="20"/>
              </w:rPr>
            </w:pPr>
            <w:r w:rsidRPr="00E747B5">
              <w:rPr>
                <w:rFonts w:cs="Arial"/>
                <w:sz w:val="20"/>
                <w:szCs w:val="20"/>
              </w:rPr>
              <w:t xml:space="preserve">Updated measure examples, figures, hyperlinks, and versions of standards referenced throughout </w:t>
            </w:r>
          </w:p>
          <w:p w14:paraId="000002A2" w14:textId="77777777" w:rsidR="00D67C8C" w:rsidRPr="00E747B5" w:rsidRDefault="00C80A11" w:rsidP="00E747B5">
            <w:pPr>
              <w:pStyle w:val="TableListBullet"/>
              <w:rPr>
                <w:sz w:val="20"/>
                <w:szCs w:val="20"/>
              </w:rPr>
            </w:pPr>
            <w:r w:rsidRPr="00E747B5">
              <w:rPr>
                <w:sz w:val="20"/>
                <w:szCs w:val="20"/>
              </w:rPr>
              <w:t>Revised text based on input from interested parties and external reviewers</w:t>
            </w:r>
          </w:p>
        </w:tc>
      </w:tr>
      <w:tr w:rsidR="00320541" w14:paraId="71DD0086" w14:textId="77777777" w:rsidTr="00865438">
        <w:trPr>
          <w:trHeight w:val="120"/>
        </w:trPr>
        <w:tc>
          <w:tcPr>
            <w:tcW w:w="1165" w:type="dxa"/>
          </w:tcPr>
          <w:p w14:paraId="000002A3" w14:textId="77777777" w:rsidR="00D67C8C" w:rsidRPr="00E747B5" w:rsidRDefault="00C80A11" w:rsidP="00865438">
            <w:pPr>
              <w:pStyle w:val="TableTextLeft"/>
              <w:rPr>
                <w:sz w:val="20"/>
                <w:szCs w:val="20"/>
              </w:rPr>
            </w:pPr>
            <w:r w:rsidRPr="00E747B5">
              <w:rPr>
                <w:sz w:val="20"/>
                <w:szCs w:val="20"/>
              </w:rPr>
              <w:t>7.0</w:t>
            </w:r>
          </w:p>
        </w:tc>
        <w:tc>
          <w:tcPr>
            <w:tcW w:w="1530" w:type="dxa"/>
          </w:tcPr>
          <w:p w14:paraId="000002A4" w14:textId="77777777" w:rsidR="00D67C8C" w:rsidRPr="00E747B5" w:rsidRDefault="00C80A11" w:rsidP="00865438">
            <w:pPr>
              <w:pStyle w:val="TableTextLeft"/>
              <w:rPr>
                <w:sz w:val="20"/>
                <w:szCs w:val="20"/>
              </w:rPr>
            </w:pPr>
            <w:r w:rsidRPr="00E747B5">
              <w:rPr>
                <w:sz w:val="20"/>
                <w:szCs w:val="20"/>
              </w:rPr>
              <w:t>May 2023</w:t>
            </w:r>
          </w:p>
        </w:tc>
        <w:tc>
          <w:tcPr>
            <w:tcW w:w="1890" w:type="dxa"/>
          </w:tcPr>
          <w:p w14:paraId="000002A5" w14:textId="77777777" w:rsidR="00D67C8C" w:rsidRPr="00E747B5" w:rsidRDefault="00C80A11" w:rsidP="00865438">
            <w:pPr>
              <w:pStyle w:val="TableTextLeft"/>
              <w:rPr>
                <w:sz w:val="20"/>
                <w:szCs w:val="20"/>
              </w:rPr>
            </w:pPr>
            <w:r w:rsidRPr="00E747B5">
              <w:rPr>
                <w:sz w:val="20"/>
                <w:szCs w:val="20"/>
              </w:rPr>
              <w:t>CMS (Mathematica)</w:t>
            </w:r>
          </w:p>
        </w:tc>
        <w:tc>
          <w:tcPr>
            <w:tcW w:w="4770" w:type="dxa"/>
          </w:tcPr>
          <w:p w14:paraId="000002A6" w14:textId="77777777" w:rsidR="00D67C8C" w:rsidRPr="00E747B5" w:rsidRDefault="00C80A11" w:rsidP="00E747B5">
            <w:pPr>
              <w:pStyle w:val="TableListBullet"/>
              <w:rPr>
                <w:sz w:val="20"/>
                <w:szCs w:val="20"/>
              </w:rPr>
            </w:pPr>
            <w:r w:rsidRPr="00E747B5">
              <w:rPr>
                <w:sz w:val="20"/>
                <w:szCs w:val="20"/>
              </w:rPr>
              <w:t xml:space="preserve">Updated measure examples, figures, hyperlinks, and versions of standards referenced throughout </w:t>
            </w:r>
          </w:p>
          <w:p w14:paraId="000002A7" w14:textId="77777777" w:rsidR="00D67C8C" w:rsidRPr="00E747B5" w:rsidRDefault="00C80A11" w:rsidP="00E747B5">
            <w:pPr>
              <w:pStyle w:val="TableListBullet"/>
              <w:rPr>
                <w:sz w:val="20"/>
                <w:szCs w:val="20"/>
              </w:rPr>
            </w:pPr>
            <w:r w:rsidRPr="00E747B5">
              <w:rPr>
                <w:sz w:val="20"/>
                <w:szCs w:val="20"/>
              </w:rPr>
              <w:t>Revised text based on input from interested parties and external reviewers</w:t>
            </w:r>
          </w:p>
        </w:tc>
      </w:tr>
      <w:tr w:rsidR="00320541" w14:paraId="466A133C" w14:textId="77777777" w:rsidTr="00865438">
        <w:trPr>
          <w:trHeight w:val="120"/>
        </w:trPr>
        <w:tc>
          <w:tcPr>
            <w:tcW w:w="1165" w:type="dxa"/>
          </w:tcPr>
          <w:p w14:paraId="000002A8" w14:textId="77777777" w:rsidR="00D67C8C" w:rsidRPr="00E747B5" w:rsidRDefault="00C80A11" w:rsidP="00865438">
            <w:pPr>
              <w:pStyle w:val="TableTextLeft"/>
              <w:rPr>
                <w:sz w:val="20"/>
                <w:szCs w:val="20"/>
              </w:rPr>
            </w:pPr>
            <w:r w:rsidRPr="00E747B5">
              <w:rPr>
                <w:sz w:val="20"/>
                <w:szCs w:val="20"/>
              </w:rPr>
              <w:t>8.0</w:t>
            </w:r>
          </w:p>
        </w:tc>
        <w:tc>
          <w:tcPr>
            <w:tcW w:w="1530" w:type="dxa"/>
          </w:tcPr>
          <w:p w14:paraId="000002A9" w14:textId="77777777" w:rsidR="00D67C8C" w:rsidRPr="00E747B5" w:rsidRDefault="00C80A11" w:rsidP="00865438">
            <w:pPr>
              <w:pStyle w:val="TableTextLeft"/>
              <w:rPr>
                <w:sz w:val="20"/>
                <w:szCs w:val="20"/>
              </w:rPr>
            </w:pPr>
            <w:r w:rsidRPr="00E747B5">
              <w:rPr>
                <w:sz w:val="20"/>
                <w:szCs w:val="20"/>
              </w:rPr>
              <w:t>May 2024</w:t>
            </w:r>
          </w:p>
        </w:tc>
        <w:tc>
          <w:tcPr>
            <w:tcW w:w="1890" w:type="dxa"/>
          </w:tcPr>
          <w:p w14:paraId="000002AA" w14:textId="77777777" w:rsidR="00D67C8C" w:rsidRPr="00E747B5" w:rsidRDefault="00C80A11" w:rsidP="00865438">
            <w:pPr>
              <w:pStyle w:val="TableTextLeft"/>
              <w:rPr>
                <w:sz w:val="20"/>
                <w:szCs w:val="20"/>
              </w:rPr>
            </w:pPr>
            <w:r w:rsidRPr="00E747B5">
              <w:rPr>
                <w:sz w:val="20"/>
                <w:szCs w:val="20"/>
              </w:rPr>
              <w:t>CMS (Mathematica)</w:t>
            </w:r>
          </w:p>
        </w:tc>
        <w:tc>
          <w:tcPr>
            <w:tcW w:w="4770" w:type="dxa"/>
          </w:tcPr>
          <w:p w14:paraId="000002AB" w14:textId="77777777" w:rsidR="00D67C8C" w:rsidRPr="00E747B5" w:rsidRDefault="00C80A11" w:rsidP="00E747B5">
            <w:pPr>
              <w:pStyle w:val="TableListBullet"/>
              <w:rPr>
                <w:sz w:val="20"/>
                <w:szCs w:val="20"/>
              </w:rPr>
            </w:pPr>
            <w:r w:rsidRPr="00E747B5">
              <w:rPr>
                <w:sz w:val="20"/>
                <w:szCs w:val="20"/>
              </w:rPr>
              <w:t>Added section related to ratio measures</w:t>
            </w:r>
          </w:p>
          <w:p w14:paraId="000002AC" w14:textId="77777777" w:rsidR="00D67C8C" w:rsidRPr="00E747B5" w:rsidRDefault="00C80A11" w:rsidP="00E747B5">
            <w:pPr>
              <w:pStyle w:val="TableListBullet"/>
              <w:rPr>
                <w:sz w:val="20"/>
                <w:szCs w:val="20"/>
              </w:rPr>
            </w:pPr>
            <w:r w:rsidRPr="00E747B5">
              <w:rPr>
                <w:sz w:val="20"/>
                <w:szCs w:val="20"/>
              </w:rPr>
              <w:t xml:space="preserve">Updated measure examples, figures, hyperlinks, and versions of standards referenced throughout </w:t>
            </w:r>
          </w:p>
          <w:p w14:paraId="000002AD" w14:textId="77777777" w:rsidR="00D67C8C" w:rsidRPr="00E747B5" w:rsidRDefault="00C80A11" w:rsidP="00E747B5">
            <w:pPr>
              <w:pStyle w:val="TableListBullet"/>
              <w:rPr>
                <w:sz w:val="20"/>
                <w:szCs w:val="20"/>
              </w:rPr>
            </w:pPr>
            <w:r w:rsidRPr="00E747B5">
              <w:rPr>
                <w:sz w:val="20"/>
                <w:szCs w:val="20"/>
              </w:rPr>
              <w:t>Revised text based on input from interested parties and reviewers</w:t>
            </w:r>
          </w:p>
          <w:p w14:paraId="000002AE" w14:textId="77777777" w:rsidR="00D67C8C" w:rsidRPr="00E747B5" w:rsidRDefault="00C80A11" w:rsidP="00E747B5">
            <w:pPr>
              <w:pStyle w:val="TableListBullet"/>
              <w:rPr>
                <w:sz w:val="20"/>
                <w:szCs w:val="20"/>
              </w:rPr>
            </w:pPr>
            <w:r w:rsidRPr="00E747B5">
              <w:rPr>
                <w:sz w:val="20"/>
                <w:szCs w:val="20"/>
              </w:rPr>
              <w:t>Updated acronym list</w:t>
            </w:r>
          </w:p>
          <w:p w14:paraId="000002AF" w14:textId="77777777" w:rsidR="00D67C8C" w:rsidRPr="00E747B5" w:rsidRDefault="00C80A11" w:rsidP="00E747B5">
            <w:pPr>
              <w:pStyle w:val="TableListBullet"/>
              <w:rPr>
                <w:sz w:val="20"/>
                <w:szCs w:val="20"/>
              </w:rPr>
            </w:pPr>
            <w:r w:rsidRPr="00E747B5">
              <w:rPr>
                <w:sz w:val="20"/>
                <w:szCs w:val="20"/>
              </w:rPr>
              <w:t>Revised all instances of “pre-rulemaking” to “program candidate”</w:t>
            </w:r>
          </w:p>
          <w:p w14:paraId="000002B0" w14:textId="77777777" w:rsidR="00D67C8C" w:rsidRPr="00E747B5" w:rsidRDefault="00C80A11" w:rsidP="00E747B5">
            <w:pPr>
              <w:pStyle w:val="TableListBullet"/>
              <w:rPr>
                <w:sz w:val="20"/>
                <w:szCs w:val="20"/>
              </w:rPr>
            </w:pPr>
            <w:r w:rsidRPr="00E747B5">
              <w:rPr>
                <w:sz w:val="20"/>
                <w:szCs w:val="20"/>
              </w:rPr>
              <w:t xml:space="preserve">Made revisions for clarity throughout </w:t>
            </w:r>
          </w:p>
          <w:p w14:paraId="000002B1" w14:textId="77777777" w:rsidR="00D67C8C" w:rsidRPr="00E747B5" w:rsidRDefault="00C80A11" w:rsidP="00E747B5">
            <w:pPr>
              <w:pStyle w:val="TableListBullet"/>
              <w:rPr>
                <w:sz w:val="20"/>
                <w:szCs w:val="20"/>
              </w:rPr>
            </w:pPr>
            <w:r w:rsidRPr="00E747B5">
              <w:rPr>
                <w:sz w:val="20"/>
                <w:szCs w:val="20"/>
              </w:rPr>
              <w:t xml:space="preserve">Moved to active voice </w:t>
            </w:r>
          </w:p>
          <w:p w14:paraId="000002B2" w14:textId="77777777" w:rsidR="00D67C8C" w:rsidRPr="00E747B5" w:rsidRDefault="00C80A11" w:rsidP="00E747B5">
            <w:pPr>
              <w:pStyle w:val="TableListBullet"/>
              <w:rPr>
                <w:sz w:val="20"/>
                <w:szCs w:val="20"/>
              </w:rPr>
            </w:pPr>
            <w:r w:rsidRPr="00E747B5">
              <w:rPr>
                <w:sz w:val="20"/>
                <w:szCs w:val="20"/>
              </w:rPr>
              <w:t>Replaced the term “stakeholders” with “interested parties”</w:t>
            </w:r>
          </w:p>
        </w:tc>
      </w:tr>
      <w:tr w:rsidR="00320541" w14:paraId="6CE2CD3F" w14:textId="77777777" w:rsidTr="00865438">
        <w:trPr>
          <w:trHeight w:val="120"/>
        </w:trPr>
        <w:tc>
          <w:tcPr>
            <w:tcW w:w="1165" w:type="dxa"/>
          </w:tcPr>
          <w:p w14:paraId="000002B3" w14:textId="4B880152" w:rsidR="00D67C8C" w:rsidRPr="00E747B5" w:rsidRDefault="00C80A11" w:rsidP="00865438">
            <w:pPr>
              <w:pStyle w:val="TableTextLeft"/>
              <w:rPr>
                <w:sz w:val="20"/>
                <w:szCs w:val="20"/>
              </w:rPr>
            </w:pPr>
            <w:r w:rsidRPr="00E747B5">
              <w:rPr>
                <w:sz w:val="20"/>
                <w:szCs w:val="20"/>
              </w:rPr>
              <w:lastRenderedPageBreak/>
              <w:t>9.0</w:t>
            </w:r>
          </w:p>
        </w:tc>
        <w:tc>
          <w:tcPr>
            <w:tcW w:w="1530" w:type="dxa"/>
          </w:tcPr>
          <w:p w14:paraId="000002B4" w14:textId="44D2A6F4" w:rsidR="00D67C8C" w:rsidRPr="00E747B5" w:rsidRDefault="00C80A11" w:rsidP="00865438">
            <w:pPr>
              <w:pStyle w:val="TableTextLeft"/>
              <w:rPr>
                <w:rFonts w:cs="Arial"/>
                <w:sz w:val="20"/>
                <w:szCs w:val="20"/>
              </w:rPr>
            </w:pPr>
            <w:r w:rsidRPr="00E747B5">
              <w:rPr>
                <w:rFonts w:cs="Arial"/>
                <w:sz w:val="20"/>
                <w:szCs w:val="20"/>
              </w:rPr>
              <w:t>May 2025</w:t>
            </w:r>
          </w:p>
        </w:tc>
        <w:tc>
          <w:tcPr>
            <w:tcW w:w="1890" w:type="dxa"/>
          </w:tcPr>
          <w:p w14:paraId="000002B5" w14:textId="43CF674E" w:rsidR="00D67C8C" w:rsidRPr="00E747B5" w:rsidRDefault="00C80A11" w:rsidP="00865438">
            <w:pPr>
              <w:pStyle w:val="TableTextLeft"/>
              <w:rPr>
                <w:rFonts w:cs="Arial"/>
                <w:sz w:val="20"/>
                <w:szCs w:val="20"/>
              </w:rPr>
            </w:pPr>
            <w:r w:rsidRPr="00E747B5">
              <w:rPr>
                <w:rFonts w:cs="Arial"/>
                <w:sz w:val="20"/>
                <w:szCs w:val="20"/>
              </w:rPr>
              <w:t>CMS (Mathematica)</w:t>
            </w:r>
          </w:p>
        </w:tc>
        <w:tc>
          <w:tcPr>
            <w:tcW w:w="4770" w:type="dxa"/>
          </w:tcPr>
          <w:p w14:paraId="000002B6" w14:textId="03A73861" w:rsidR="00D67C8C" w:rsidRPr="00E747B5" w:rsidRDefault="00C80A11" w:rsidP="00E747B5">
            <w:pPr>
              <w:pStyle w:val="TableListBullet"/>
              <w:rPr>
                <w:rFonts w:cs="Arial"/>
                <w:sz w:val="20"/>
                <w:szCs w:val="20"/>
              </w:rPr>
            </w:pPr>
            <w:r w:rsidRPr="00E747B5">
              <w:rPr>
                <w:rFonts w:cs="Arial"/>
                <w:sz w:val="20"/>
                <w:szCs w:val="20"/>
              </w:rPr>
              <w:t xml:space="preserve">Updated measure examples, figures, hyperlinks, and versions of standards referenced throughout </w:t>
            </w:r>
          </w:p>
          <w:p w14:paraId="36DA1D75" w14:textId="77777777" w:rsidR="00D67C8C" w:rsidRPr="00E747B5" w:rsidRDefault="00C80A11" w:rsidP="00E747B5">
            <w:pPr>
              <w:pStyle w:val="TableListBullet"/>
              <w:rPr>
                <w:rFonts w:cs="Arial"/>
                <w:sz w:val="20"/>
                <w:szCs w:val="20"/>
              </w:rPr>
            </w:pPr>
            <w:r w:rsidRPr="00E747B5">
              <w:rPr>
                <w:rFonts w:cs="Arial"/>
                <w:sz w:val="20"/>
                <w:szCs w:val="20"/>
              </w:rPr>
              <w:t>Revised text based on input from interested parties and reviewers</w:t>
            </w:r>
          </w:p>
          <w:p w14:paraId="361BE5E6" w14:textId="77777777" w:rsidR="00D2666E" w:rsidRPr="00E747B5" w:rsidRDefault="00D2666E" w:rsidP="00E747B5">
            <w:pPr>
              <w:pStyle w:val="TableListBullet"/>
              <w:rPr>
                <w:sz w:val="20"/>
                <w:szCs w:val="20"/>
              </w:rPr>
            </w:pPr>
            <w:r w:rsidRPr="00E747B5">
              <w:rPr>
                <w:rFonts w:cs="Arial"/>
                <w:sz w:val="20"/>
                <w:szCs w:val="20"/>
              </w:rPr>
              <w:t>Made revisions for clarity throughout</w:t>
            </w:r>
          </w:p>
          <w:p w14:paraId="297C4F14" w14:textId="77777777" w:rsidR="00D2666E" w:rsidRPr="00E747B5" w:rsidRDefault="00D2666E" w:rsidP="00E747B5">
            <w:pPr>
              <w:pStyle w:val="TableListBullet"/>
              <w:rPr>
                <w:sz w:val="20"/>
                <w:szCs w:val="20"/>
              </w:rPr>
            </w:pPr>
            <w:r w:rsidRPr="00E747B5">
              <w:rPr>
                <w:rFonts w:cs="Arial"/>
                <w:sz w:val="20"/>
                <w:szCs w:val="20"/>
              </w:rPr>
              <w:t>Updated section on ratio measures to align with MMS Hub resources</w:t>
            </w:r>
          </w:p>
          <w:p w14:paraId="000002B7" w14:textId="6DCCF73B" w:rsidR="00D2666E" w:rsidRPr="00E747B5" w:rsidRDefault="00D2666E" w:rsidP="00E747B5">
            <w:pPr>
              <w:pStyle w:val="TableListBullet"/>
              <w:rPr>
                <w:sz w:val="20"/>
                <w:szCs w:val="20"/>
              </w:rPr>
            </w:pPr>
            <w:r w:rsidRPr="00E747B5">
              <w:rPr>
                <w:rFonts w:cs="Arial"/>
                <w:sz w:val="20"/>
                <w:szCs w:val="20"/>
              </w:rPr>
              <w:t>Removed appendix with specific standards and code systems used in</w:t>
            </w:r>
            <w:r w:rsidR="007B1728" w:rsidRPr="00E747B5">
              <w:rPr>
                <w:rFonts w:cs="Arial"/>
                <w:sz w:val="20"/>
                <w:szCs w:val="20"/>
              </w:rPr>
              <w:t xml:space="preserve"> updated</w:t>
            </w:r>
            <w:r w:rsidRPr="00E747B5">
              <w:rPr>
                <w:rFonts w:cs="Arial"/>
                <w:sz w:val="20"/>
                <w:szCs w:val="20"/>
              </w:rPr>
              <w:t xml:space="preserve"> eCQMs and directed readers to eCQI Resource Center</w:t>
            </w:r>
          </w:p>
        </w:tc>
      </w:tr>
      <w:tr w:rsidR="00415519" w14:paraId="75B862B0" w14:textId="77777777" w:rsidTr="00865438">
        <w:trPr>
          <w:trHeight w:val="120"/>
        </w:trPr>
        <w:tc>
          <w:tcPr>
            <w:tcW w:w="1165" w:type="dxa"/>
          </w:tcPr>
          <w:p w14:paraId="43203E98" w14:textId="224F4671" w:rsidR="00415519" w:rsidRPr="00E747B5" w:rsidRDefault="00415519" w:rsidP="00865438">
            <w:pPr>
              <w:pStyle w:val="TableTextLeft"/>
              <w:rPr>
                <w:szCs w:val="20"/>
              </w:rPr>
            </w:pPr>
            <w:r>
              <w:rPr>
                <w:szCs w:val="20"/>
              </w:rPr>
              <w:t>10.0</w:t>
            </w:r>
          </w:p>
        </w:tc>
        <w:tc>
          <w:tcPr>
            <w:tcW w:w="1530" w:type="dxa"/>
          </w:tcPr>
          <w:p w14:paraId="470E373E" w14:textId="3BAAC20C" w:rsidR="00415519" w:rsidRPr="00E747B5" w:rsidRDefault="00415519" w:rsidP="00865438">
            <w:pPr>
              <w:pStyle w:val="TableTextLeft"/>
              <w:rPr>
                <w:rFonts w:cs="Arial"/>
                <w:szCs w:val="20"/>
              </w:rPr>
            </w:pPr>
            <w:r>
              <w:rPr>
                <w:rFonts w:cs="Arial"/>
                <w:szCs w:val="20"/>
              </w:rPr>
              <w:t>May 2026</w:t>
            </w:r>
          </w:p>
        </w:tc>
        <w:tc>
          <w:tcPr>
            <w:tcW w:w="1890" w:type="dxa"/>
          </w:tcPr>
          <w:p w14:paraId="076A2031" w14:textId="30BD8D63" w:rsidR="00415519" w:rsidRPr="00EF07A0" w:rsidRDefault="00415519" w:rsidP="00865438">
            <w:pPr>
              <w:pStyle w:val="TableTextLeft"/>
              <w:rPr>
                <w:rFonts w:cs="Arial"/>
                <w:sz w:val="20"/>
                <w:szCs w:val="20"/>
              </w:rPr>
            </w:pPr>
            <w:r w:rsidRPr="00082219">
              <w:rPr>
                <w:rFonts w:cs="Arial"/>
                <w:szCs w:val="20"/>
              </w:rPr>
              <w:t>CMS (Mathematica)</w:t>
            </w:r>
          </w:p>
        </w:tc>
        <w:tc>
          <w:tcPr>
            <w:tcW w:w="4770" w:type="dxa"/>
          </w:tcPr>
          <w:p w14:paraId="454725D7" w14:textId="77777777" w:rsidR="00415519" w:rsidRPr="00082219" w:rsidRDefault="00415519" w:rsidP="00415519">
            <w:pPr>
              <w:pStyle w:val="TableListBullet"/>
              <w:rPr>
                <w:rFonts w:cs="Arial"/>
                <w:sz w:val="20"/>
                <w:szCs w:val="20"/>
              </w:rPr>
            </w:pPr>
            <w:r w:rsidRPr="00082219">
              <w:rPr>
                <w:rFonts w:cs="Arial"/>
                <w:sz w:val="20"/>
                <w:szCs w:val="20"/>
              </w:rPr>
              <w:t xml:space="preserve">Updated measure examples, figures, hyperlinks, and versions of standards referenced throughout </w:t>
            </w:r>
          </w:p>
          <w:p w14:paraId="0D61A30A" w14:textId="5D200607" w:rsidR="00415519" w:rsidRPr="00EF07A0" w:rsidRDefault="00082219" w:rsidP="00E747B5">
            <w:pPr>
              <w:pStyle w:val="TableListBullet"/>
              <w:rPr>
                <w:rFonts w:cs="Arial"/>
                <w:sz w:val="20"/>
                <w:szCs w:val="20"/>
              </w:rPr>
            </w:pPr>
            <w:r w:rsidRPr="00EF07A0">
              <w:rPr>
                <w:rFonts w:cs="Arial"/>
                <w:sz w:val="20"/>
              </w:rPr>
              <w:t xml:space="preserve">Updated definitions of measure population criteria for clarity. </w:t>
            </w:r>
          </w:p>
        </w:tc>
      </w:tr>
    </w:tbl>
    <w:p w14:paraId="000002B8" w14:textId="77777777" w:rsidR="00D67C8C" w:rsidRDefault="00D67C8C">
      <w:pPr>
        <w:rPr>
          <w:color w:val="333333"/>
        </w:rPr>
        <w:sectPr w:rsidR="00D67C8C" w:rsidSect="005E64B8">
          <w:headerReference w:type="even" r:id="rId153"/>
          <w:headerReference w:type="default" r:id="rId154"/>
          <w:headerReference w:type="first" r:id="rId155"/>
          <w:pgSz w:w="12240" w:h="15840"/>
          <w:pgMar w:top="1440" w:right="1440" w:bottom="1440" w:left="1440" w:header="504" w:footer="504" w:gutter="0"/>
          <w:cols w:space="720"/>
          <w:titlePg/>
        </w:sectPr>
      </w:pPr>
    </w:p>
    <w:p w14:paraId="000002B9" w14:textId="4BAE3CCB" w:rsidR="00D67C8C" w:rsidRPr="00F07F06" w:rsidRDefault="00C80A11" w:rsidP="00F07F06">
      <w:pPr>
        <w:pStyle w:val="AppendixTitle"/>
      </w:pPr>
      <w:bookmarkStart w:id="470" w:name="bookmark=id.49gfa85" w:colFirst="0" w:colLast="0"/>
      <w:bookmarkStart w:id="471" w:name="_heading=h.1pgrrkc" w:colFirst="0" w:colLast="0"/>
      <w:bookmarkStart w:id="472" w:name="_Toc23176777"/>
      <w:bookmarkStart w:id="473" w:name="_Toc56635404"/>
      <w:bookmarkStart w:id="474" w:name="AppA"/>
      <w:bookmarkStart w:id="475" w:name="_Toc159578407"/>
      <w:bookmarkStart w:id="476" w:name="_Toc194959027"/>
      <w:bookmarkStart w:id="477" w:name="_Toc194994777"/>
      <w:bookmarkEnd w:id="470"/>
      <w:bookmarkEnd w:id="471"/>
      <w:r w:rsidRPr="00F07F06">
        <w:lastRenderedPageBreak/>
        <w:t>Appendix A.</w:t>
      </w:r>
      <w:r w:rsidR="00F07F06" w:rsidRPr="00F07F06">
        <w:t xml:space="preserve"> </w:t>
      </w:r>
      <w:r w:rsidRPr="00F07F06">
        <w:t>Standards and Code Systems</w:t>
      </w:r>
      <w:bookmarkEnd w:id="472"/>
      <w:bookmarkEnd w:id="473"/>
      <w:bookmarkEnd w:id="474"/>
      <w:bookmarkEnd w:id="475"/>
      <w:bookmarkEnd w:id="476"/>
      <w:bookmarkEnd w:id="477"/>
    </w:p>
    <w:p w14:paraId="000002BA" w14:textId="78635942" w:rsidR="00D67C8C" w:rsidRPr="005E64B8" w:rsidRDefault="00C80A11" w:rsidP="00F07F06">
      <w:pPr>
        <w:pStyle w:val="ParagraphContinued"/>
      </w:pPr>
      <w:bookmarkStart w:id="478" w:name="_heading=h.2olpkfy" w:colFirst="0" w:colLast="0"/>
      <w:bookmarkStart w:id="479" w:name="_Toc23176778"/>
      <w:bookmarkEnd w:id="478"/>
      <w:r w:rsidRPr="00450D66">
        <w:t>The standards</w:t>
      </w:r>
      <w:r w:rsidR="00DF4B47" w:rsidRPr="00450D66">
        <w:t xml:space="preserve"> </w:t>
      </w:r>
      <w:r w:rsidR="00DF4B47">
        <w:t>and code systems used in</w:t>
      </w:r>
      <w:r w:rsidR="00DF4B47" w:rsidRPr="00450D66">
        <w:t xml:space="preserve"> the</w:t>
      </w:r>
      <w:r w:rsidRPr="00450D66">
        <w:t xml:space="preserve"> updated eCQM specifications for the</w:t>
      </w:r>
      <w:r w:rsidR="00DF4B47" w:rsidRPr="005E64B8">
        <w:t xml:space="preserve"> </w:t>
      </w:r>
      <w:r w:rsidR="00415519">
        <w:t>2027</w:t>
      </w:r>
      <w:r w:rsidR="00415519" w:rsidRPr="00450D66">
        <w:t xml:space="preserve"> </w:t>
      </w:r>
      <w:r w:rsidRPr="00450D66">
        <w:t>reporting/performance period</w:t>
      </w:r>
      <w:bookmarkStart w:id="480" w:name="_heading=h.30j0zll" w:colFirst="0" w:colLast="0"/>
      <w:bookmarkStart w:id="481" w:name="_Toc91742272"/>
      <w:bookmarkEnd w:id="480"/>
      <w:r w:rsidR="00DF4B47">
        <w:t xml:space="preserve"> can be found on the </w:t>
      </w:r>
      <w:hyperlink r:id="rId156" w:history="1">
        <w:r w:rsidR="00DF4B47" w:rsidRPr="00DF4B47">
          <w:rPr>
            <w:rStyle w:val="Hyperlink"/>
          </w:rPr>
          <w:t>eCQI Resource Center’s Standards and Tools Versions Table</w:t>
        </w:r>
      </w:hyperlink>
      <w:r w:rsidR="00DF4B47">
        <w:t xml:space="preserve"> or in the </w:t>
      </w:r>
      <w:commentRangeStart w:id="482"/>
      <w:r w:rsidR="00BD6655">
        <w:fldChar w:fldCharType="begin"/>
      </w:r>
      <w:r w:rsidR="00BD6655">
        <w:instrText>HYPERLINK "https://ecqi.healthit.gov/sites/default/files/2027-AU-PrePublication-Document.pdf"</w:instrText>
      </w:r>
      <w:r w:rsidR="00BD6655">
        <w:fldChar w:fldCharType="separate"/>
      </w:r>
      <w:r w:rsidR="00BD6655" w:rsidRPr="00E77CC6">
        <w:rPr>
          <w:rStyle w:val="Hyperlink"/>
        </w:rPr>
        <w:t>eCQMs Annual Update Pre-Publication Document for the 202</w:t>
      </w:r>
      <w:r w:rsidR="00BD6655">
        <w:rPr>
          <w:rStyle w:val="Hyperlink"/>
        </w:rPr>
        <w:t>7</w:t>
      </w:r>
      <w:r w:rsidR="00BD6655" w:rsidRPr="00E77CC6">
        <w:rPr>
          <w:rStyle w:val="Hyperlink"/>
        </w:rPr>
        <w:t xml:space="preserve"> Reporting/Performance Period</w:t>
      </w:r>
      <w:r w:rsidR="00BD6655">
        <w:fldChar w:fldCharType="end"/>
      </w:r>
      <w:commentRangeEnd w:id="482"/>
      <w:r w:rsidR="00BD6655">
        <w:rPr>
          <w:rStyle w:val="CommentReference"/>
        </w:rPr>
        <w:commentReference w:id="482"/>
      </w:r>
      <w:r w:rsidR="00DF4B47">
        <w:t>.</w:t>
      </w:r>
    </w:p>
    <w:bookmarkEnd w:id="481"/>
    <w:p w14:paraId="000002D3" w14:textId="251AB514" w:rsidR="00D67C8C" w:rsidRDefault="00D67C8C" w:rsidP="005E64B8">
      <w:pPr>
        <w:numPr>
          <w:ilvl w:val="0"/>
          <w:numId w:val="1"/>
        </w:numPr>
        <w:pBdr>
          <w:top w:val="nil"/>
          <w:left w:val="nil"/>
          <w:bottom w:val="nil"/>
          <w:right w:val="nil"/>
          <w:between w:val="nil"/>
        </w:pBdr>
        <w:spacing w:before="80" w:after="80"/>
        <w:sectPr w:rsidR="00D67C8C" w:rsidSect="005E64B8">
          <w:headerReference w:type="even" r:id="rId157"/>
          <w:headerReference w:type="default" r:id="rId158"/>
          <w:headerReference w:type="first" r:id="rId159"/>
          <w:pgSz w:w="12240" w:h="15840"/>
          <w:pgMar w:top="1440" w:right="1440" w:bottom="1440" w:left="1440" w:header="504" w:footer="504" w:gutter="0"/>
          <w:cols w:space="720"/>
          <w:titlePg/>
        </w:sectPr>
      </w:pPr>
    </w:p>
    <w:p w14:paraId="000002D4" w14:textId="77777777" w:rsidR="00D67C8C" w:rsidRPr="005E64B8" w:rsidRDefault="00C80A11" w:rsidP="00F07F06">
      <w:pPr>
        <w:pStyle w:val="AppendixTitle"/>
      </w:pPr>
      <w:bookmarkStart w:id="483" w:name="bookmark=id.3nqndbk" w:colFirst="0" w:colLast="0"/>
      <w:bookmarkStart w:id="484" w:name="_heading=h.13qzunr" w:colFirst="0" w:colLast="0"/>
      <w:bookmarkStart w:id="485" w:name="_Toc56635405"/>
      <w:bookmarkStart w:id="486" w:name="AppB"/>
      <w:bookmarkStart w:id="487" w:name="_Toc159578408"/>
      <w:bookmarkStart w:id="488" w:name="_Toc194959028"/>
      <w:bookmarkStart w:id="489" w:name="_Toc194994778"/>
      <w:bookmarkStart w:id="490" w:name="_Toc446948784"/>
      <w:bookmarkEnd w:id="483"/>
      <w:bookmarkEnd w:id="484"/>
      <w:r w:rsidRPr="005E64B8">
        <w:lastRenderedPageBreak/>
        <w:t>Appendix B. Time Interval Definitions and Examples</w:t>
      </w:r>
      <w:bookmarkEnd w:id="479"/>
      <w:bookmarkEnd w:id="485"/>
      <w:bookmarkEnd w:id="486"/>
      <w:bookmarkEnd w:id="487"/>
      <w:bookmarkEnd w:id="488"/>
      <w:bookmarkEnd w:id="489"/>
    </w:p>
    <w:p w14:paraId="000002D5" w14:textId="3DDF4253" w:rsidR="00D67C8C" w:rsidRPr="005E64B8" w:rsidRDefault="00C80A11" w:rsidP="00F07F06">
      <w:pPr>
        <w:pStyle w:val="H2-Num"/>
        <w:rPr>
          <w:rFonts w:eastAsia="Arial Narrow"/>
        </w:rPr>
      </w:pPr>
      <w:bookmarkStart w:id="491" w:name="_heading=h.22vxnjd" w:colFirst="0" w:colLast="0"/>
      <w:bookmarkStart w:id="492" w:name="_Toc91742274"/>
      <w:bookmarkStart w:id="493" w:name="_Toc194959029"/>
      <w:bookmarkStart w:id="494" w:name="_Toc194994779"/>
      <w:bookmarkEnd w:id="491"/>
      <w:r w:rsidRPr="005E64B8">
        <w:rPr>
          <w:rFonts w:eastAsia="Arial Narrow"/>
        </w:rPr>
        <w:t>Interval Operators</w:t>
      </w:r>
      <w:bookmarkEnd w:id="492"/>
      <w:bookmarkEnd w:id="493"/>
      <w:bookmarkEnd w:id="494"/>
    </w:p>
    <w:p w14:paraId="000002D6" w14:textId="16A6BE84" w:rsidR="00D67C8C" w:rsidRDefault="00C80A11" w:rsidP="00F07F06">
      <w:pPr>
        <w:pStyle w:val="ParagraphContinued"/>
        <w:rPr>
          <w:szCs w:val="20"/>
        </w:rPr>
      </w:pPr>
      <w:r>
        <w:rPr>
          <w:highlight w:val="white"/>
        </w:rPr>
        <w:t>The CQL standard provides a complete set of interval comparison operators (Figure B.1)</w:t>
      </w:r>
      <w:r w:rsidR="00515DC0">
        <w:rPr>
          <w:highlight w:val="white"/>
        </w:rPr>
        <w:t>.</w:t>
      </w:r>
    </w:p>
    <w:p w14:paraId="000002D8" w14:textId="77777777" w:rsidR="00D67C8C" w:rsidRPr="00FE0529" w:rsidRDefault="00C80A11" w:rsidP="002E56F0">
      <w:pPr>
        <w:pStyle w:val="FigureTitle"/>
      </w:pPr>
      <w:bookmarkStart w:id="495" w:name="_Toc23176783"/>
      <w:bookmarkStart w:id="496" w:name="_Toc159578086"/>
      <w:bookmarkStart w:id="497" w:name="_Toc195002013"/>
      <w:r w:rsidRPr="00FE0529">
        <w:t xml:space="preserve">Figure B.1. Interval Comparison </w:t>
      </w:r>
      <w:bookmarkEnd w:id="495"/>
      <w:r w:rsidRPr="00FE0529">
        <w:t>Operators</w:t>
      </w:r>
      <w:bookmarkEnd w:id="496"/>
      <w:bookmarkEnd w:id="497"/>
    </w:p>
    <w:p w14:paraId="000002D9" w14:textId="2B27FAB1" w:rsidR="00D67C8C" w:rsidRDefault="006428C3" w:rsidP="00DC5BA2">
      <w:pPr>
        <w:pStyle w:val="NoSpacing"/>
        <w:jc w:val="center"/>
      </w:pPr>
      <w:bookmarkStart w:id="498" w:name="_Toc91742275"/>
      <w:r w:rsidRPr="00110A26">
        <w:rPr>
          <w:noProof/>
        </w:rPr>
        <w:drawing>
          <wp:inline distT="0" distB="0" distL="0" distR="0" wp14:anchorId="538AED51" wp14:editId="617B46E8">
            <wp:extent cx="5486400" cy="3703320"/>
            <wp:effectExtent l="0" t="0" r="0" b="0"/>
            <wp:docPr id="4" name="image4.png" descr="Figure B.1 depicts a table of interval comparison operators used in CQL log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png" descr="Figure B.1 depicts a table of interval comparison operators used in CQL logic."/>
                    <pic:cNvPicPr>
                      <a:picLocks noChangeAspect="1" noChangeArrowheads="1"/>
                    </pic:cNvPicPr>
                  </pic:nvPicPr>
                  <pic:blipFill>
                    <a:blip r:embed="rId160">
                      <a:extLst>
                        <a:ext uri="{28A0092B-C50C-407E-A947-70E740481C1C}">
                          <a14:useLocalDpi xmlns:a14="http://schemas.microsoft.com/office/drawing/2010/main" val="0"/>
                        </a:ext>
                      </a:extLst>
                    </a:blip>
                    <a:srcRect/>
                    <a:stretch>
                      <a:fillRect/>
                    </a:stretch>
                  </pic:blipFill>
                  <pic:spPr bwMode="auto">
                    <a:xfrm>
                      <a:off x="0" y="0"/>
                      <a:ext cx="5486400" cy="3703320"/>
                    </a:xfrm>
                    <a:prstGeom prst="rect">
                      <a:avLst/>
                    </a:prstGeom>
                    <a:noFill/>
                    <a:ln>
                      <a:noFill/>
                    </a:ln>
                  </pic:spPr>
                </pic:pic>
              </a:graphicData>
            </a:graphic>
          </wp:inline>
        </w:drawing>
      </w:r>
    </w:p>
    <w:p w14:paraId="0448B453" w14:textId="77777777" w:rsidR="008517C1" w:rsidRDefault="008517C1" w:rsidP="00F07F06">
      <w:pPr>
        <w:pStyle w:val="H2-Num"/>
        <w:rPr>
          <w:rFonts w:eastAsia="Arial Narrow"/>
        </w:rPr>
      </w:pPr>
      <w:bookmarkStart w:id="499" w:name="_heading=h.320vgez" w:colFirst="0" w:colLast="0"/>
      <w:bookmarkStart w:id="500" w:name="_Toc194959030"/>
      <w:bookmarkStart w:id="501" w:name="_Toc194994780"/>
      <w:bookmarkEnd w:id="499"/>
    </w:p>
    <w:p w14:paraId="000002DB" w14:textId="0578BF1F" w:rsidR="00D67C8C" w:rsidRPr="005E64B8" w:rsidRDefault="00C80A11" w:rsidP="00F07F06">
      <w:pPr>
        <w:pStyle w:val="H2-Num"/>
        <w:rPr>
          <w:rFonts w:eastAsia="Arial Narrow"/>
        </w:rPr>
      </w:pPr>
      <w:r w:rsidRPr="005E64B8">
        <w:rPr>
          <w:rFonts w:eastAsia="Arial Narrow"/>
        </w:rPr>
        <w:t>Timing Phrases</w:t>
      </w:r>
      <w:bookmarkEnd w:id="498"/>
      <w:bookmarkEnd w:id="500"/>
      <w:bookmarkEnd w:id="501"/>
    </w:p>
    <w:p w14:paraId="000002DC" w14:textId="6206B438" w:rsidR="00D67C8C" w:rsidRDefault="00C80A11" w:rsidP="00F07F06">
      <w:pPr>
        <w:pStyle w:val="ParagraphContinued"/>
      </w:pPr>
      <w:bookmarkStart w:id="502" w:name="_heading=h.1h65qms" w:colFirst="0" w:colLast="0"/>
      <w:bookmarkStart w:id="503" w:name="_Hlk150329546"/>
      <w:bookmarkEnd w:id="502"/>
      <w:r>
        <w:t>The CQL standard also supports timing phrases (Figure B.2) to make it easier to express precise relationships between intervals using natural language. The before and after operators can have a prefix of starts or ends and a suffix of start or ends. For example:</w:t>
      </w:r>
    </w:p>
    <w:bookmarkEnd w:id="503"/>
    <w:p w14:paraId="000002DD" w14:textId="77777777" w:rsidR="00D67C8C" w:rsidRDefault="00C80A11" w:rsidP="00F07F06">
      <w:pPr>
        <w:pStyle w:val="Paragraph"/>
        <w:ind w:left="720"/>
        <w:sectPr w:rsidR="00D67C8C" w:rsidSect="005E64B8">
          <w:headerReference w:type="even" r:id="rId161"/>
          <w:headerReference w:type="default" r:id="rId162"/>
          <w:headerReference w:type="first" r:id="rId163"/>
          <w:pgSz w:w="12240" w:h="15840"/>
          <w:pgMar w:top="1440" w:right="1440" w:bottom="1440" w:left="1440" w:header="504" w:footer="504" w:gutter="0"/>
          <w:cols w:space="720"/>
          <w:titlePg/>
        </w:sectPr>
      </w:pPr>
      <w:r>
        <w:t>Interval X starts before start Interval Y</w:t>
      </w:r>
    </w:p>
    <w:p w14:paraId="000002DE" w14:textId="77777777" w:rsidR="00D67C8C" w:rsidRDefault="00C80A11" w:rsidP="002E56F0">
      <w:pPr>
        <w:pStyle w:val="FigureTitle"/>
      </w:pPr>
      <w:bookmarkStart w:id="504" w:name="_Toc23176784"/>
      <w:bookmarkStart w:id="505" w:name="_Toc159578087"/>
      <w:bookmarkStart w:id="506" w:name="_Toc195002014"/>
      <w:r w:rsidRPr="00FE0529">
        <w:lastRenderedPageBreak/>
        <w:t xml:space="preserve">Figure B.2. Interval Starts before </w:t>
      </w:r>
      <w:bookmarkEnd w:id="504"/>
      <w:r w:rsidRPr="00FE0529">
        <w:t>Start</w:t>
      </w:r>
      <w:bookmarkEnd w:id="505"/>
      <w:bookmarkEnd w:id="506"/>
    </w:p>
    <w:tbl>
      <w:tblPr>
        <w:tblStyle w:val="GrayCell"/>
        <w:tblW w:w="936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Look w:val="04A0" w:firstRow="1" w:lastRow="0" w:firstColumn="1" w:lastColumn="0" w:noHBand="0" w:noVBand="1"/>
      </w:tblPr>
      <w:tblGrid>
        <w:gridCol w:w="9360"/>
      </w:tblGrid>
      <w:tr w:rsidR="00DC5BA2" w14:paraId="59FA84F5" w14:textId="77777777">
        <w:tc>
          <w:tcPr>
            <w:tcW w:w="5000" w:type="pct"/>
            <w:shd w:val="clear" w:color="auto" w:fill="auto"/>
          </w:tcPr>
          <w:p w14:paraId="0F08A6FA" w14:textId="3C146C11" w:rsidR="00DC5BA2" w:rsidRPr="00C95016" w:rsidRDefault="00DC5BA2" w:rsidP="00DC5BA2">
            <w:pPr>
              <w:pStyle w:val="NoSpacing"/>
              <w:jc w:val="center"/>
              <w:rPr>
                <w:rFonts w:ascii="Courier New" w:eastAsia="Courier New" w:hAnsi="Courier New" w:cs="Courier New"/>
                <w:sz w:val="16"/>
                <w:szCs w:val="16"/>
              </w:rPr>
            </w:pPr>
            <w:r w:rsidRPr="00110A26">
              <w:rPr>
                <w:noProof/>
              </w:rPr>
              <w:drawing>
                <wp:inline distT="0" distB="0" distL="0" distR="0" wp14:anchorId="7682A695" wp14:editId="3832E2D7">
                  <wp:extent cx="3032760" cy="1607820"/>
                  <wp:effectExtent l="0" t="0" r="0" b="0"/>
                  <wp:docPr id="3" name="image1.png" descr="Figure B.2 depicts an interval that “starts before start” used in CQL log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1.png" descr="Figure B.2 depicts an interval that “starts before start” used in CQL logic."/>
                          <pic:cNvPicPr>
                            <a:picLocks noChangeAspect="1" noChangeArrowheads="1"/>
                          </pic:cNvPicPr>
                        </pic:nvPicPr>
                        <pic:blipFill>
                          <a:blip r:embed="rId164">
                            <a:extLst>
                              <a:ext uri="{28A0092B-C50C-407E-A947-70E740481C1C}">
                                <a14:useLocalDpi xmlns:a14="http://schemas.microsoft.com/office/drawing/2010/main" val="0"/>
                              </a:ext>
                            </a:extLst>
                          </a:blip>
                          <a:srcRect/>
                          <a:stretch>
                            <a:fillRect/>
                          </a:stretch>
                        </pic:blipFill>
                        <pic:spPr bwMode="auto">
                          <a:xfrm>
                            <a:off x="0" y="0"/>
                            <a:ext cx="3032760" cy="1607820"/>
                          </a:xfrm>
                          <a:prstGeom prst="rect">
                            <a:avLst/>
                          </a:prstGeom>
                          <a:noFill/>
                          <a:ln>
                            <a:noFill/>
                          </a:ln>
                        </pic:spPr>
                      </pic:pic>
                    </a:graphicData>
                  </a:graphic>
                </wp:inline>
              </w:drawing>
            </w:r>
          </w:p>
        </w:tc>
      </w:tr>
    </w:tbl>
    <w:p w14:paraId="000002E0" w14:textId="4964896E" w:rsidR="00D67C8C" w:rsidRDefault="00C80A11" w:rsidP="00DC5BA2">
      <w:pPr>
        <w:pStyle w:val="ParagraphContinued"/>
      </w:pPr>
      <w:r>
        <w:t>The before and after operators can also take an offset indicating how far away a given relationship should be. The offset can be absolute, indicating the boundary of the interval must be on the offset, or it can be relative, indicating the boundary must be at least on the offset (Figure B.3):</w:t>
      </w:r>
    </w:p>
    <w:p w14:paraId="000002E1" w14:textId="77777777" w:rsidR="00D67C8C" w:rsidRDefault="00C80A11" w:rsidP="00F07F06">
      <w:pPr>
        <w:pStyle w:val="Paragraph"/>
        <w:ind w:left="720"/>
      </w:pPr>
      <w:r>
        <w:t>Interval X starts 3 days before start Interval Y</w:t>
      </w:r>
    </w:p>
    <w:p w14:paraId="000002E2" w14:textId="77777777" w:rsidR="00D67C8C" w:rsidRDefault="00C80A11" w:rsidP="00F07F06">
      <w:pPr>
        <w:pStyle w:val="Paragraph"/>
        <w:ind w:left="720"/>
      </w:pPr>
      <w:r>
        <w:t>Interval X starts 3 days or more before start Interval Y</w:t>
      </w:r>
    </w:p>
    <w:p w14:paraId="000002E4" w14:textId="77777777" w:rsidR="00D67C8C" w:rsidRDefault="00C80A11" w:rsidP="002E56F0">
      <w:pPr>
        <w:pStyle w:val="FigureTitle"/>
      </w:pPr>
      <w:bookmarkStart w:id="507" w:name="_Toc23176785"/>
      <w:bookmarkStart w:id="508" w:name="_Toc159578088"/>
      <w:bookmarkStart w:id="509" w:name="_Toc195002015"/>
      <w:r w:rsidRPr="00FE0529">
        <w:t>Figure B.3. Interval Starts before Start with Offset</w:t>
      </w:r>
      <w:bookmarkEnd w:id="507"/>
      <w:bookmarkEnd w:id="508"/>
      <w:bookmarkEnd w:id="509"/>
    </w:p>
    <w:tbl>
      <w:tblPr>
        <w:tblStyle w:val="GrayCell"/>
        <w:tblW w:w="936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Look w:val="04A0" w:firstRow="1" w:lastRow="0" w:firstColumn="1" w:lastColumn="0" w:noHBand="0" w:noVBand="1"/>
      </w:tblPr>
      <w:tblGrid>
        <w:gridCol w:w="9360"/>
      </w:tblGrid>
      <w:tr w:rsidR="00DC5BA2" w14:paraId="259ADE89" w14:textId="77777777">
        <w:tc>
          <w:tcPr>
            <w:tcW w:w="5000" w:type="pct"/>
            <w:shd w:val="clear" w:color="auto" w:fill="auto"/>
          </w:tcPr>
          <w:p w14:paraId="7DF11AB7" w14:textId="768159CF" w:rsidR="00DC5BA2" w:rsidRPr="00C95016" w:rsidRDefault="00DC5BA2" w:rsidP="00DC5BA2">
            <w:pPr>
              <w:pStyle w:val="NoSpacing"/>
              <w:jc w:val="center"/>
              <w:rPr>
                <w:rFonts w:ascii="Courier New" w:eastAsia="Courier New" w:hAnsi="Courier New" w:cs="Courier New"/>
                <w:sz w:val="16"/>
                <w:szCs w:val="16"/>
              </w:rPr>
            </w:pPr>
            <w:r w:rsidRPr="00110A26">
              <w:rPr>
                <w:noProof/>
              </w:rPr>
              <w:drawing>
                <wp:inline distT="0" distB="0" distL="0" distR="0" wp14:anchorId="5B5F451F" wp14:editId="1282CDDE">
                  <wp:extent cx="4480560" cy="1676400"/>
                  <wp:effectExtent l="0" t="0" r="0" b="0"/>
                  <wp:docPr id="2" name="image2.png" descr="Figure B.3 depicts an interval that “starts before start with offset” used in CQL log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2.png" descr="Figure B.3 depicts an interval that “starts before start with offset” used in CQL logic."/>
                          <pic:cNvPicPr>
                            <a:picLocks noChangeAspect="1" noChangeArrowheads="1"/>
                          </pic:cNvPicPr>
                        </pic:nvPicPr>
                        <pic:blipFill>
                          <a:blip r:embed="rId165">
                            <a:extLst>
                              <a:ext uri="{28A0092B-C50C-407E-A947-70E740481C1C}">
                                <a14:useLocalDpi xmlns:a14="http://schemas.microsoft.com/office/drawing/2010/main" val="0"/>
                              </a:ext>
                            </a:extLst>
                          </a:blip>
                          <a:srcRect/>
                          <a:stretch>
                            <a:fillRect/>
                          </a:stretch>
                        </pic:blipFill>
                        <pic:spPr bwMode="auto">
                          <a:xfrm>
                            <a:off x="0" y="0"/>
                            <a:ext cx="4480560" cy="1676400"/>
                          </a:xfrm>
                          <a:prstGeom prst="rect">
                            <a:avLst/>
                          </a:prstGeom>
                          <a:noFill/>
                          <a:ln>
                            <a:noFill/>
                          </a:ln>
                        </pic:spPr>
                      </pic:pic>
                    </a:graphicData>
                  </a:graphic>
                </wp:inline>
              </w:drawing>
            </w:r>
          </w:p>
        </w:tc>
      </w:tr>
    </w:tbl>
    <w:p w14:paraId="000002E6" w14:textId="77777777" w:rsidR="00D67C8C" w:rsidRDefault="00C80A11" w:rsidP="00DC5BA2">
      <w:pPr>
        <w:pStyle w:val="ParagraphContinued"/>
      </w:pPr>
      <w:r>
        <w:t>You can also specify a range for the boundary relationship using the within…of operator, as shown in Figure B.4:</w:t>
      </w:r>
    </w:p>
    <w:p w14:paraId="000002E7" w14:textId="77777777" w:rsidR="00D67C8C" w:rsidRDefault="00C80A11" w:rsidP="00F07F06">
      <w:pPr>
        <w:pStyle w:val="Paragraph"/>
        <w:ind w:left="720"/>
      </w:pPr>
      <w:r>
        <w:t>Interval X starts within 3 days of start Interval Y</w:t>
      </w:r>
    </w:p>
    <w:p w14:paraId="000002E8" w14:textId="77777777" w:rsidR="00D67C8C" w:rsidRDefault="00C80A11" w:rsidP="002E56F0">
      <w:pPr>
        <w:pStyle w:val="FigureTitle"/>
      </w:pPr>
      <w:bookmarkStart w:id="510" w:name="_Toc23176786"/>
      <w:bookmarkStart w:id="511" w:name="_Toc159578089"/>
      <w:bookmarkStart w:id="512" w:name="_Toc195002016"/>
      <w:r w:rsidRPr="00FE0529">
        <w:lastRenderedPageBreak/>
        <w:t xml:space="preserve">Figure B.4. Interval Starts </w:t>
      </w:r>
      <w:bookmarkEnd w:id="510"/>
      <w:r w:rsidRPr="00FE0529">
        <w:t>Within</w:t>
      </w:r>
      <w:bookmarkEnd w:id="511"/>
      <w:bookmarkEnd w:id="512"/>
    </w:p>
    <w:tbl>
      <w:tblPr>
        <w:tblStyle w:val="GrayCell"/>
        <w:tblW w:w="936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Look w:val="04A0" w:firstRow="1" w:lastRow="0" w:firstColumn="1" w:lastColumn="0" w:noHBand="0" w:noVBand="1"/>
      </w:tblPr>
      <w:tblGrid>
        <w:gridCol w:w="9360"/>
      </w:tblGrid>
      <w:tr w:rsidR="00DC5BA2" w14:paraId="279B2F53" w14:textId="77777777">
        <w:tc>
          <w:tcPr>
            <w:tcW w:w="5000" w:type="pct"/>
            <w:shd w:val="clear" w:color="auto" w:fill="auto"/>
          </w:tcPr>
          <w:p w14:paraId="51DD087B" w14:textId="5DAF0BF3" w:rsidR="00DC5BA2" w:rsidRPr="00C95016" w:rsidRDefault="00DC5BA2">
            <w:pPr>
              <w:pStyle w:val="NoSpacing"/>
              <w:jc w:val="center"/>
              <w:rPr>
                <w:rFonts w:ascii="Courier New" w:eastAsia="Courier New" w:hAnsi="Courier New" w:cs="Courier New"/>
                <w:sz w:val="16"/>
                <w:szCs w:val="16"/>
              </w:rPr>
            </w:pPr>
            <w:r w:rsidRPr="00110A26">
              <w:rPr>
                <w:noProof/>
              </w:rPr>
              <w:drawing>
                <wp:inline distT="0" distB="0" distL="0" distR="0" wp14:anchorId="1F6A5999" wp14:editId="44004903">
                  <wp:extent cx="3680460" cy="2415540"/>
                  <wp:effectExtent l="0" t="0" r="0" b="0"/>
                  <wp:docPr id="1" name="image5.png" descr="Figure B.4 depicts an interval that “starts within” used in CQL log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5.png" descr="Figure B.4 depicts an interval that “starts within” used in CQL logic."/>
                          <pic:cNvPicPr>
                            <a:picLocks noChangeAspect="1" noChangeArrowheads="1"/>
                          </pic:cNvPicPr>
                        </pic:nvPicPr>
                        <pic:blipFill>
                          <a:blip r:embed="rId166">
                            <a:extLst>
                              <a:ext uri="{28A0092B-C50C-407E-A947-70E740481C1C}">
                                <a14:useLocalDpi xmlns:a14="http://schemas.microsoft.com/office/drawing/2010/main" val="0"/>
                              </a:ext>
                            </a:extLst>
                          </a:blip>
                          <a:srcRect/>
                          <a:stretch>
                            <a:fillRect/>
                          </a:stretch>
                        </pic:blipFill>
                        <pic:spPr bwMode="auto">
                          <a:xfrm>
                            <a:off x="0" y="0"/>
                            <a:ext cx="3680460" cy="2415540"/>
                          </a:xfrm>
                          <a:prstGeom prst="rect">
                            <a:avLst/>
                          </a:prstGeom>
                          <a:noFill/>
                          <a:ln>
                            <a:noFill/>
                          </a:ln>
                        </pic:spPr>
                      </pic:pic>
                    </a:graphicData>
                  </a:graphic>
                </wp:inline>
              </w:drawing>
            </w:r>
          </w:p>
        </w:tc>
      </w:tr>
    </w:tbl>
    <w:p w14:paraId="7AB6CCD5" w14:textId="77777777" w:rsidR="00DC5BA2" w:rsidRPr="00DC5BA2" w:rsidRDefault="00DC5BA2" w:rsidP="00DC5BA2">
      <w:pPr>
        <w:pStyle w:val="ExhibitSource"/>
      </w:pPr>
    </w:p>
    <w:p w14:paraId="000002E9" w14:textId="6DBC82BA" w:rsidR="00D67C8C" w:rsidRDefault="00D67C8C">
      <w:pPr>
        <w:keepNext/>
        <w:jc w:val="center"/>
      </w:pPr>
    </w:p>
    <w:p w14:paraId="000002EA" w14:textId="77777777" w:rsidR="00D67C8C" w:rsidRDefault="00C80A11">
      <w:pPr>
        <w:spacing w:after="160" w:line="259" w:lineRule="auto"/>
      </w:pPr>
      <w:r>
        <w:br w:type="page"/>
      </w:r>
    </w:p>
    <w:p w14:paraId="000002EB" w14:textId="5A3950CA" w:rsidR="00D67C8C" w:rsidRPr="00FE0529" w:rsidRDefault="00C80A11" w:rsidP="00080BA5">
      <w:pPr>
        <w:pStyle w:val="TableTitle"/>
      </w:pPr>
      <w:bookmarkStart w:id="513" w:name="_heading=h.3fg1ce0" w:colFirst="0" w:colLast="0"/>
      <w:bookmarkStart w:id="514" w:name="_Toc64983097"/>
      <w:bookmarkStart w:id="515" w:name="_Toc64983398"/>
      <w:bookmarkStart w:id="516" w:name="_Toc67046080"/>
      <w:bookmarkStart w:id="517" w:name="_Toc91742276"/>
      <w:bookmarkStart w:id="518" w:name="_Toc159578221"/>
      <w:bookmarkStart w:id="519" w:name="_Toc195001988"/>
      <w:bookmarkStart w:id="520" w:name="_Toc23176779"/>
      <w:bookmarkEnd w:id="513"/>
      <w:r w:rsidRPr="00FE0529">
        <w:lastRenderedPageBreak/>
        <w:t>Table B.1. Time Interval Definitions and Examples</w:t>
      </w:r>
      <w:bookmarkEnd w:id="514"/>
      <w:bookmarkEnd w:id="515"/>
      <w:bookmarkEnd w:id="516"/>
      <w:bookmarkEnd w:id="517"/>
      <w:bookmarkEnd w:id="518"/>
      <w:bookmarkEnd w:id="519"/>
      <w:r w:rsidR="00E3361F">
        <w:rPr>
          <w:rStyle w:val="FootnoteReference"/>
        </w:rPr>
        <w:footnoteReference w:id="9"/>
      </w:r>
    </w:p>
    <w:tbl>
      <w:tblPr>
        <w:tblStyle w:val="BaseTable"/>
        <w:tblW w:w="936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4A0" w:firstRow="1" w:lastRow="0" w:firstColumn="1" w:lastColumn="0" w:noHBand="0" w:noVBand="1"/>
      </w:tblPr>
      <w:tblGrid>
        <w:gridCol w:w="1008"/>
        <w:gridCol w:w="3402"/>
        <w:gridCol w:w="4950"/>
      </w:tblGrid>
      <w:tr w:rsidR="00EB0AE4" w:rsidRPr="00EB0AE4" w14:paraId="2B3A8076" w14:textId="77777777" w:rsidTr="00EB0AE4">
        <w:trPr>
          <w:cnfStyle w:val="100000000000" w:firstRow="1" w:lastRow="0" w:firstColumn="0" w:lastColumn="0" w:oddVBand="0" w:evenVBand="0" w:oddHBand="0" w:evenHBand="0" w:firstRowFirstColumn="0" w:firstRowLastColumn="0" w:lastRowFirstColumn="0" w:lastRowLastColumn="0"/>
          <w:trHeight w:val="120"/>
          <w:tblHeader/>
        </w:trPr>
        <w:tc>
          <w:tcPr>
            <w:tcW w:w="1008" w:type="dxa"/>
            <w:tcBorders>
              <w:top w:val="none" w:sz="0" w:space="0" w:color="auto"/>
              <w:left w:val="none" w:sz="0" w:space="0" w:color="auto"/>
              <w:bottom w:val="single" w:sz="4" w:space="0" w:color="000000" w:themeColor="text1"/>
              <w:right w:val="none" w:sz="0" w:space="0" w:color="auto"/>
              <w:tl2br w:val="none" w:sz="0" w:space="0" w:color="auto"/>
              <w:tr2bl w:val="none" w:sz="0" w:space="0" w:color="auto"/>
            </w:tcBorders>
            <w:shd w:val="clear" w:color="auto" w:fill="D5DCE4"/>
          </w:tcPr>
          <w:p w14:paraId="000002EC" w14:textId="77777777" w:rsidR="00D67C8C" w:rsidRPr="00EB0AE4" w:rsidRDefault="00C80A11" w:rsidP="00080BA5">
            <w:pPr>
              <w:pStyle w:val="TableHeaderLeft"/>
              <w:rPr>
                <w:b w:val="0"/>
                <w:color w:val="000000" w:themeColor="text1"/>
              </w:rPr>
            </w:pPr>
            <w:r w:rsidRPr="00EB0AE4">
              <w:rPr>
                <w:color w:val="000000" w:themeColor="text1"/>
              </w:rPr>
              <w:t>Unit</w:t>
            </w:r>
          </w:p>
        </w:tc>
        <w:tc>
          <w:tcPr>
            <w:tcW w:w="3402" w:type="dxa"/>
            <w:tcBorders>
              <w:top w:val="none" w:sz="0" w:space="0" w:color="auto"/>
              <w:left w:val="none" w:sz="0" w:space="0" w:color="auto"/>
              <w:bottom w:val="single" w:sz="4" w:space="0" w:color="000000" w:themeColor="text1"/>
              <w:right w:val="none" w:sz="0" w:space="0" w:color="auto"/>
              <w:tl2br w:val="none" w:sz="0" w:space="0" w:color="auto"/>
              <w:tr2bl w:val="none" w:sz="0" w:space="0" w:color="auto"/>
            </w:tcBorders>
            <w:shd w:val="clear" w:color="auto" w:fill="D5DCE4"/>
          </w:tcPr>
          <w:p w14:paraId="000002ED" w14:textId="77777777" w:rsidR="00D67C8C" w:rsidRPr="00EB0AE4" w:rsidRDefault="00C80A11" w:rsidP="008D24A5">
            <w:pPr>
              <w:pStyle w:val="TableTextCentered"/>
              <w:rPr>
                <w:b w:val="0"/>
                <w:sz w:val="22"/>
              </w:rPr>
            </w:pPr>
            <w:r w:rsidRPr="00EB0AE4">
              <w:rPr>
                <w:sz w:val="22"/>
              </w:rPr>
              <w:t>CQL definition</w:t>
            </w:r>
          </w:p>
        </w:tc>
        <w:tc>
          <w:tcPr>
            <w:tcW w:w="4950" w:type="dxa"/>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D5DCE4"/>
          </w:tcPr>
          <w:p w14:paraId="000002EE" w14:textId="77777777" w:rsidR="00D67C8C" w:rsidRPr="00EB0AE4" w:rsidRDefault="00C80A11" w:rsidP="008D24A5">
            <w:pPr>
              <w:pStyle w:val="TableTextCentered"/>
              <w:rPr>
                <w:b w:val="0"/>
                <w:sz w:val="22"/>
              </w:rPr>
            </w:pPr>
            <w:r w:rsidRPr="00EB0AE4">
              <w:rPr>
                <w:sz w:val="22"/>
              </w:rPr>
              <w:t>Examples</w:t>
            </w:r>
          </w:p>
        </w:tc>
      </w:tr>
      <w:tr w:rsidR="00D67C8C" w:rsidRPr="006251D6" w14:paraId="7E5F003C" w14:textId="77777777" w:rsidTr="00EB0AE4">
        <w:trPr>
          <w:trHeight w:val="120"/>
        </w:trPr>
        <w:tc>
          <w:tcPr>
            <w:tcW w:w="1008" w:type="dxa"/>
            <w:tcBorders>
              <w:bottom w:val="nil"/>
            </w:tcBorders>
          </w:tcPr>
          <w:p w14:paraId="000002EF" w14:textId="77777777" w:rsidR="00D67C8C" w:rsidRPr="006251D6" w:rsidRDefault="00C80A11" w:rsidP="00080BA5">
            <w:pPr>
              <w:pStyle w:val="TableTextLeft"/>
              <w:rPr>
                <w:sz w:val="20"/>
                <w:szCs w:val="20"/>
              </w:rPr>
            </w:pPr>
            <w:r w:rsidRPr="006251D6">
              <w:rPr>
                <w:sz w:val="20"/>
                <w:szCs w:val="20"/>
              </w:rPr>
              <w:t>Year</w:t>
            </w:r>
          </w:p>
        </w:tc>
        <w:tc>
          <w:tcPr>
            <w:tcW w:w="3402" w:type="dxa"/>
            <w:tcBorders>
              <w:bottom w:val="nil"/>
            </w:tcBorders>
          </w:tcPr>
          <w:p w14:paraId="000002F0" w14:textId="77777777" w:rsidR="00D67C8C" w:rsidRPr="006251D6" w:rsidRDefault="00C80A11" w:rsidP="00080BA5">
            <w:pPr>
              <w:pStyle w:val="TableTextLeft"/>
              <w:rPr>
                <w:rFonts w:cs="Arial"/>
                <w:sz w:val="20"/>
                <w:szCs w:val="20"/>
              </w:rPr>
            </w:pPr>
            <w:r w:rsidRPr="006251D6">
              <w:rPr>
                <w:rFonts w:cs="Arial"/>
                <w:sz w:val="20"/>
                <w:szCs w:val="20"/>
              </w:rPr>
              <w:t xml:space="preserve">Defined as the duration of any time interval starting at a certain time of day, at a certain calendar date of the calendar year, and ends at: </w:t>
            </w:r>
          </w:p>
          <w:p w14:paraId="000002F1" w14:textId="77777777" w:rsidR="00D67C8C" w:rsidRPr="006251D6" w:rsidRDefault="00C80A11" w:rsidP="006251D6">
            <w:pPr>
              <w:pStyle w:val="TableListBullet"/>
              <w:rPr>
                <w:sz w:val="20"/>
                <w:szCs w:val="20"/>
              </w:rPr>
            </w:pPr>
            <w:r w:rsidRPr="006251D6">
              <w:rPr>
                <w:sz w:val="20"/>
                <w:szCs w:val="20"/>
              </w:rPr>
              <w:t>The same time of day on the same calendar date of the next calendar year, if it exists</w:t>
            </w:r>
          </w:p>
          <w:p w14:paraId="000002F2" w14:textId="77777777" w:rsidR="00D67C8C" w:rsidRPr="006251D6" w:rsidRDefault="00C80A11" w:rsidP="00080BA5">
            <w:pPr>
              <w:pStyle w:val="TableTextLeft"/>
              <w:rPr>
                <w:rFonts w:cs="Arial"/>
                <w:sz w:val="20"/>
                <w:szCs w:val="20"/>
              </w:rPr>
            </w:pPr>
            <w:r w:rsidRPr="006251D6">
              <w:rPr>
                <w:rFonts w:cs="Arial"/>
                <w:sz w:val="20"/>
                <w:szCs w:val="20"/>
              </w:rPr>
              <w:t>OR</w:t>
            </w:r>
          </w:p>
          <w:p w14:paraId="000002F3" w14:textId="77777777" w:rsidR="00D67C8C" w:rsidRPr="006251D6" w:rsidRDefault="00C80A11" w:rsidP="006251D6">
            <w:pPr>
              <w:pStyle w:val="TableListBullet"/>
              <w:rPr>
                <w:sz w:val="20"/>
                <w:szCs w:val="20"/>
              </w:rPr>
            </w:pPr>
            <w:r w:rsidRPr="006251D6">
              <w:rPr>
                <w:sz w:val="20"/>
                <w:szCs w:val="20"/>
              </w:rPr>
              <w:t>The same time of day on the immediately following calendar date of the next calendar year, if the same calendar date of the next calendar year does not exist</w:t>
            </w:r>
          </w:p>
          <w:p w14:paraId="000002F4" w14:textId="77777777" w:rsidR="00D67C8C" w:rsidRPr="006251D6" w:rsidRDefault="00C80A11" w:rsidP="00080BA5">
            <w:pPr>
              <w:pStyle w:val="TableTextLeft"/>
              <w:rPr>
                <w:sz w:val="20"/>
                <w:szCs w:val="20"/>
              </w:rPr>
            </w:pPr>
            <w:r w:rsidRPr="006251D6">
              <w:rPr>
                <w:b/>
                <w:sz w:val="20"/>
                <w:szCs w:val="20"/>
              </w:rPr>
              <w:t>Note:</w:t>
            </w:r>
            <w:r w:rsidRPr="006251D6">
              <w:rPr>
                <w:sz w:val="20"/>
                <w:szCs w:val="20"/>
              </w:rPr>
              <w:t xml:space="preserve"> If, in the next calendar year, the same calendar date does not exist, the International Organization for Standardization states the ending calendar day </w:t>
            </w:r>
            <w:proofErr w:type="gramStart"/>
            <w:r w:rsidRPr="006251D6">
              <w:rPr>
                <w:sz w:val="20"/>
                <w:szCs w:val="20"/>
              </w:rPr>
              <w:t>has to</w:t>
            </w:r>
            <w:proofErr w:type="gramEnd"/>
            <w:r w:rsidRPr="006251D6">
              <w:rPr>
                <w:sz w:val="20"/>
                <w:szCs w:val="20"/>
              </w:rPr>
              <w:t xml:space="preserve"> be agreed upon. CQL uses </w:t>
            </w:r>
            <w:proofErr w:type="gramStart"/>
            <w:r w:rsidRPr="006251D6">
              <w:rPr>
                <w:sz w:val="20"/>
                <w:szCs w:val="20"/>
              </w:rPr>
              <w:t>this  convention</w:t>
            </w:r>
            <w:proofErr w:type="gramEnd"/>
            <w:r w:rsidRPr="006251D6">
              <w:rPr>
                <w:sz w:val="20"/>
                <w:szCs w:val="20"/>
              </w:rPr>
              <w:t xml:space="preserve">. </w:t>
            </w:r>
          </w:p>
        </w:tc>
        <w:tc>
          <w:tcPr>
            <w:tcW w:w="4950" w:type="dxa"/>
          </w:tcPr>
          <w:p w14:paraId="000002F5" w14:textId="77777777" w:rsidR="00D67C8C" w:rsidRPr="006251D6" w:rsidRDefault="00C80A11" w:rsidP="00080BA5">
            <w:pPr>
              <w:pStyle w:val="TableTextLeft"/>
              <w:rPr>
                <w:sz w:val="20"/>
                <w:szCs w:val="20"/>
              </w:rPr>
            </w:pPr>
            <w:r w:rsidRPr="006251D6">
              <w:rPr>
                <w:sz w:val="20"/>
                <w:szCs w:val="20"/>
              </w:rPr>
              <w:t>Month (date 2) &lt; month (date 1): Duration (years) = year (date 2) - year (date 1) - 1</w:t>
            </w:r>
          </w:p>
          <w:p w14:paraId="000002F6" w14:textId="77777777" w:rsidR="00D67C8C" w:rsidRPr="006251D6" w:rsidRDefault="00C80A11" w:rsidP="00080BA5">
            <w:pPr>
              <w:pStyle w:val="TableTextLeft"/>
              <w:rPr>
                <w:sz w:val="20"/>
                <w:szCs w:val="20"/>
              </w:rPr>
            </w:pPr>
            <w:r w:rsidRPr="006251D6">
              <w:rPr>
                <w:b/>
                <w:sz w:val="20"/>
                <w:szCs w:val="20"/>
              </w:rPr>
              <w:t xml:space="preserve">Example 1: </w:t>
            </w:r>
            <w:r w:rsidRPr="006251D6">
              <w:rPr>
                <w:sz w:val="20"/>
                <w:szCs w:val="20"/>
              </w:rPr>
              <w:br/>
              <w:t>Date 1: 2012-</w:t>
            </w:r>
            <w:r w:rsidRPr="006251D6">
              <w:rPr>
                <w:b/>
                <w:sz w:val="20"/>
                <w:szCs w:val="20"/>
              </w:rPr>
              <w:t>03</w:t>
            </w:r>
            <w:r w:rsidRPr="006251D6">
              <w:rPr>
                <w:sz w:val="20"/>
                <w:szCs w:val="20"/>
              </w:rPr>
              <w:t xml:space="preserve">-10 22:05:09 </w:t>
            </w:r>
            <w:r w:rsidRPr="006251D6">
              <w:rPr>
                <w:sz w:val="20"/>
                <w:szCs w:val="20"/>
              </w:rPr>
              <w:br/>
              <w:t>Date 2: 2013-</w:t>
            </w:r>
            <w:r w:rsidRPr="006251D6">
              <w:rPr>
                <w:b/>
                <w:sz w:val="20"/>
                <w:szCs w:val="20"/>
              </w:rPr>
              <w:t>02</w:t>
            </w:r>
            <w:r w:rsidRPr="006251D6">
              <w:rPr>
                <w:sz w:val="20"/>
                <w:szCs w:val="20"/>
              </w:rPr>
              <w:t xml:space="preserve">-18 19:10:03 </w:t>
            </w:r>
            <w:r w:rsidRPr="006251D6">
              <w:rPr>
                <w:sz w:val="20"/>
                <w:szCs w:val="20"/>
              </w:rPr>
              <w:br/>
              <w:t xml:space="preserve">Duration = year (date 2) - year (date 1) - 1 = 2013 - 2012 - 1 = </w:t>
            </w:r>
            <w:r w:rsidRPr="006251D6">
              <w:rPr>
                <w:b/>
                <w:sz w:val="20"/>
                <w:szCs w:val="20"/>
              </w:rPr>
              <w:t>0 years</w:t>
            </w:r>
          </w:p>
          <w:p w14:paraId="000002F7" w14:textId="77777777" w:rsidR="00D67C8C" w:rsidRPr="006251D6" w:rsidRDefault="00C80A11" w:rsidP="00080BA5">
            <w:pPr>
              <w:pStyle w:val="TableTextLeft"/>
              <w:rPr>
                <w:sz w:val="20"/>
                <w:szCs w:val="20"/>
              </w:rPr>
            </w:pPr>
            <w:r w:rsidRPr="006251D6">
              <w:rPr>
                <w:sz w:val="20"/>
                <w:szCs w:val="20"/>
              </w:rPr>
              <w:t xml:space="preserve">Month (date 2) = month (date 1) and day (date 2) &gt;= day (date 1) </w:t>
            </w:r>
            <w:r w:rsidRPr="006251D6">
              <w:rPr>
                <w:sz w:val="20"/>
                <w:szCs w:val="20"/>
              </w:rPr>
              <w:br/>
              <w:t>Duration (years) = year (date 2) - year (date 1)</w:t>
            </w:r>
          </w:p>
          <w:p w14:paraId="000002F8" w14:textId="77777777" w:rsidR="00D67C8C" w:rsidRPr="006251D6" w:rsidRDefault="00C80A11" w:rsidP="00080BA5">
            <w:pPr>
              <w:pStyle w:val="TableTextLeft"/>
              <w:rPr>
                <w:sz w:val="20"/>
                <w:szCs w:val="20"/>
              </w:rPr>
            </w:pPr>
            <w:r w:rsidRPr="006251D6">
              <w:rPr>
                <w:b/>
                <w:sz w:val="20"/>
                <w:szCs w:val="20"/>
              </w:rPr>
              <w:t>Example 2.a:</w:t>
            </w:r>
            <w:r w:rsidRPr="006251D6">
              <w:rPr>
                <w:sz w:val="20"/>
                <w:szCs w:val="20"/>
              </w:rPr>
              <w:t xml:space="preserve"> day (date 1) = day (date 2) </w:t>
            </w:r>
            <w:r w:rsidRPr="006251D6">
              <w:rPr>
                <w:sz w:val="20"/>
                <w:szCs w:val="20"/>
              </w:rPr>
              <w:br/>
              <w:t>Date 1: 2012-03-</w:t>
            </w:r>
            <w:r w:rsidRPr="006251D6">
              <w:rPr>
                <w:b/>
                <w:sz w:val="20"/>
                <w:szCs w:val="20"/>
              </w:rPr>
              <w:t>10</w:t>
            </w:r>
            <w:r w:rsidRPr="006251D6">
              <w:rPr>
                <w:sz w:val="20"/>
                <w:szCs w:val="20"/>
              </w:rPr>
              <w:t xml:space="preserve"> 22:05:09 </w:t>
            </w:r>
            <w:r w:rsidRPr="006251D6">
              <w:rPr>
                <w:sz w:val="20"/>
                <w:szCs w:val="20"/>
              </w:rPr>
              <w:br/>
              <w:t>Date 2: 2013-03-</w:t>
            </w:r>
            <w:r w:rsidRPr="006251D6">
              <w:rPr>
                <w:b/>
                <w:sz w:val="20"/>
                <w:szCs w:val="20"/>
              </w:rPr>
              <w:t>10</w:t>
            </w:r>
            <w:r w:rsidRPr="006251D6">
              <w:rPr>
                <w:sz w:val="20"/>
                <w:szCs w:val="20"/>
              </w:rPr>
              <w:t xml:space="preserve"> 22:05:09 </w:t>
            </w:r>
            <w:r w:rsidRPr="006251D6">
              <w:rPr>
                <w:sz w:val="20"/>
                <w:szCs w:val="20"/>
              </w:rPr>
              <w:br/>
              <w:t xml:space="preserve">Duration = year (date 2) - year (date 1) = 2013 - 2012 = </w:t>
            </w:r>
            <w:r w:rsidRPr="006251D6">
              <w:rPr>
                <w:b/>
                <w:sz w:val="20"/>
                <w:szCs w:val="20"/>
              </w:rPr>
              <w:t>1 year</w:t>
            </w:r>
          </w:p>
          <w:p w14:paraId="000002F9" w14:textId="77777777" w:rsidR="00D67C8C" w:rsidRPr="006251D6" w:rsidRDefault="00C80A11" w:rsidP="00080BA5">
            <w:pPr>
              <w:pStyle w:val="TableTextLeft"/>
              <w:rPr>
                <w:i/>
                <w:sz w:val="20"/>
                <w:szCs w:val="20"/>
              </w:rPr>
            </w:pPr>
            <w:r w:rsidRPr="006251D6">
              <w:rPr>
                <w:b/>
                <w:sz w:val="20"/>
                <w:szCs w:val="20"/>
              </w:rPr>
              <w:t>Note</w:t>
            </w:r>
            <w:r w:rsidRPr="006251D6">
              <w:rPr>
                <w:b/>
                <w:i/>
                <w:sz w:val="20"/>
                <w:szCs w:val="20"/>
              </w:rPr>
              <w:t>:</w:t>
            </w:r>
            <w:r w:rsidRPr="006251D6">
              <w:rPr>
                <w:i/>
                <w:sz w:val="20"/>
                <w:szCs w:val="20"/>
              </w:rPr>
              <w:t xml:space="preserve"> </w:t>
            </w:r>
            <w:r w:rsidRPr="006251D6">
              <w:rPr>
                <w:sz w:val="20"/>
                <w:szCs w:val="20"/>
              </w:rPr>
              <w:t>Time of day is important in this calculation. If the time of day of date 2 was less than the time of day for date 1, the duration of the time interval would be 0 years according to the definition.</w:t>
            </w:r>
          </w:p>
        </w:tc>
      </w:tr>
      <w:tr w:rsidR="00D67C8C" w:rsidRPr="006251D6" w14:paraId="1D99080B" w14:textId="77777777" w:rsidTr="00EB0AE4">
        <w:trPr>
          <w:trHeight w:val="120"/>
        </w:trPr>
        <w:tc>
          <w:tcPr>
            <w:tcW w:w="1008" w:type="dxa"/>
            <w:tcBorders>
              <w:top w:val="nil"/>
              <w:bottom w:val="nil"/>
            </w:tcBorders>
          </w:tcPr>
          <w:p w14:paraId="000002FA" w14:textId="54D718B5" w:rsidR="00D67C8C" w:rsidRPr="006251D6" w:rsidRDefault="00C80A11" w:rsidP="00080BA5">
            <w:pPr>
              <w:pStyle w:val="TableTextLeft"/>
              <w:rPr>
                <w:color w:val="FFFFFF" w:themeColor="background1"/>
                <w:sz w:val="20"/>
                <w:szCs w:val="20"/>
              </w:rPr>
            </w:pPr>
            <w:r w:rsidRPr="006251D6">
              <w:rPr>
                <w:color w:val="FFFFFF" w:themeColor="background1"/>
                <w:sz w:val="20"/>
                <w:szCs w:val="20"/>
              </w:rPr>
              <w:t xml:space="preserve"> </w:t>
            </w:r>
            <w:r w:rsidR="006251D6" w:rsidRPr="006251D6">
              <w:rPr>
                <w:color w:val="FFFFFF" w:themeColor="background1"/>
                <w:sz w:val="20"/>
                <w:szCs w:val="20"/>
              </w:rPr>
              <w:t>.</w:t>
            </w:r>
          </w:p>
        </w:tc>
        <w:tc>
          <w:tcPr>
            <w:tcW w:w="3402" w:type="dxa"/>
            <w:tcBorders>
              <w:top w:val="nil"/>
              <w:bottom w:val="nil"/>
            </w:tcBorders>
          </w:tcPr>
          <w:p w14:paraId="000002FB" w14:textId="5ADBCA3E" w:rsidR="00D67C8C" w:rsidRPr="006251D6" w:rsidRDefault="00C80A11" w:rsidP="00080BA5">
            <w:pPr>
              <w:pStyle w:val="TableTextLeft"/>
              <w:rPr>
                <w:color w:val="FFFFFF" w:themeColor="background1"/>
                <w:sz w:val="20"/>
                <w:szCs w:val="20"/>
              </w:rPr>
            </w:pPr>
            <w:r w:rsidRPr="006251D6">
              <w:rPr>
                <w:color w:val="FFFFFF" w:themeColor="background1"/>
                <w:sz w:val="20"/>
                <w:szCs w:val="20"/>
              </w:rPr>
              <w:t xml:space="preserve"> </w:t>
            </w:r>
            <w:r w:rsidR="006251D6" w:rsidRPr="006251D6">
              <w:rPr>
                <w:color w:val="FFFFFF" w:themeColor="background1"/>
                <w:sz w:val="20"/>
                <w:szCs w:val="20"/>
              </w:rPr>
              <w:t>.</w:t>
            </w:r>
          </w:p>
        </w:tc>
        <w:tc>
          <w:tcPr>
            <w:tcW w:w="4950" w:type="dxa"/>
          </w:tcPr>
          <w:p w14:paraId="000002FC" w14:textId="77777777" w:rsidR="00D67C8C" w:rsidRPr="006251D6" w:rsidRDefault="00C80A11" w:rsidP="00080BA5">
            <w:pPr>
              <w:pStyle w:val="TableTextLeft"/>
              <w:rPr>
                <w:sz w:val="20"/>
                <w:szCs w:val="20"/>
              </w:rPr>
            </w:pPr>
            <w:r w:rsidRPr="006251D6">
              <w:rPr>
                <w:b/>
                <w:sz w:val="20"/>
                <w:szCs w:val="20"/>
              </w:rPr>
              <w:t>Example 2.b:</w:t>
            </w:r>
            <w:r w:rsidRPr="006251D6">
              <w:rPr>
                <w:sz w:val="20"/>
                <w:szCs w:val="20"/>
              </w:rPr>
              <w:t xml:space="preserve"> day (date 2) &gt; day (date 1) </w:t>
            </w:r>
            <w:r w:rsidRPr="006251D6">
              <w:rPr>
                <w:sz w:val="20"/>
                <w:szCs w:val="20"/>
              </w:rPr>
              <w:br/>
              <w:t xml:space="preserve">Date 1: 2012-03-10 22:05:09 </w:t>
            </w:r>
            <w:r w:rsidRPr="006251D6">
              <w:rPr>
                <w:sz w:val="20"/>
                <w:szCs w:val="20"/>
              </w:rPr>
              <w:br/>
              <w:t xml:space="preserve">Date 2: 2013-03-20 04:01:30 </w:t>
            </w:r>
            <w:r w:rsidRPr="006251D6">
              <w:rPr>
                <w:sz w:val="20"/>
                <w:szCs w:val="20"/>
              </w:rPr>
              <w:br/>
              <w:t>Duration = year (date 2) - year (date 1) = 2013 - 2012 = </w:t>
            </w:r>
            <w:r w:rsidRPr="006251D6">
              <w:rPr>
                <w:b/>
                <w:sz w:val="20"/>
                <w:szCs w:val="20"/>
              </w:rPr>
              <w:t>1 year</w:t>
            </w:r>
          </w:p>
          <w:p w14:paraId="000002FD" w14:textId="77777777" w:rsidR="00D67C8C" w:rsidRPr="006251D6" w:rsidRDefault="00C80A11" w:rsidP="00080BA5">
            <w:pPr>
              <w:pStyle w:val="TableTextLeft"/>
              <w:rPr>
                <w:sz w:val="20"/>
                <w:szCs w:val="20"/>
              </w:rPr>
            </w:pPr>
            <w:r w:rsidRPr="006251D6">
              <w:rPr>
                <w:sz w:val="20"/>
                <w:szCs w:val="20"/>
              </w:rPr>
              <w:t xml:space="preserve">Month (date 2) = month (date 1) and day (date 2) &lt; day (date 1) </w:t>
            </w:r>
            <w:r w:rsidRPr="006251D6">
              <w:rPr>
                <w:sz w:val="20"/>
                <w:szCs w:val="20"/>
              </w:rPr>
              <w:br/>
              <w:t>Duration (years) = year (date 2) - year (date 1) - 1</w:t>
            </w:r>
          </w:p>
          <w:p w14:paraId="000002FE" w14:textId="77777777" w:rsidR="00D67C8C" w:rsidRPr="006251D6" w:rsidRDefault="00C80A11" w:rsidP="00080BA5">
            <w:pPr>
              <w:pStyle w:val="TableTextLeft"/>
              <w:rPr>
                <w:sz w:val="20"/>
                <w:szCs w:val="20"/>
              </w:rPr>
            </w:pPr>
            <w:r w:rsidRPr="006251D6">
              <w:rPr>
                <w:b/>
                <w:sz w:val="20"/>
                <w:szCs w:val="20"/>
              </w:rPr>
              <w:t xml:space="preserve">Example 3.a: </w:t>
            </w:r>
            <w:r w:rsidRPr="006251D6">
              <w:rPr>
                <w:sz w:val="20"/>
                <w:szCs w:val="20"/>
              </w:rPr>
              <w:br/>
              <w:t xml:space="preserve">Date 1: 2012-02-29 </w:t>
            </w:r>
            <w:r w:rsidRPr="006251D6">
              <w:rPr>
                <w:sz w:val="20"/>
                <w:szCs w:val="20"/>
              </w:rPr>
              <w:br/>
              <w:t xml:space="preserve">Date 2: 2014-02-28 </w:t>
            </w:r>
            <w:r w:rsidRPr="006251D6">
              <w:rPr>
                <w:sz w:val="20"/>
                <w:szCs w:val="20"/>
              </w:rPr>
              <w:br/>
              <w:t xml:space="preserve">Duration = year (date 2) - year (date 1) - 1 = 2014 - 2012 - 1 = </w:t>
            </w:r>
            <w:r w:rsidRPr="006251D6">
              <w:rPr>
                <w:b/>
                <w:sz w:val="20"/>
                <w:szCs w:val="20"/>
              </w:rPr>
              <w:t>1 year</w:t>
            </w:r>
          </w:p>
        </w:tc>
      </w:tr>
      <w:tr w:rsidR="00D67C8C" w:rsidRPr="006251D6" w14:paraId="12D6466C" w14:textId="77777777" w:rsidTr="00EB0AE4">
        <w:trPr>
          <w:trHeight w:val="120"/>
        </w:trPr>
        <w:tc>
          <w:tcPr>
            <w:tcW w:w="1008" w:type="dxa"/>
            <w:tcBorders>
              <w:top w:val="nil"/>
            </w:tcBorders>
          </w:tcPr>
          <w:p w14:paraId="000002FF" w14:textId="3CEA9B58" w:rsidR="00D67C8C" w:rsidRPr="006251D6" w:rsidRDefault="006251D6" w:rsidP="00080BA5">
            <w:pPr>
              <w:pStyle w:val="TableTextLeft"/>
              <w:rPr>
                <w:color w:val="FFFFFF" w:themeColor="background1"/>
                <w:sz w:val="20"/>
                <w:szCs w:val="20"/>
              </w:rPr>
            </w:pPr>
            <w:r w:rsidRPr="006251D6">
              <w:rPr>
                <w:color w:val="FFFFFF" w:themeColor="background1"/>
                <w:sz w:val="20"/>
                <w:szCs w:val="20"/>
              </w:rPr>
              <w:t>.</w:t>
            </w:r>
          </w:p>
        </w:tc>
        <w:tc>
          <w:tcPr>
            <w:tcW w:w="3402" w:type="dxa"/>
            <w:tcBorders>
              <w:top w:val="nil"/>
            </w:tcBorders>
          </w:tcPr>
          <w:p w14:paraId="00000300" w14:textId="0F564B40" w:rsidR="00D67C8C" w:rsidRPr="006251D6" w:rsidRDefault="00C80A11" w:rsidP="00080BA5">
            <w:pPr>
              <w:pStyle w:val="TableTextLeft"/>
              <w:rPr>
                <w:color w:val="FFFFFF" w:themeColor="background1"/>
                <w:sz w:val="20"/>
                <w:szCs w:val="20"/>
              </w:rPr>
            </w:pPr>
            <w:r w:rsidRPr="006251D6">
              <w:rPr>
                <w:color w:val="FFFFFF" w:themeColor="background1"/>
                <w:sz w:val="20"/>
                <w:szCs w:val="20"/>
              </w:rPr>
              <w:t xml:space="preserve"> </w:t>
            </w:r>
            <w:r w:rsidR="006251D6" w:rsidRPr="006251D6">
              <w:rPr>
                <w:color w:val="FFFFFF" w:themeColor="background1"/>
                <w:sz w:val="20"/>
                <w:szCs w:val="20"/>
              </w:rPr>
              <w:t>.</w:t>
            </w:r>
          </w:p>
        </w:tc>
        <w:tc>
          <w:tcPr>
            <w:tcW w:w="4950" w:type="dxa"/>
          </w:tcPr>
          <w:p w14:paraId="00000301" w14:textId="77777777" w:rsidR="00D67C8C" w:rsidRPr="006251D6" w:rsidRDefault="00C80A11" w:rsidP="00080BA5">
            <w:pPr>
              <w:pStyle w:val="TableTextLeft"/>
              <w:rPr>
                <w:sz w:val="20"/>
                <w:szCs w:val="20"/>
              </w:rPr>
            </w:pPr>
            <w:r w:rsidRPr="006251D6">
              <w:rPr>
                <w:sz w:val="20"/>
                <w:szCs w:val="20"/>
              </w:rPr>
              <w:t xml:space="preserve">Month (date 2) &gt; month (date 1) </w:t>
            </w:r>
            <w:r w:rsidRPr="006251D6">
              <w:rPr>
                <w:sz w:val="20"/>
                <w:szCs w:val="20"/>
              </w:rPr>
              <w:br/>
              <w:t>Duration (years) = year (date 2) - year (date 1)</w:t>
            </w:r>
          </w:p>
          <w:p w14:paraId="00000302" w14:textId="77777777" w:rsidR="00D67C8C" w:rsidRPr="006251D6" w:rsidRDefault="00C80A11" w:rsidP="00080BA5">
            <w:pPr>
              <w:pStyle w:val="TableTextLeft"/>
              <w:rPr>
                <w:sz w:val="20"/>
                <w:szCs w:val="20"/>
              </w:rPr>
            </w:pPr>
            <w:r w:rsidRPr="006251D6">
              <w:rPr>
                <w:b/>
                <w:sz w:val="20"/>
                <w:szCs w:val="20"/>
              </w:rPr>
              <w:t xml:space="preserve">Example 4.a: </w:t>
            </w:r>
            <w:r w:rsidRPr="006251D6">
              <w:rPr>
                <w:sz w:val="20"/>
                <w:szCs w:val="20"/>
              </w:rPr>
              <w:br/>
              <w:t>Date 1: 2012-</w:t>
            </w:r>
            <w:r w:rsidRPr="006251D6">
              <w:rPr>
                <w:i/>
                <w:sz w:val="20"/>
                <w:szCs w:val="20"/>
              </w:rPr>
              <w:t>03</w:t>
            </w:r>
            <w:r w:rsidRPr="006251D6">
              <w:rPr>
                <w:sz w:val="20"/>
                <w:szCs w:val="20"/>
              </w:rPr>
              <w:t xml:space="preserve">-10 11:16:02 </w:t>
            </w:r>
            <w:r w:rsidRPr="006251D6">
              <w:rPr>
                <w:sz w:val="20"/>
                <w:szCs w:val="20"/>
              </w:rPr>
              <w:br/>
              <w:t>Date 2: 2013-</w:t>
            </w:r>
            <w:r w:rsidRPr="006251D6">
              <w:rPr>
                <w:i/>
                <w:sz w:val="20"/>
                <w:szCs w:val="20"/>
              </w:rPr>
              <w:t>08</w:t>
            </w:r>
            <w:r w:rsidRPr="006251D6">
              <w:rPr>
                <w:sz w:val="20"/>
                <w:szCs w:val="20"/>
              </w:rPr>
              <w:t xml:space="preserve">-15 21:34:16 </w:t>
            </w:r>
            <w:r w:rsidRPr="006251D6">
              <w:rPr>
                <w:sz w:val="20"/>
                <w:szCs w:val="20"/>
              </w:rPr>
              <w:br/>
              <w:t xml:space="preserve">Duration = year (date 2) - year (date 1) = 2013 - 2012 - </w:t>
            </w:r>
            <w:r w:rsidRPr="006251D6">
              <w:rPr>
                <w:b/>
                <w:sz w:val="20"/>
                <w:szCs w:val="20"/>
              </w:rPr>
              <w:t>1 year</w:t>
            </w:r>
          </w:p>
          <w:p w14:paraId="00000303" w14:textId="77777777" w:rsidR="00D67C8C" w:rsidRPr="006251D6" w:rsidRDefault="00C80A11" w:rsidP="00080BA5">
            <w:pPr>
              <w:pStyle w:val="TableTextLeft"/>
              <w:rPr>
                <w:sz w:val="20"/>
                <w:szCs w:val="20"/>
              </w:rPr>
            </w:pPr>
            <w:r w:rsidRPr="006251D6">
              <w:rPr>
                <w:b/>
                <w:sz w:val="20"/>
                <w:szCs w:val="20"/>
              </w:rPr>
              <w:t xml:space="preserve">Example 4.b: </w:t>
            </w:r>
            <w:r w:rsidRPr="006251D6">
              <w:rPr>
                <w:sz w:val="20"/>
                <w:szCs w:val="20"/>
              </w:rPr>
              <w:br/>
              <w:t>Date 1: 2012-</w:t>
            </w:r>
            <w:r w:rsidRPr="006251D6">
              <w:rPr>
                <w:i/>
                <w:sz w:val="20"/>
                <w:szCs w:val="20"/>
              </w:rPr>
              <w:t>02</w:t>
            </w:r>
            <w:r w:rsidRPr="006251D6">
              <w:rPr>
                <w:sz w:val="20"/>
                <w:szCs w:val="20"/>
              </w:rPr>
              <w:t xml:space="preserve">-29 10:18:56 </w:t>
            </w:r>
            <w:r w:rsidRPr="006251D6">
              <w:rPr>
                <w:sz w:val="20"/>
                <w:szCs w:val="20"/>
              </w:rPr>
              <w:br/>
              <w:t>Date 2: 2014-</w:t>
            </w:r>
            <w:r w:rsidRPr="006251D6">
              <w:rPr>
                <w:i/>
                <w:sz w:val="20"/>
                <w:szCs w:val="20"/>
              </w:rPr>
              <w:t>03</w:t>
            </w:r>
            <w:r w:rsidRPr="006251D6">
              <w:rPr>
                <w:sz w:val="20"/>
                <w:szCs w:val="20"/>
              </w:rPr>
              <w:t xml:space="preserve">-01 19:02:34 </w:t>
            </w:r>
            <w:r w:rsidRPr="006251D6">
              <w:rPr>
                <w:sz w:val="20"/>
                <w:szCs w:val="20"/>
              </w:rPr>
              <w:br/>
              <w:t>Duration = year (date 2) - year (date 1) = 2014 - 2012 = </w:t>
            </w:r>
            <w:r w:rsidRPr="006251D6">
              <w:rPr>
                <w:b/>
                <w:sz w:val="20"/>
                <w:szCs w:val="20"/>
              </w:rPr>
              <w:t>2 years</w:t>
            </w:r>
          </w:p>
          <w:p w14:paraId="00000304" w14:textId="77777777" w:rsidR="00D67C8C" w:rsidRPr="006251D6" w:rsidRDefault="00C80A11" w:rsidP="00080BA5">
            <w:pPr>
              <w:pStyle w:val="TableTextLeft"/>
              <w:rPr>
                <w:sz w:val="20"/>
                <w:szCs w:val="20"/>
              </w:rPr>
            </w:pPr>
            <w:r w:rsidRPr="006251D6">
              <w:rPr>
                <w:b/>
                <w:sz w:val="20"/>
                <w:szCs w:val="20"/>
              </w:rPr>
              <w:t>Note</w:t>
            </w:r>
            <w:r w:rsidRPr="006251D6">
              <w:rPr>
                <w:b/>
                <w:i/>
                <w:sz w:val="20"/>
                <w:szCs w:val="20"/>
              </w:rPr>
              <w:t>:</w:t>
            </w:r>
            <w:r w:rsidRPr="006251D6">
              <w:rPr>
                <w:i/>
                <w:sz w:val="20"/>
                <w:szCs w:val="20"/>
              </w:rPr>
              <w:t xml:space="preserve"> </w:t>
            </w:r>
            <w:r w:rsidRPr="006251D6">
              <w:rPr>
                <w:sz w:val="20"/>
                <w:szCs w:val="20"/>
              </w:rPr>
              <w:t xml:space="preserve">Because there was no February 29 in 2014, the number of years can only change when the date </w:t>
            </w:r>
            <w:r w:rsidRPr="006251D6">
              <w:rPr>
                <w:sz w:val="20"/>
                <w:szCs w:val="20"/>
              </w:rPr>
              <w:lastRenderedPageBreak/>
              <w:t>reaches March 1, the first date in 2014 that surpasses the month and day of date 1 (February 29).</w:t>
            </w:r>
          </w:p>
        </w:tc>
      </w:tr>
      <w:tr w:rsidR="00D67C8C" w:rsidRPr="006251D6" w14:paraId="41584818" w14:textId="77777777" w:rsidTr="00EB0AE4">
        <w:trPr>
          <w:trHeight w:val="120"/>
        </w:trPr>
        <w:tc>
          <w:tcPr>
            <w:tcW w:w="1008" w:type="dxa"/>
          </w:tcPr>
          <w:p w14:paraId="00000305" w14:textId="77777777" w:rsidR="00D67C8C" w:rsidRPr="006251D6" w:rsidRDefault="00C80A11" w:rsidP="00080BA5">
            <w:pPr>
              <w:pStyle w:val="TableTextLeft"/>
              <w:rPr>
                <w:sz w:val="20"/>
                <w:szCs w:val="20"/>
              </w:rPr>
            </w:pPr>
            <w:r w:rsidRPr="006251D6">
              <w:rPr>
                <w:sz w:val="20"/>
                <w:szCs w:val="20"/>
              </w:rPr>
              <w:lastRenderedPageBreak/>
              <w:t>Month</w:t>
            </w:r>
          </w:p>
        </w:tc>
        <w:tc>
          <w:tcPr>
            <w:tcW w:w="3402" w:type="dxa"/>
          </w:tcPr>
          <w:p w14:paraId="00000306" w14:textId="77777777" w:rsidR="00D67C8C" w:rsidRPr="006251D6" w:rsidRDefault="00C80A11" w:rsidP="00080BA5">
            <w:pPr>
              <w:pStyle w:val="TableTextLeft"/>
              <w:rPr>
                <w:rFonts w:cs="Arial"/>
                <w:sz w:val="20"/>
                <w:szCs w:val="20"/>
              </w:rPr>
            </w:pPr>
            <w:r w:rsidRPr="006251D6">
              <w:rPr>
                <w:rFonts w:cs="Arial"/>
                <w:sz w:val="20"/>
                <w:szCs w:val="20"/>
              </w:rPr>
              <w:t>Defined as the duration of any time interval that starts at a certain time of day at a certain calendar day of the calendar month and ends at:</w:t>
            </w:r>
          </w:p>
          <w:p w14:paraId="00000307" w14:textId="77777777" w:rsidR="00D67C8C" w:rsidRPr="006251D6" w:rsidRDefault="00C80A11" w:rsidP="00080BA5">
            <w:pPr>
              <w:pStyle w:val="TableTextLeft"/>
              <w:rPr>
                <w:rFonts w:cs="Arial"/>
                <w:sz w:val="20"/>
                <w:szCs w:val="20"/>
              </w:rPr>
            </w:pPr>
            <w:r w:rsidRPr="006251D6">
              <w:rPr>
                <w:rFonts w:cs="Arial"/>
                <w:sz w:val="20"/>
                <w:szCs w:val="20"/>
              </w:rPr>
              <w:t>The same time of day at the same calendar day of the ending calendar month, if it exists</w:t>
            </w:r>
          </w:p>
          <w:p w14:paraId="00000308" w14:textId="77777777" w:rsidR="00D67C8C" w:rsidRPr="006251D6" w:rsidRDefault="00C80A11" w:rsidP="00080BA5">
            <w:pPr>
              <w:pStyle w:val="TableTextLeft"/>
              <w:rPr>
                <w:rFonts w:cs="Arial"/>
                <w:sz w:val="20"/>
                <w:szCs w:val="20"/>
              </w:rPr>
            </w:pPr>
            <w:r w:rsidRPr="006251D6">
              <w:rPr>
                <w:rFonts w:cs="Arial"/>
                <w:sz w:val="20"/>
                <w:szCs w:val="20"/>
              </w:rPr>
              <w:t>OR</w:t>
            </w:r>
          </w:p>
          <w:p w14:paraId="00000309" w14:textId="77777777" w:rsidR="00D67C8C" w:rsidRPr="006251D6" w:rsidRDefault="00C80A11" w:rsidP="00080BA5">
            <w:pPr>
              <w:pStyle w:val="TableTextLeft"/>
              <w:rPr>
                <w:sz w:val="20"/>
                <w:szCs w:val="20"/>
              </w:rPr>
            </w:pPr>
            <w:r w:rsidRPr="006251D6">
              <w:rPr>
                <w:rFonts w:cs="Arial"/>
                <w:sz w:val="20"/>
                <w:szCs w:val="20"/>
              </w:rPr>
              <w:t>The same time of day at the immediately following calendar date of the ending calendar month, if the same calendar date of the ending month in the ending year does not exist</w:t>
            </w:r>
          </w:p>
          <w:p w14:paraId="0000030A" w14:textId="20D96B5F" w:rsidR="00D67C8C" w:rsidRPr="006251D6" w:rsidRDefault="00C80A11" w:rsidP="00080BA5">
            <w:pPr>
              <w:pStyle w:val="TableTextLeft"/>
              <w:rPr>
                <w:sz w:val="20"/>
                <w:szCs w:val="20"/>
              </w:rPr>
            </w:pPr>
            <w:r w:rsidRPr="006251D6">
              <w:rPr>
                <w:b/>
                <w:sz w:val="20"/>
                <w:szCs w:val="20"/>
              </w:rPr>
              <w:t>Note:</w:t>
            </w:r>
            <w:r w:rsidRPr="006251D6">
              <w:rPr>
                <w:sz w:val="20"/>
                <w:szCs w:val="20"/>
              </w:rPr>
              <w:t xml:space="preserve"> If, in the next calendar year, the same calendar date does not exist, the International Organization for Standardization states that the ending calendar day </w:t>
            </w:r>
            <w:proofErr w:type="gramStart"/>
            <w:r w:rsidRPr="006251D6">
              <w:rPr>
                <w:sz w:val="20"/>
                <w:szCs w:val="20"/>
              </w:rPr>
              <w:t>has to</w:t>
            </w:r>
            <w:proofErr w:type="gramEnd"/>
            <w:r w:rsidRPr="006251D6">
              <w:rPr>
                <w:sz w:val="20"/>
                <w:szCs w:val="20"/>
              </w:rPr>
              <w:t xml:space="preserve"> be agreed upon. CQL uses this</w:t>
            </w:r>
            <w:r w:rsidR="002F211A">
              <w:rPr>
                <w:sz w:val="20"/>
                <w:szCs w:val="20"/>
              </w:rPr>
              <w:t xml:space="preserve"> </w:t>
            </w:r>
            <w:r w:rsidRPr="006251D6">
              <w:rPr>
                <w:sz w:val="20"/>
                <w:szCs w:val="20"/>
              </w:rPr>
              <w:t xml:space="preserve">convention. </w:t>
            </w:r>
          </w:p>
        </w:tc>
        <w:tc>
          <w:tcPr>
            <w:tcW w:w="4950" w:type="dxa"/>
          </w:tcPr>
          <w:p w14:paraId="0000030B" w14:textId="77777777" w:rsidR="00D67C8C" w:rsidRPr="006251D6" w:rsidRDefault="00C80A11" w:rsidP="00080BA5">
            <w:pPr>
              <w:pStyle w:val="TableTextLeft"/>
              <w:rPr>
                <w:b/>
                <w:sz w:val="20"/>
                <w:szCs w:val="20"/>
              </w:rPr>
            </w:pPr>
            <w:r w:rsidRPr="006251D6">
              <w:rPr>
                <w:sz w:val="20"/>
                <w:szCs w:val="20"/>
              </w:rPr>
              <w:t xml:space="preserve">Day (date 2) &gt;= day (date 1) </w:t>
            </w:r>
            <w:r w:rsidRPr="006251D6">
              <w:rPr>
                <w:sz w:val="20"/>
                <w:szCs w:val="20"/>
              </w:rPr>
              <w:br/>
              <w:t>Duration (months) = (year (date 2) - year (date 1)) * 12 + (month (date 2) - month (date 1))</w:t>
            </w:r>
          </w:p>
          <w:p w14:paraId="0000030C" w14:textId="77777777" w:rsidR="00D67C8C" w:rsidRPr="006251D6" w:rsidRDefault="00C80A11" w:rsidP="00080BA5">
            <w:pPr>
              <w:pStyle w:val="TableTextLeft"/>
              <w:rPr>
                <w:sz w:val="20"/>
                <w:szCs w:val="20"/>
              </w:rPr>
            </w:pPr>
            <w:r w:rsidRPr="006251D6">
              <w:rPr>
                <w:b/>
                <w:sz w:val="20"/>
                <w:szCs w:val="20"/>
              </w:rPr>
              <w:t xml:space="preserve">Example 1.a: </w:t>
            </w:r>
            <w:r w:rsidRPr="006251D6">
              <w:rPr>
                <w:sz w:val="20"/>
                <w:szCs w:val="20"/>
              </w:rPr>
              <w:br/>
              <w:t xml:space="preserve">Date 1: 2012-03-01 14:05:45 </w:t>
            </w:r>
            <w:r w:rsidRPr="006251D6">
              <w:rPr>
                <w:sz w:val="20"/>
                <w:szCs w:val="20"/>
              </w:rPr>
              <w:br/>
              <w:t xml:space="preserve">Date 2: 2012-03-31 23:01:49 </w:t>
            </w:r>
            <w:r w:rsidRPr="006251D6">
              <w:rPr>
                <w:sz w:val="20"/>
                <w:szCs w:val="20"/>
              </w:rPr>
              <w:br/>
              <w:t xml:space="preserve">Duration = (year (date 2) - year (date 1)) * 12 + (month (date 2) - (month (date 1)) </w:t>
            </w:r>
            <w:r w:rsidRPr="006251D6">
              <w:rPr>
                <w:sz w:val="20"/>
                <w:szCs w:val="20"/>
              </w:rPr>
              <w:br/>
              <w:t xml:space="preserve">= (2012 - 2012) * 12 + (3 - 3) = </w:t>
            </w:r>
            <w:r w:rsidRPr="006251D6">
              <w:rPr>
                <w:b/>
                <w:sz w:val="20"/>
                <w:szCs w:val="20"/>
              </w:rPr>
              <w:t>0 months</w:t>
            </w:r>
          </w:p>
          <w:p w14:paraId="0000030D" w14:textId="77777777" w:rsidR="00D67C8C" w:rsidRPr="006251D6" w:rsidRDefault="00C80A11" w:rsidP="00080BA5">
            <w:pPr>
              <w:pStyle w:val="TableTextLeft"/>
              <w:rPr>
                <w:sz w:val="20"/>
                <w:szCs w:val="20"/>
              </w:rPr>
            </w:pPr>
            <w:r w:rsidRPr="006251D6">
              <w:rPr>
                <w:b/>
                <w:sz w:val="20"/>
                <w:szCs w:val="20"/>
              </w:rPr>
              <w:t xml:space="preserve">Example 1.b: </w:t>
            </w:r>
            <w:r w:rsidRPr="006251D6">
              <w:rPr>
                <w:sz w:val="20"/>
                <w:szCs w:val="20"/>
              </w:rPr>
              <w:br/>
              <w:t xml:space="preserve">Date 1: 2012-03-10 22:05:09 </w:t>
            </w:r>
            <w:r w:rsidRPr="006251D6">
              <w:rPr>
                <w:sz w:val="20"/>
                <w:szCs w:val="20"/>
              </w:rPr>
              <w:br/>
              <w:t xml:space="preserve">Date 2: 2013-06-30 13:00:23 </w:t>
            </w:r>
            <w:r w:rsidRPr="006251D6">
              <w:rPr>
                <w:sz w:val="20"/>
                <w:szCs w:val="20"/>
              </w:rPr>
              <w:br/>
              <w:t xml:space="preserve">Duration = (year (date 2) - year (date 1)) * 12 + (month (date 2) - (month date 1)) </w:t>
            </w:r>
            <w:r w:rsidRPr="006251D6">
              <w:rPr>
                <w:sz w:val="20"/>
                <w:szCs w:val="20"/>
              </w:rPr>
              <w:br/>
              <w:t xml:space="preserve">= (2013 - 2012) * 12 + (6 - 3) = 12 + 3 = </w:t>
            </w:r>
            <w:r w:rsidRPr="006251D6">
              <w:rPr>
                <w:b/>
                <w:sz w:val="20"/>
                <w:szCs w:val="20"/>
              </w:rPr>
              <w:t>15 months</w:t>
            </w:r>
          </w:p>
          <w:p w14:paraId="0000030E" w14:textId="77777777" w:rsidR="00D67C8C" w:rsidRPr="006251D6" w:rsidRDefault="00C80A11" w:rsidP="00080BA5">
            <w:pPr>
              <w:pStyle w:val="TableTextLeft"/>
              <w:rPr>
                <w:sz w:val="20"/>
                <w:szCs w:val="20"/>
              </w:rPr>
            </w:pPr>
            <w:r w:rsidRPr="006251D6">
              <w:rPr>
                <w:sz w:val="20"/>
                <w:szCs w:val="20"/>
              </w:rPr>
              <w:t xml:space="preserve">Day (day 2) &lt; day (date 1) </w:t>
            </w:r>
            <w:r w:rsidRPr="006251D6">
              <w:rPr>
                <w:sz w:val="20"/>
                <w:szCs w:val="20"/>
              </w:rPr>
              <w:br/>
              <w:t>Duration (months) = (year (date 2) - year (date 1)) * 12 + (month (date 2) - month (date 1)) - 1</w:t>
            </w:r>
          </w:p>
          <w:p w14:paraId="00000310" w14:textId="52BFF3ED" w:rsidR="00D67C8C" w:rsidRPr="006251D6" w:rsidRDefault="00C80A11" w:rsidP="00080BA5">
            <w:pPr>
              <w:pStyle w:val="TableTextLeft"/>
              <w:rPr>
                <w:b/>
                <w:sz w:val="20"/>
                <w:szCs w:val="20"/>
              </w:rPr>
            </w:pPr>
            <w:r w:rsidRPr="006251D6">
              <w:rPr>
                <w:b/>
                <w:sz w:val="20"/>
                <w:szCs w:val="20"/>
              </w:rPr>
              <w:t xml:space="preserve">Example 2: </w:t>
            </w:r>
            <w:r w:rsidRPr="006251D6">
              <w:rPr>
                <w:sz w:val="20"/>
                <w:szCs w:val="20"/>
              </w:rPr>
              <w:br/>
              <w:t xml:space="preserve">Date 1: 2012-03-10 22:05:09 </w:t>
            </w:r>
            <w:r w:rsidRPr="006251D6">
              <w:rPr>
                <w:sz w:val="20"/>
                <w:szCs w:val="20"/>
              </w:rPr>
              <w:br/>
              <w:t xml:space="preserve">Date 2: 2013-01-09 07:19:33 </w:t>
            </w:r>
            <w:r w:rsidRPr="006251D6">
              <w:rPr>
                <w:sz w:val="20"/>
                <w:szCs w:val="20"/>
              </w:rPr>
              <w:br/>
              <w:t xml:space="preserve">Duration = (year (date 2) - year (date 1)) * 12 + (month (date 2) - month (date 1)) – 1 </w:t>
            </w:r>
            <w:r w:rsidRPr="006251D6">
              <w:rPr>
                <w:sz w:val="20"/>
                <w:szCs w:val="20"/>
              </w:rPr>
              <w:br/>
              <w:t xml:space="preserve">= (2013 - 2012) * 12 + (1 - 3) - 1 = 12 - 2 - 1 = </w:t>
            </w:r>
            <w:r w:rsidRPr="006251D6">
              <w:rPr>
                <w:b/>
                <w:sz w:val="20"/>
                <w:szCs w:val="20"/>
              </w:rPr>
              <w:t>9 months</w:t>
            </w:r>
          </w:p>
        </w:tc>
      </w:tr>
      <w:tr w:rsidR="00D67C8C" w:rsidRPr="006251D6" w14:paraId="72D296A9" w14:textId="77777777" w:rsidTr="00EB0AE4">
        <w:trPr>
          <w:trHeight w:val="120"/>
        </w:trPr>
        <w:tc>
          <w:tcPr>
            <w:tcW w:w="1008" w:type="dxa"/>
          </w:tcPr>
          <w:p w14:paraId="00000311" w14:textId="77777777" w:rsidR="00D67C8C" w:rsidRPr="006251D6" w:rsidRDefault="00C80A11" w:rsidP="00080BA5">
            <w:pPr>
              <w:pStyle w:val="TableTextLeft"/>
              <w:rPr>
                <w:sz w:val="20"/>
                <w:szCs w:val="20"/>
              </w:rPr>
            </w:pPr>
            <w:r w:rsidRPr="006251D6">
              <w:rPr>
                <w:sz w:val="20"/>
                <w:szCs w:val="20"/>
              </w:rPr>
              <w:t>Weeks</w:t>
            </w:r>
          </w:p>
        </w:tc>
        <w:tc>
          <w:tcPr>
            <w:tcW w:w="3402" w:type="dxa"/>
          </w:tcPr>
          <w:p w14:paraId="00000312" w14:textId="77777777" w:rsidR="00D67C8C" w:rsidRPr="006251D6" w:rsidRDefault="00C80A11" w:rsidP="00080BA5">
            <w:pPr>
              <w:pStyle w:val="TableTextLeft"/>
              <w:rPr>
                <w:sz w:val="20"/>
                <w:szCs w:val="20"/>
              </w:rPr>
            </w:pPr>
            <w:r w:rsidRPr="006251D6">
              <w:rPr>
                <w:sz w:val="20"/>
                <w:szCs w:val="20"/>
                <w:highlight w:val="white"/>
              </w:rPr>
              <w:t>Defined as a duration of any time interval starting at a certain time of day at a certain calendar day at a certain calendar week and ends at the same time of day at the same calendar day of the ending calendar week. In other words, a complete week is always seven days long.</w:t>
            </w:r>
          </w:p>
        </w:tc>
        <w:tc>
          <w:tcPr>
            <w:tcW w:w="4950" w:type="dxa"/>
          </w:tcPr>
          <w:p w14:paraId="00000313" w14:textId="77777777" w:rsidR="00D67C8C" w:rsidRPr="006251D6" w:rsidRDefault="00C80A11" w:rsidP="00080BA5">
            <w:pPr>
              <w:pStyle w:val="TableTextLeft"/>
              <w:rPr>
                <w:sz w:val="20"/>
                <w:szCs w:val="20"/>
              </w:rPr>
            </w:pPr>
            <w:r w:rsidRPr="006251D6">
              <w:rPr>
                <w:sz w:val="20"/>
                <w:szCs w:val="20"/>
              </w:rPr>
              <w:t>Duration = [date 2 - date 1 (days)] / 7</w:t>
            </w:r>
          </w:p>
          <w:p w14:paraId="00000314" w14:textId="77777777" w:rsidR="00D67C8C" w:rsidRPr="006251D6" w:rsidRDefault="00C80A11" w:rsidP="00080BA5">
            <w:pPr>
              <w:pStyle w:val="TableTextLeft"/>
              <w:rPr>
                <w:sz w:val="20"/>
                <w:szCs w:val="20"/>
              </w:rPr>
            </w:pPr>
            <w:r w:rsidRPr="006251D6">
              <w:rPr>
                <w:b/>
                <w:sz w:val="20"/>
                <w:szCs w:val="20"/>
              </w:rPr>
              <w:t xml:space="preserve">Example 1: </w:t>
            </w:r>
            <w:r w:rsidRPr="006251D6">
              <w:rPr>
                <w:sz w:val="20"/>
                <w:szCs w:val="20"/>
              </w:rPr>
              <w:br/>
              <w:t xml:space="preserve">Date 1: 2012-03-10 22:05:09 </w:t>
            </w:r>
            <w:r w:rsidRPr="006251D6">
              <w:rPr>
                <w:sz w:val="20"/>
                <w:szCs w:val="20"/>
              </w:rPr>
              <w:br/>
              <w:t xml:space="preserve">Date 2: 2012-03-20 07:19:33 </w:t>
            </w:r>
            <w:r w:rsidRPr="006251D6">
              <w:rPr>
                <w:sz w:val="20"/>
                <w:szCs w:val="20"/>
              </w:rPr>
              <w:br/>
              <w:t xml:space="preserve">Duration = [# days (month (date 1)) - day (date 1) + # days (month (date 1) + 1) + #days (month (date 1) + 2) + ... + # days (month (date 2) - 1) + day (date 2)] / 7 </w:t>
            </w:r>
            <w:r w:rsidRPr="006251D6">
              <w:rPr>
                <w:sz w:val="20"/>
                <w:szCs w:val="20"/>
              </w:rPr>
              <w:br/>
              <w:t xml:space="preserve">= (20 - 10) / 7 = 10 / 7 = </w:t>
            </w:r>
            <w:r w:rsidRPr="006251D6">
              <w:rPr>
                <w:b/>
                <w:sz w:val="20"/>
                <w:szCs w:val="20"/>
              </w:rPr>
              <w:t>1 week</w:t>
            </w:r>
          </w:p>
        </w:tc>
      </w:tr>
      <w:tr w:rsidR="00D67C8C" w:rsidRPr="006251D6" w14:paraId="13EAB859" w14:textId="77777777" w:rsidTr="00EB0AE4">
        <w:trPr>
          <w:trHeight w:val="120"/>
        </w:trPr>
        <w:tc>
          <w:tcPr>
            <w:tcW w:w="1008" w:type="dxa"/>
          </w:tcPr>
          <w:p w14:paraId="00000315" w14:textId="77777777" w:rsidR="00D67C8C" w:rsidRPr="006251D6" w:rsidRDefault="00C80A11" w:rsidP="00080BA5">
            <w:pPr>
              <w:pStyle w:val="TableTextLeft"/>
              <w:rPr>
                <w:sz w:val="20"/>
                <w:szCs w:val="20"/>
              </w:rPr>
            </w:pPr>
            <w:r w:rsidRPr="006251D6">
              <w:rPr>
                <w:sz w:val="20"/>
                <w:szCs w:val="20"/>
              </w:rPr>
              <w:t>Days</w:t>
            </w:r>
          </w:p>
        </w:tc>
        <w:tc>
          <w:tcPr>
            <w:tcW w:w="3402" w:type="dxa"/>
          </w:tcPr>
          <w:p w14:paraId="00000316" w14:textId="77777777" w:rsidR="00D67C8C" w:rsidRPr="006251D6" w:rsidRDefault="00C80A11" w:rsidP="00080BA5">
            <w:pPr>
              <w:pStyle w:val="TableTextLeft"/>
              <w:rPr>
                <w:rFonts w:cs="Arial"/>
                <w:sz w:val="20"/>
                <w:szCs w:val="20"/>
              </w:rPr>
            </w:pPr>
            <w:r w:rsidRPr="006251D6">
              <w:rPr>
                <w:rFonts w:cs="Arial"/>
                <w:sz w:val="20"/>
                <w:szCs w:val="20"/>
              </w:rPr>
              <w:t>Defined as a duration of any time interval starting at a certain calendar day and ends at the next calendar day (1 second to 23 hours, 59 minutes, and 59 seconds).</w:t>
            </w:r>
          </w:p>
          <w:p w14:paraId="00000317" w14:textId="77777777" w:rsidR="00D67C8C" w:rsidRPr="006251D6" w:rsidRDefault="00C80A11" w:rsidP="00080BA5">
            <w:pPr>
              <w:pStyle w:val="TableTextLeft"/>
              <w:rPr>
                <w:sz w:val="20"/>
                <w:szCs w:val="20"/>
              </w:rPr>
            </w:pPr>
            <w:r w:rsidRPr="006251D6">
              <w:rPr>
                <w:sz w:val="20"/>
                <w:szCs w:val="20"/>
              </w:rPr>
              <w:t>The duration in days between two dates will generally be given by subtracting the start calendar date from the end calendar date, respecting the time of day between the two dates.</w:t>
            </w:r>
          </w:p>
        </w:tc>
        <w:tc>
          <w:tcPr>
            <w:tcW w:w="4950" w:type="dxa"/>
          </w:tcPr>
          <w:p w14:paraId="00000318" w14:textId="77777777" w:rsidR="00D67C8C" w:rsidRPr="006251D6" w:rsidRDefault="00C80A11" w:rsidP="00080BA5">
            <w:pPr>
              <w:pStyle w:val="TableTextLeft"/>
              <w:rPr>
                <w:sz w:val="20"/>
                <w:szCs w:val="20"/>
              </w:rPr>
            </w:pPr>
            <w:r w:rsidRPr="006251D6">
              <w:rPr>
                <w:sz w:val="20"/>
                <w:szCs w:val="20"/>
              </w:rPr>
              <w:t xml:space="preserve">Time (date 2) &lt; time (date 1) </w:t>
            </w:r>
            <w:r w:rsidRPr="006251D6">
              <w:rPr>
                <w:sz w:val="20"/>
                <w:szCs w:val="20"/>
              </w:rPr>
              <w:br/>
              <w:t>Duration = [date 2 - date 1 (days)] - 1</w:t>
            </w:r>
          </w:p>
          <w:p w14:paraId="00000319" w14:textId="77777777" w:rsidR="00D67C8C" w:rsidRPr="006251D6" w:rsidRDefault="00C80A11" w:rsidP="00080BA5">
            <w:pPr>
              <w:pStyle w:val="TableTextLeft"/>
              <w:rPr>
                <w:sz w:val="20"/>
                <w:szCs w:val="20"/>
              </w:rPr>
            </w:pPr>
            <w:r w:rsidRPr="006251D6">
              <w:rPr>
                <w:b/>
                <w:sz w:val="20"/>
                <w:szCs w:val="20"/>
              </w:rPr>
              <w:t xml:space="preserve">Example 1: </w:t>
            </w:r>
            <w:r w:rsidRPr="006251D6">
              <w:rPr>
                <w:sz w:val="20"/>
                <w:szCs w:val="20"/>
              </w:rPr>
              <w:br/>
              <w:t xml:space="preserve">Date 1: 2012-01-31 12:30:00 </w:t>
            </w:r>
            <w:r w:rsidRPr="006251D6">
              <w:rPr>
                <w:sz w:val="20"/>
                <w:szCs w:val="20"/>
              </w:rPr>
              <w:br/>
              <w:t xml:space="preserve">Date 2: 2012-02-01 09:00:00 </w:t>
            </w:r>
            <w:r w:rsidRPr="006251D6">
              <w:rPr>
                <w:sz w:val="20"/>
                <w:szCs w:val="20"/>
              </w:rPr>
              <w:br/>
              <w:t xml:space="preserve">Duration = 02-01 - 01-31 - 1 = </w:t>
            </w:r>
            <w:r w:rsidRPr="006251D6">
              <w:rPr>
                <w:b/>
                <w:sz w:val="20"/>
                <w:szCs w:val="20"/>
              </w:rPr>
              <w:t>0 days</w:t>
            </w:r>
          </w:p>
          <w:p w14:paraId="0000031A" w14:textId="77777777" w:rsidR="00D67C8C" w:rsidRPr="006251D6" w:rsidRDefault="00C80A11" w:rsidP="00080BA5">
            <w:pPr>
              <w:pStyle w:val="TableTextLeft"/>
              <w:rPr>
                <w:sz w:val="20"/>
                <w:szCs w:val="20"/>
              </w:rPr>
            </w:pPr>
            <w:r w:rsidRPr="006251D6">
              <w:rPr>
                <w:sz w:val="20"/>
                <w:szCs w:val="20"/>
              </w:rPr>
              <w:t xml:space="preserve">Time (date 2) &gt;= time (date 1) </w:t>
            </w:r>
            <w:r w:rsidRPr="006251D6">
              <w:rPr>
                <w:sz w:val="20"/>
                <w:szCs w:val="20"/>
              </w:rPr>
              <w:br/>
              <w:t>Duration = date 2 - date 1 (days)</w:t>
            </w:r>
          </w:p>
          <w:p w14:paraId="0000031B" w14:textId="77777777" w:rsidR="00D67C8C" w:rsidRPr="006251D6" w:rsidRDefault="00C80A11" w:rsidP="00080BA5">
            <w:pPr>
              <w:pStyle w:val="TableTextLeft"/>
              <w:rPr>
                <w:sz w:val="20"/>
                <w:szCs w:val="20"/>
              </w:rPr>
            </w:pPr>
            <w:r w:rsidRPr="006251D6">
              <w:rPr>
                <w:b/>
                <w:sz w:val="20"/>
                <w:szCs w:val="20"/>
              </w:rPr>
              <w:t xml:space="preserve">Example 2: </w:t>
            </w:r>
            <w:r w:rsidRPr="006251D6">
              <w:rPr>
                <w:sz w:val="20"/>
                <w:szCs w:val="20"/>
              </w:rPr>
              <w:br/>
              <w:t xml:space="preserve">Date 1: 2012-01-31 12:30:00 </w:t>
            </w:r>
            <w:r w:rsidRPr="006251D6">
              <w:rPr>
                <w:sz w:val="20"/>
                <w:szCs w:val="20"/>
              </w:rPr>
              <w:br/>
              <w:t xml:space="preserve">Date 2: 2012-02-01 14:00:00 </w:t>
            </w:r>
            <w:r w:rsidRPr="006251D6">
              <w:rPr>
                <w:sz w:val="20"/>
                <w:szCs w:val="20"/>
              </w:rPr>
              <w:br/>
              <w:t xml:space="preserve">Duration = 02-01 - 01-31 = </w:t>
            </w:r>
            <w:r w:rsidRPr="006251D6">
              <w:rPr>
                <w:b/>
                <w:sz w:val="20"/>
                <w:szCs w:val="20"/>
              </w:rPr>
              <w:t>1 day</w:t>
            </w:r>
          </w:p>
        </w:tc>
      </w:tr>
      <w:tr w:rsidR="00D67C8C" w:rsidRPr="006251D6" w14:paraId="2EAEF7FD" w14:textId="77777777" w:rsidTr="00EB0AE4">
        <w:trPr>
          <w:trHeight w:val="120"/>
        </w:trPr>
        <w:tc>
          <w:tcPr>
            <w:tcW w:w="1008" w:type="dxa"/>
          </w:tcPr>
          <w:p w14:paraId="0000031C" w14:textId="792CC450" w:rsidR="00D67C8C" w:rsidRPr="006251D6" w:rsidRDefault="001932E5" w:rsidP="00750BB1">
            <w:pPr>
              <w:pStyle w:val="TableTextLeft"/>
              <w:keepNext/>
              <w:keepLines/>
              <w:rPr>
                <w:sz w:val="20"/>
                <w:szCs w:val="20"/>
              </w:rPr>
            </w:pPr>
            <w:r>
              <w:rPr>
                <w:sz w:val="20"/>
                <w:szCs w:val="20"/>
              </w:rPr>
              <w:lastRenderedPageBreak/>
              <w:t>Hours</w:t>
            </w:r>
          </w:p>
        </w:tc>
        <w:tc>
          <w:tcPr>
            <w:tcW w:w="3402" w:type="dxa"/>
          </w:tcPr>
          <w:p w14:paraId="0000031D" w14:textId="77777777" w:rsidR="00D67C8C" w:rsidRPr="006251D6" w:rsidRDefault="00C80A11" w:rsidP="00750BB1">
            <w:pPr>
              <w:pStyle w:val="TableTextLeft"/>
              <w:keepNext/>
              <w:keepLines/>
              <w:rPr>
                <w:rFonts w:cs="Arial"/>
                <w:sz w:val="20"/>
                <w:szCs w:val="20"/>
                <w:highlight w:val="white"/>
              </w:rPr>
            </w:pPr>
            <w:r w:rsidRPr="006251D6">
              <w:rPr>
                <w:rFonts w:cs="Arial"/>
                <w:sz w:val="20"/>
                <w:szCs w:val="20"/>
                <w:highlight w:val="white"/>
              </w:rPr>
              <w:t>Each hour is 60 minutes.</w:t>
            </w:r>
          </w:p>
          <w:p w14:paraId="0000031E" w14:textId="21CD27BA" w:rsidR="00D67C8C" w:rsidRPr="006251D6" w:rsidRDefault="00C80A11" w:rsidP="00750BB1">
            <w:pPr>
              <w:pStyle w:val="TableTextLeft"/>
              <w:keepNext/>
              <w:keepLines/>
              <w:rPr>
                <w:sz w:val="20"/>
                <w:szCs w:val="20"/>
              </w:rPr>
            </w:pPr>
            <w:r w:rsidRPr="006251D6">
              <w:rPr>
                <w:sz w:val="20"/>
                <w:szCs w:val="20"/>
                <w:highlight w:val="white"/>
              </w:rPr>
              <w:t>The duration in hours between two dates is the number of minutes between the two dates divided by 60. The unit truncates the result.</w:t>
            </w:r>
          </w:p>
        </w:tc>
        <w:tc>
          <w:tcPr>
            <w:tcW w:w="4950" w:type="dxa"/>
          </w:tcPr>
          <w:p w14:paraId="0000031F" w14:textId="77777777" w:rsidR="00D67C8C" w:rsidRPr="006251D6" w:rsidRDefault="00C80A11" w:rsidP="00750BB1">
            <w:pPr>
              <w:pStyle w:val="TableTextLeft"/>
              <w:keepNext/>
              <w:keepLines/>
              <w:rPr>
                <w:sz w:val="20"/>
                <w:szCs w:val="20"/>
              </w:rPr>
            </w:pPr>
            <w:r w:rsidRPr="006251D6">
              <w:rPr>
                <w:b/>
                <w:sz w:val="20"/>
                <w:szCs w:val="20"/>
              </w:rPr>
              <w:t xml:space="preserve">Example 1: </w:t>
            </w:r>
            <w:r w:rsidRPr="006251D6">
              <w:rPr>
                <w:sz w:val="20"/>
                <w:szCs w:val="20"/>
              </w:rPr>
              <w:br/>
              <w:t xml:space="preserve">Date 1: 2012-03-01 03:10:00 </w:t>
            </w:r>
            <w:r w:rsidRPr="006251D6">
              <w:rPr>
                <w:sz w:val="20"/>
                <w:szCs w:val="20"/>
              </w:rPr>
              <w:br/>
              <w:t>Date 2: 2012-03-01 05:09:00</w:t>
            </w:r>
            <w:r w:rsidRPr="006251D6">
              <w:rPr>
                <w:sz w:val="20"/>
                <w:szCs w:val="20"/>
              </w:rPr>
              <w:br/>
              <w:t>Duration =</w:t>
            </w:r>
            <w:r w:rsidRPr="006251D6">
              <w:rPr>
                <w:b/>
                <w:sz w:val="20"/>
                <w:szCs w:val="20"/>
              </w:rPr>
              <w:t xml:space="preserve"> 1 hour</w:t>
            </w:r>
          </w:p>
          <w:p w14:paraId="00000320" w14:textId="77777777" w:rsidR="00D67C8C" w:rsidRPr="006251D6" w:rsidRDefault="00C80A11" w:rsidP="00750BB1">
            <w:pPr>
              <w:pStyle w:val="TableTextLeft"/>
              <w:keepNext/>
              <w:keepLines/>
              <w:rPr>
                <w:sz w:val="20"/>
                <w:szCs w:val="20"/>
              </w:rPr>
            </w:pPr>
            <w:r w:rsidRPr="006251D6">
              <w:rPr>
                <w:b/>
                <w:sz w:val="20"/>
                <w:szCs w:val="20"/>
              </w:rPr>
              <w:t xml:space="preserve">Example 2: </w:t>
            </w:r>
            <w:r w:rsidRPr="006251D6">
              <w:rPr>
                <w:sz w:val="20"/>
                <w:szCs w:val="20"/>
              </w:rPr>
              <w:br/>
              <w:t xml:space="preserve">Date 1: 2012-02-29 23:10:00 </w:t>
            </w:r>
            <w:r w:rsidRPr="006251D6">
              <w:rPr>
                <w:sz w:val="20"/>
                <w:szCs w:val="20"/>
              </w:rPr>
              <w:br/>
              <w:t xml:space="preserve">Date 2: 2012-03-01 00:10:00 </w:t>
            </w:r>
            <w:r w:rsidRPr="006251D6">
              <w:rPr>
                <w:sz w:val="20"/>
                <w:szCs w:val="20"/>
              </w:rPr>
              <w:br/>
              <w:t xml:space="preserve">Duration = </w:t>
            </w:r>
            <w:r w:rsidRPr="006251D6">
              <w:rPr>
                <w:b/>
                <w:sz w:val="20"/>
                <w:szCs w:val="20"/>
              </w:rPr>
              <w:t>1 hour</w:t>
            </w:r>
          </w:p>
          <w:p w14:paraId="00000321" w14:textId="77777777" w:rsidR="00D67C8C" w:rsidRPr="006251D6" w:rsidRDefault="00C80A11" w:rsidP="00750BB1">
            <w:pPr>
              <w:pStyle w:val="TableTextLeft"/>
              <w:keepNext/>
              <w:keepLines/>
              <w:rPr>
                <w:sz w:val="20"/>
                <w:szCs w:val="20"/>
              </w:rPr>
            </w:pPr>
            <w:r w:rsidRPr="006251D6">
              <w:rPr>
                <w:b/>
                <w:sz w:val="20"/>
                <w:szCs w:val="20"/>
              </w:rPr>
              <w:t xml:space="preserve">Example 3: </w:t>
            </w:r>
            <w:r w:rsidRPr="006251D6">
              <w:rPr>
                <w:sz w:val="20"/>
                <w:szCs w:val="20"/>
              </w:rPr>
              <w:br/>
              <w:t xml:space="preserve">Date 1: 2012-03-01 03:10 </w:t>
            </w:r>
            <w:r w:rsidRPr="006251D6">
              <w:rPr>
                <w:sz w:val="20"/>
                <w:szCs w:val="20"/>
              </w:rPr>
              <w:br/>
              <w:t xml:space="preserve">Date 2: 2012-03-01 04:00 </w:t>
            </w:r>
            <w:r w:rsidRPr="006251D6">
              <w:rPr>
                <w:sz w:val="20"/>
                <w:szCs w:val="20"/>
              </w:rPr>
              <w:br/>
              <w:t xml:space="preserve">Duration = </w:t>
            </w:r>
            <w:r w:rsidRPr="006251D6">
              <w:rPr>
                <w:b/>
                <w:sz w:val="20"/>
                <w:szCs w:val="20"/>
              </w:rPr>
              <w:t>0 hours</w:t>
            </w:r>
          </w:p>
        </w:tc>
      </w:tr>
      <w:tr w:rsidR="00D67C8C" w:rsidRPr="006251D6" w14:paraId="096C6D98" w14:textId="77777777" w:rsidTr="00EB0AE4">
        <w:trPr>
          <w:trHeight w:val="120"/>
        </w:trPr>
        <w:tc>
          <w:tcPr>
            <w:tcW w:w="1008" w:type="dxa"/>
          </w:tcPr>
          <w:p w14:paraId="00000322" w14:textId="77777777" w:rsidR="00D67C8C" w:rsidRPr="006251D6" w:rsidRDefault="00C80A11" w:rsidP="00080BA5">
            <w:pPr>
              <w:pStyle w:val="TableTextLeft"/>
              <w:rPr>
                <w:sz w:val="20"/>
                <w:szCs w:val="20"/>
              </w:rPr>
            </w:pPr>
            <w:r w:rsidRPr="006251D6">
              <w:rPr>
                <w:sz w:val="20"/>
                <w:szCs w:val="20"/>
              </w:rPr>
              <w:t>Minutes</w:t>
            </w:r>
          </w:p>
        </w:tc>
        <w:tc>
          <w:tcPr>
            <w:tcW w:w="3402" w:type="dxa"/>
          </w:tcPr>
          <w:p w14:paraId="00000323" w14:textId="473FD354" w:rsidR="00D67C8C" w:rsidRPr="006251D6" w:rsidRDefault="00C80A11" w:rsidP="00080BA5">
            <w:pPr>
              <w:pStyle w:val="TableTextLeft"/>
              <w:rPr>
                <w:rFonts w:cs="Arial"/>
                <w:sz w:val="20"/>
                <w:szCs w:val="20"/>
                <w:highlight w:val="white"/>
              </w:rPr>
            </w:pPr>
            <w:r w:rsidRPr="006251D6">
              <w:rPr>
                <w:rFonts w:cs="Arial"/>
                <w:sz w:val="20"/>
                <w:szCs w:val="20"/>
                <w:highlight w:val="white"/>
              </w:rPr>
              <w:t>Each minute is 60 seconds.</w:t>
            </w:r>
            <w:r w:rsidRPr="006251D6">
              <w:rPr>
                <w:rFonts w:cs="Arial"/>
                <w:sz w:val="20"/>
                <w:szCs w:val="20"/>
              </w:rPr>
              <w:t xml:space="preserve"> </w:t>
            </w:r>
            <w:r w:rsidRPr="006251D6">
              <w:rPr>
                <w:rFonts w:cs="Arial"/>
                <w:sz w:val="20"/>
                <w:szCs w:val="20"/>
                <w:highlight w:val="white"/>
              </w:rPr>
              <w:t>The duration in minutes between two dates is the number of seconds between the two dates divided by 60. The unit truncates the result.</w:t>
            </w:r>
          </w:p>
        </w:tc>
        <w:tc>
          <w:tcPr>
            <w:tcW w:w="4950" w:type="dxa"/>
          </w:tcPr>
          <w:p w14:paraId="00000324" w14:textId="77777777" w:rsidR="00D67C8C" w:rsidRPr="006251D6" w:rsidRDefault="00C80A11" w:rsidP="00080BA5">
            <w:pPr>
              <w:pStyle w:val="TableTextLeft"/>
              <w:rPr>
                <w:sz w:val="20"/>
                <w:szCs w:val="20"/>
              </w:rPr>
            </w:pPr>
            <w:r w:rsidRPr="006251D6">
              <w:rPr>
                <w:b/>
                <w:sz w:val="20"/>
                <w:szCs w:val="20"/>
              </w:rPr>
              <w:t xml:space="preserve">Example 1: </w:t>
            </w:r>
            <w:r w:rsidRPr="006251D6">
              <w:rPr>
                <w:sz w:val="20"/>
                <w:szCs w:val="20"/>
              </w:rPr>
              <w:br/>
              <w:t xml:space="preserve">Date 1: 2012-03-01 03:10:00 </w:t>
            </w:r>
            <w:r w:rsidRPr="006251D6">
              <w:rPr>
                <w:sz w:val="20"/>
                <w:szCs w:val="20"/>
              </w:rPr>
              <w:br/>
              <w:t xml:space="preserve">Date 2: 2012-03-01 05:20:00 </w:t>
            </w:r>
            <w:r w:rsidRPr="006251D6">
              <w:rPr>
                <w:sz w:val="20"/>
                <w:szCs w:val="20"/>
              </w:rPr>
              <w:br/>
              <w:t xml:space="preserve">Duration = </w:t>
            </w:r>
            <w:r w:rsidRPr="006251D6">
              <w:rPr>
                <w:b/>
                <w:sz w:val="20"/>
                <w:szCs w:val="20"/>
              </w:rPr>
              <w:t>130 minutes</w:t>
            </w:r>
          </w:p>
          <w:p w14:paraId="00000325" w14:textId="77777777" w:rsidR="00D67C8C" w:rsidRPr="006251D6" w:rsidRDefault="00C80A11" w:rsidP="00080BA5">
            <w:pPr>
              <w:pStyle w:val="TableTextLeft"/>
              <w:rPr>
                <w:sz w:val="20"/>
                <w:szCs w:val="20"/>
              </w:rPr>
            </w:pPr>
            <w:r w:rsidRPr="006251D6">
              <w:rPr>
                <w:b/>
                <w:sz w:val="20"/>
                <w:szCs w:val="20"/>
              </w:rPr>
              <w:t xml:space="preserve">Example 2: </w:t>
            </w:r>
            <w:r w:rsidRPr="006251D6">
              <w:rPr>
                <w:sz w:val="20"/>
                <w:szCs w:val="20"/>
              </w:rPr>
              <w:br/>
              <w:t xml:space="preserve">Date 1: 2012-02-29 23:10:00 </w:t>
            </w:r>
            <w:r w:rsidRPr="006251D6">
              <w:rPr>
                <w:sz w:val="20"/>
                <w:szCs w:val="20"/>
              </w:rPr>
              <w:br/>
              <w:t xml:space="preserve">Date 2: 2012-03-01 00:20:00 </w:t>
            </w:r>
            <w:r w:rsidRPr="006251D6">
              <w:rPr>
                <w:sz w:val="20"/>
                <w:szCs w:val="20"/>
              </w:rPr>
              <w:br/>
              <w:t xml:space="preserve">Duration = </w:t>
            </w:r>
            <w:r w:rsidRPr="006251D6">
              <w:rPr>
                <w:b/>
                <w:sz w:val="20"/>
                <w:szCs w:val="20"/>
              </w:rPr>
              <w:t>70 minutes</w:t>
            </w:r>
          </w:p>
        </w:tc>
      </w:tr>
    </w:tbl>
    <w:p w14:paraId="00000326" w14:textId="77777777" w:rsidR="00D67C8C" w:rsidRPr="005E64B8" w:rsidRDefault="00D67C8C" w:rsidP="005E64B8">
      <w:pPr>
        <w:keepNext/>
        <w:pBdr>
          <w:top w:val="nil"/>
          <w:left w:val="nil"/>
          <w:bottom w:val="nil"/>
          <w:right w:val="nil"/>
          <w:between w:val="nil"/>
        </w:pBdr>
        <w:spacing w:after="480"/>
        <w:jc w:val="center"/>
        <w:rPr>
          <w:rFonts w:ascii="Arial Narrow" w:eastAsia="Arial Narrow" w:hAnsi="Arial Narrow"/>
          <w:b/>
          <w:color w:val="000000"/>
          <w:sz w:val="36"/>
        </w:rPr>
        <w:sectPr w:rsidR="00D67C8C" w:rsidRPr="005E64B8" w:rsidSect="005E64B8">
          <w:headerReference w:type="even" r:id="rId167"/>
          <w:headerReference w:type="default" r:id="rId168"/>
          <w:headerReference w:type="first" r:id="rId169"/>
          <w:pgSz w:w="12240" w:h="15840"/>
          <w:pgMar w:top="1440" w:right="1440" w:bottom="1440" w:left="1440" w:header="504" w:footer="504" w:gutter="0"/>
          <w:cols w:space="720"/>
          <w:titlePg/>
        </w:sectPr>
      </w:pPr>
    </w:p>
    <w:p w14:paraId="00000327" w14:textId="77777777" w:rsidR="00D67C8C" w:rsidRPr="005E64B8" w:rsidRDefault="00C80A11" w:rsidP="00EB0AE4">
      <w:pPr>
        <w:pStyle w:val="AppendixTitle"/>
      </w:pPr>
      <w:bookmarkStart w:id="521" w:name="_heading=h.1ulbmlt" w:colFirst="0" w:colLast="0"/>
      <w:bookmarkStart w:id="522" w:name="_Toc56635406"/>
      <w:bookmarkStart w:id="523" w:name="_Toc159578409"/>
      <w:bookmarkStart w:id="524" w:name="_Toc194959031"/>
      <w:bookmarkStart w:id="525" w:name="_Toc194994781"/>
      <w:bookmarkEnd w:id="521"/>
      <w:r w:rsidRPr="005E64B8">
        <w:lastRenderedPageBreak/>
        <w:t>Acronyms</w:t>
      </w:r>
      <w:bookmarkEnd w:id="490"/>
      <w:bookmarkEnd w:id="520"/>
      <w:bookmarkEnd w:id="522"/>
      <w:bookmarkEnd w:id="523"/>
      <w:bookmarkEnd w:id="524"/>
      <w:bookmarkEnd w:id="525"/>
    </w:p>
    <w:tbl>
      <w:tblPr>
        <w:tblW w:w="9899" w:type="dxa"/>
        <w:tblLayout w:type="fixed"/>
        <w:tblCellMar>
          <w:left w:w="115" w:type="dxa"/>
          <w:right w:w="115" w:type="dxa"/>
        </w:tblCellMar>
        <w:tblLook w:val="0400" w:firstRow="0" w:lastRow="0" w:firstColumn="0" w:lastColumn="0" w:noHBand="0" w:noVBand="1"/>
      </w:tblPr>
      <w:tblGrid>
        <w:gridCol w:w="2160"/>
        <w:gridCol w:w="7739"/>
      </w:tblGrid>
      <w:tr w:rsidR="00D67C8C" w14:paraId="4D4DF6EB" w14:textId="77777777" w:rsidTr="005E64B8">
        <w:tc>
          <w:tcPr>
            <w:tcW w:w="2160" w:type="dxa"/>
          </w:tcPr>
          <w:p w14:paraId="00000328" w14:textId="77777777" w:rsidR="00D67C8C" w:rsidRPr="00EB0AE4" w:rsidRDefault="00C80A11" w:rsidP="00EB0AE4">
            <w:pPr>
              <w:pStyle w:val="Paragraph"/>
              <w:rPr>
                <w:b/>
                <w:bCs/>
              </w:rPr>
            </w:pPr>
            <w:r w:rsidRPr="00EB0AE4">
              <w:rPr>
                <w:b/>
                <w:bCs/>
              </w:rPr>
              <w:t>API</w:t>
            </w:r>
          </w:p>
        </w:tc>
        <w:tc>
          <w:tcPr>
            <w:tcW w:w="7739" w:type="dxa"/>
          </w:tcPr>
          <w:p w14:paraId="00000329" w14:textId="77777777" w:rsidR="00D67C8C" w:rsidRPr="005E64B8" w:rsidRDefault="00C80A11" w:rsidP="00EB0AE4">
            <w:pPr>
              <w:pStyle w:val="Paragraph"/>
            </w:pPr>
            <w:r w:rsidRPr="005E64B8">
              <w:t>application programming interface</w:t>
            </w:r>
          </w:p>
        </w:tc>
      </w:tr>
      <w:tr w:rsidR="00320541" w14:paraId="56C7F0E3" w14:textId="77777777" w:rsidTr="00A84666">
        <w:tc>
          <w:tcPr>
            <w:tcW w:w="2160" w:type="dxa"/>
          </w:tcPr>
          <w:p w14:paraId="0000032A" w14:textId="75425000" w:rsidR="00D67C8C" w:rsidRPr="00EB0AE4" w:rsidRDefault="00C80A11" w:rsidP="00EB0AE4">
            <w:pPr>
              <w:pStyle w:val="Paragraph"/>
              <w:rPr>
                <w:b/>
                <w:bCs/>
              </w:rPr>
            </w:pPr>
            <w:r w:rsidRPr="00EB0AE4">
              <w:rPr>
                <w:b/>
                <w:bCs/>
              </w:rPr>
              <w:t>ASTP</w:t>
            </w:r>
          </w:p>
        </w:tc>
        <w:tc>
          <w:tcPr>
            <w:tcW w:w="7739" w:type="dxa"/>
          </w:tcPr>
          <w:p w14:paraId="0000032B" w14:textId="7D7E66FF" w:rsidR="00D67C8C" w:rsidRPr="00A84666" w:rsidRDefault="00C80A11" w:rsidP="00EB0AE4">
            <w:pPr>
              <w:pStyle w:val="Paragraph"/>
            </w:pPr>
            <w:r w:rsidRPr="00A84666">
              <w:t>Assistant Secretary for Technology Policy</w:t>
            </w:r>
          </w:p>
        </w:tc>
      </w:tr>
      <w:tr w:rsidR="00D67C8C" w14:paraId="04D38B82" w14:textId="77777777" w:rsidTr="005E64B8">
        <w:tc>
          <w:tcPr>
            <w:tcW w:w="2160" w:type="dxa"/>
          </w:tcPr>
          <w:p w14:paraId="0000032C" w14:textId="77777777" w:rsidR="00D67C8C" w:rsidRPr="00EB0AE4" w:rsidRDefault="00C80A11" w:rsidP="00EB0AE4">
            <w:pPr>
              <w:pStyle w:val="Paragraph"/>
              <w:rPr>
                <w:b/>
                <w:bCs/>
              </w:rPr>
            </w:pPr>
            <w:r w:rsidRPr="00EB0AE4">
              <w:rPr>
                <w:b/>
                <w:bCs/>
              </w:rPr>
              <w:t>CAD</w:t>
            </w:r>
          </w:p>
        </w:tc>
        <w:tc>
          <w:tcPr>
            <w:tcW w:w="7739" w:type="dxa"/>
          </w:tcPr>
          <w:p w14:paraId="0000032D" w14:textId="77777777" w:rsidR="00D67C8C" w:rsidRPr="005E64B8" w:rsidRDefault="00C80A11" w:rsidP="00EB0AE4">
            <w:pPr>
              <w:pStyle w:val="Paragraph"/>
            </w:pPr>
            <w:r w:rsidRPr="005E64B8">
              <w:t>coronary artery disease</w:t>
            </w:r>
          </w:p>
        </w:tc>
      </w:tr>
      <w:tr w:rsidR="00D67C8C" w14:paraId="6BA849F0" w14:textId="77777777" w:rsidTr="005E64B8">
        <w:tc>
          <w:tcPr>
            <w:tcW w:w="2160" w:type="dxa"/>
          </w:tcPr>
          <w:p w14:paraId="00000330" w14:textId="77777777" w:rsidR="00D67C8C" w:rsidRPr="00EB0AE4" w:rsidRDefault="00C80A11" w:rsidP="00EB0AE4">
            <w:pPr>
              <w:pStyle w:val="Paragraph"/>
              <w:rPr>
                <w:b/>
                <w:bCs/>
              </w:rPr>
            </w:pPr>
            <w:r w:rsidRPr="00EB0AE4">
              <w:rPr>
                <w:b/>
                <w:bCs/>
              </w:rPr>
              <w:t>CDC</w:t>
            </w:r>
          </w:p>
        </w:tc>
        <w:tc>
          <w:tcPr>
            <w:tcW w:w="7739" w:type="dxa"/>
          </w:tcPr>
          <w:p w14:paraId="00000331" w14:textId="77777777" w:rsidR="00D67C8C" w:rsidRPr="005E64B8" w:rsidRDefault="00C80A11" w:rsidP="00EB0AE4">
            <w:pPr>
              <w:pStyle w:val="Paragraph"/>
            </w:pPr>
            <w:r w:rsidRPr="005E64B8">
              <w:t>Centers for Disease Control and Prevention</w:t>
            </w:r>
          </w:p>
        </w:tc>
      </w:tr>
      <w:tr w:rsidR="00D67C8C" w14:paraId="4FBD5B0F" w14:textId="77777777" w:rsidTr="005E64B8">
        <w:tc>
          <w:tcPr>
            <w:tcW w:w="2160" w:type="dxa"/>
          </w:tcPr>
          <w:p w14:paraId="00000336" w14:textId="77777777" w:rsidR="00D67C8C" w:rsidRPr="00EB0AE4" w:rsidRDefault="00C80A11" w:rsidP="00EB0AE4">
            <w:pPr>
              <w:pStyle w:val="Paragraph"/>
              <w:rPr>
                <w:b/>
                <w:bCs/>
              </w:rPr>
            </w:pPr>
            <w:r w:rsidRPr="00EB0AE4">
              <w:rPr>
                <w:b/>
                <w:bCs/>
              </w:rPr>
              <w:t>CM</w:t>
            </w:r>
          </w:p>
        </w:tc>
        <w:tc>
          <w:tcPr>
            <w:tcW w:w="7739" w:type="dxa"/>
          </w:tcPr>
          <w:p w14:paraId="00000337" w14:textId="77777777" w:rsidR="00D67C8C" w:rsidRPr="005E64B8" w:rsidRDefault="00C80A11" w:rsidP="00EB0AE4">
            <w:pPr>
              <w:pStyle w:val="Paragraph"/>
            </w:pPr>
            <w:r w:rsidRPr="005E64B8">
              <w:t>Clinical Modification</w:t>
            </w:r>
          </w:p>
        </w:tc>
      </w:tr>
      <w:tr w:rsidR="00D67C8C" w14:paraId="2E5B29CA" w14:textId="77777777" w:rsidTr="005E64B8">
        <w:tc>
          <w:tcPr>
            <w:tcW w:w="2160" w:type="dxa"/>
          </w:tcPr>
          <w:p w14:paraId="00000338" w14:textId="77777777" w:rsidR="00D67C8C" w:rsidRPr="00EB0AE4" w:rsidRDefault="00C80A11" w:rsidP="00EB0AE4">
            <w:pPr>
              <w:pStyle w:val="Paragraph"/>
              <w:rPr>
                <w:b/>
                <w:bCs/>
              </w:rPr>
            </w:pPr>
            <w:r w:rsidRPr="00EB0AE4">
              <w:rPr>
                <w:b/>
                <w:bCs/>
              </w:rPr>
              <w:t>CMS</w:t>
            </w:r>
          </w:p>
        </w:tc>
        <w:tc>
          <w:tcPr>
            <w:tcW w:w="7739" w:type="dxa"/>
          </w:tcPr>
          <w:p w14:paraId="00000339" w14:textId="77777777" w:rsidR="00D67C8C" w:rsidRPr="005E64B8" w:rsidRDefault="00C80A11" w:rsidP="00EB0AE4">
            <w:pPr>
              <w:pStyle w:val="Paragraph"/>
            </w:pPr>
            <w:r w:rsidRPr="005E64B8">
              <w:t>Centers for Medicare &amp; Medicaid Services</w:t>
            </w:r>
          </w:p>
        </w:tc>
      </w:tr>
      <w:tr w:rsidR="00D67C8C" w14:paraId="7A5EEDF7" w14:textId="77777777" w:rsidTr="005E64B8">
        <w:tc>
          <w:tcPr>
            <w:tcW w:w="2160" w:type="dxa"/>
          </w:tcPr>
          <w:p w14:paraId="0000033A" w14:textId="77777777" w:rsidR="00D67C8C" w:rsidRPr="00EB0AE4" w:rsidRDefault="00C80A11" w:rsidP="00EB0AE4">
            <w:pPr>
              <w:pStyle w:val="Paragraph"/>
              <w:rPr>
                <w:b/>
                <w:bCs/>
              </w:rPr>
            </w:pPr>
            <w:r w:rsidRPr="00EB0AE4">
              <w:rPr>
                <w:b/>
                <w:bCs/>
              </w:rPr>
              <w:t>CPT</w:t>
            </w:r>
          </w:p>
        </w:tc>
        <w:tc>
          <w:tcPr>
            <w:tcW w:w="7739" w:type="dxa"/>
          </w:tcPr>
          <w:p w14:paraId="0000033B" w14:textId="77777777" w:rsidR="00D67C8C" w:rsidRPr="005E64B8" w:rsidRDefault="00C80A11" w:rsidP="00EB0AE4">
            <w:pPr>
              <w:pStyle w:val="Paragraph"/>
            </w:pPr>
            <w:r w:rsidRPr="005E64B8">
              <w:t>Current Procedural Terminology</w:t>
            </w:r>
          </w:p>
        </w:tc>
      </w:tr>
      <w:tr w:rsidR="00D67C8C" w14:paraId="26DC16CA" w14:textId="77777777" w:rsidTr="005E64B8">
        <w:tc>
          <w:tcPr>
            <w:tcW w:w="2160" w:type="dxa"/>
          </w:tcPr>
          <w:p w14:paraId="0000033C" w14:textId="77777777" w:rsidR="00D67C8C" w:rsidRPr="00EB0AE4" w:rsidRDefault="00C80A11" w:rsidP="00EB0AE4">
            <w:pPr>
              <w:pStyle w:val="Paragraph"/>
              <w:rPr>
                <w:b/>
                <w:bCs/>
              </w:rPr>
            </w:pPr>
            <w:r w:rsidRPr="00EB0AE4">
              <w:rPr>
                <w:b/>
                <w:bCs/>
              </w:rPr>
              <w:t>CQL</w:t>
            </w:r>
          </w:p>
        </w:tc>
        <w:tc>
          <w:tcPr>
            <w:tcW w:w="7739" w:type="dxa"/>
          </w:tcPr>
          <w:p w14:paraId="0000033D" w14:textId="77777777" w:rsidR="00D67C8C" w:rsidRPr="005E64B8" w:rsidRDefault="00C80A11" w:rsidP="00EB0AE4">
            <w:pPr>
              <w:pStyle w:val="Paragraph"/>
            </w:pPr>
            <w:r w:rsidRPr="005E64B8">
              <w:t>Clinical Quality Language</w:t>
            </w:r>
          </w:p>
        </w:tc>
      </w:tr>
      <w:tr w:rsidR="00D67C8C" w14:paraId="6463192C" w14:textId="77777777" w:rsidTr="005E64B8">
        <w:tc>
          <w:tcPr>
            <w:tcW w:w="2160" w:type="dxa"/>
          </w:tcPr>
          <w:p w14:paraId="0000033E" w14:textId="77777777" w:rsidR="00D67C8C" w:rsidRPr="00EB0AE4" w:rsidRDefault="00C80A11" w:rsidP="00EB0AE4">
            <w:pPr>
              <w:pStyle w:val="Paragraph"/>
              <w:rPr>
                <w:b/>
                <w:bCs/>
              </w:rPr>
            </w:pPr>
            <w:r w:rsidRPr="00EB0AE4">
              <w:rPr>
                <w:b/>
                <w:bCs/>
              </w:rPr>
              <w:t>CVX</w:t>
            </w:r>
          </w:p>
        </w:tc>
        <w:tc>
          <w:tcPr>
            <w:tcW w:w="7739" w:type="dxa"/>
          </w:tcPr>
          <w:p w14:paraId="0000033F" w14:textId="77777777" w:rsidR="00D67C8C" w:rsidRPr="005E64B8" w:rsidRDefault="00C80A11" w:rsidP="00EB0AE4">
            <w:pPr>
              <w:pStyle w:val="Paragraph"/>
            </w:pPr>
            <w:r w:rsidRPr="005E64B8">
              <w:t>Clinical Vaccine Formulation</w:t>
            </w:r>
          </w:p>
        </w:tc>
      </w:tr>
      <w:tr w:rsidR="00D67C8C" w14:paraId="48C9AC5D" w14:textId="77777777" w:rsidTr="005E64B8">
        <w:tc>
          <w:tcPr>
            <w:tcW w:w="2160" w:type="dxa"/>
          </w:tcPr>
          <w:p w14:paraId="00000340" w14:textId="77777777" w:rsidR="00D67C8C" w:rsidRPr="00EB0AE4" w:rsidRDefault="00C80A11" w:rsidP="00EB0AE4">
            <w:pPr>
              <w:pStyle w:val="Paragraph"/>
              <w:rPr>
                <w:b/>
                <w:bCs/>
              </w:rPr>
            </w:pPr>
            <w:r w:rsidRPr="00EB0AE4">
              <w:rPr>
                <w:b/>
                <w:bCs/>
              </w:rPr>
              <w:t>DENEX</w:t>
            </w:r>
          </w:p>
        </w:tc>
        <w:tc>
          <w:tcPr>
            <w:tcW w:w="7739" w:type="dxa"/>
          </w:tcPr>
          <w:p w14:paraId="00000341" w14:textId="77777777" w:rsidR="00D67C8C" w:rsidRPr="005E64B8" w:rsidRDefault="00C80A11" w:rsidP="00EB0AE4">
            <w:pPr>
              <w:pStyle w:val="Paragraph"/>
            </w:pPr>
            <w:r w:rsidRPr="005E64B8">
              <w:t>denominator exclusion</w:t>
            </w:r>
          </w:p>
        </w:tc>
      </w:tr>
      <w:tr w:rsidR="00D67C8C" w14:paraId="7BE63D87" w14:textId="77777777" w:rsidTr="005E64B8">
        <w:tc>
          <w:tcPr>
            <w:tcW w:w="2160" w:type="dxa"/>
          </w:tcPr>
          <w:p w14:paraId="00000342" w14:textId="77777777" w:rsidR="00D67C8C" w:rsidRPr="00EB0AE4" w:rsidRDefault="00C80A11" w:rsidP="00EB0AE4">
            <w:pPr>
              <w:pStyle w:val="Paragraph"/>
              <w:rPr>
                <w:b/>
                <w:bCs/>
              </w:rPr>
            </w:pPr>
            <w:r w:rsidRPr="00EB0AE4">
              <w:rPr>
                <w:b/>
                <w:bCs/>
              </w:rPr>
              <w:t>DENOM</w:t>
            </w:r>
          </w:p>
        </w:tc>
        <w:tc>
          <w:tcPr>
            <w:tcW w:w="7739" w:type="dxa"/>
          </w:tcPr>
          <w:p w14:paraId="00000343" w14:textId="77777777" w:rsidR="00D67C8C" w:rsidRPr="005E64B8" w:rsidRDefault="00C80A11" w:rsidP="00EB0AE4">
            <w:pPr>
              <w:pStyle w:val="Paragraph"/>
            </w:pPr>
            <w:r w:rsidRPr="005E64B8">
              <w:t>denominator</w:t>
            </w:r>
          </w:p>
        </w:tc>
      </w:tr>
      <w:tr w:rsidR="00D67C8C" w14:paraId="4AD36AC4" w14:textId="77777777" w:rsidTr="005E64B8">
        <w:tc>
          <w:tcPr>
            <w:tcW w:w="2160" w:type="dxa"/>
          </w:tcPr>
          <w:p w14:paraId="00000344" w14:textId="77777777" w:rsidR="00D67C8C" w:rsidRPr="00EB0AE4" w:rsidRDefault="00C80A11" w:rsidP="00EB0AE4">
            <w:pPr>
              <w:pStyle w:val="Paragraph"/>
              <w:rPr>
                <w:b/>
                <w:bCs/>
              </w:rPr>
            </w:pPr>
            <w:r w:rsidRPr="00EB0AE4">
              <w:rPr>
                <w:b/>
                <w:bCs/>
              </w:rPr>
              <w:t>DERep</w:t>
            </w:r>
          </w:p>
        </w:tc>
        <w:tc>
          <w:tcPr>
            <w:tcW w:w="7739" w:type="dxa"/>
          </w:tcPr>
          <w:p w14:paraId="00000345" w14:textId="77777777" w:rsidR="00D67C8C" w:rsidRPr="005E64B8" w:rsidRDefault="00C80A11" w:rsidP="00EB0AE4">
            <w:pPr>
              <w:pStyle w:val="Paragraph"/>
            </w:pPr>
            <w:r w:rsidRPr="005E64B8">
              <w:t>Data Element Repository</w:t>
            </w:r>
          </w:p>
        </w:tc>
      </w:tr>
      <w:tr w:rsidR="00D67C8C" w14:paraId="2BB3AB75" w14:textId="77777777" w:rsidTr="005E64B8">
        <w:tc>
          <w:tcPr>
            <w:tcW w:w="2160" w:type="dxa"/>
          </w:tcPr>
          <w:p w14:paraId="00000346" w14:textId="77777777" w:rsidR="00D67C8C" w:rsidRPr="00EB0AE4" w:rsidRDefault="00C80A11" w:rsidP="00EB0AE4">
            <w:pPr>
              <w:pStyle w:val="Paragraph"/>
              <w:rPr>
                <w:b/>
                <w:bCs/>
              </w:rPr>
            </w:pPr>
            <w:r w:rsidRPr="00EB0AE4">
              <w:rPr>
                <w:b/>
                <w:bCs/>
              </w:rPr>
              <w:t>DEXCEP</w:t>
            </w:r>
          </w:p>
        </w:tc>
        <w:tc>
          <w:tcPr>
            <w:tcW w:w="7739" w:type="dxa"/>
          </w:tcPr>
          <w:p w14:paraId="00000347" w14:textId="77777777" w:rsidR="00D67C8C" w:rsidRPr="005E64B8" w:rsidRDefault="00C80A11" w:rsidP="00EB0AE4">
            <w:pPr>
              <w:pStyle w:val="Paragraph"/>
            </w:pPr>
            <w:r w:rsidRPr="005E64B8">
              <w:t>denominator exception</w:t>
            </w:r>
          </w:p>
        </w:tc>
      </w:tr>
      <w:tr w:rsidR="00D67C8C" w14:paraId="26C58192" w14:textId="77777777" w:rsidTr="005E64B8">
        <w:tc>
          <w:tcPr>
            <w:tcW w:w="2160" w:type="dxa"/>
          </w:tcPr>
          <w:p w14:paraId="00000348" w14:textId="77777777" w:rsidR="00D67C8C" w:rsidRPr="00EB0AE4" w:rsidRDefault="00C80A11" w:rsidP="00EB0AE4">
            <w:pPr>
              <w:pStyle w:val="Paragraph"/>
              <w:rPr>
                <w:b/>
                <w:bCs/>
              </w:rPr>
            </w:pPr>
            <w:r w:rsidRPr="00EB0AE4">
              <w:rPr>
                <w:b/>
                <w:bCs/>
              </w:rPr>
              <w:t>EC</w:t>
            </w:r>
          </w:p>
        </w:tc>
        <w:tc>
          <w:tcPr>
            <w:tcW w:w="7739" w:type="dxa"/>
          </w:tcPr>
          <w:p w14:paraId="00000349" w14:textId="77777777" w:rsidR="00D67C8C" w:rsidRPr="005E64B8" w:rsidRDefault="00C80A11" w:rsidP="00EB0AE4">
            <w:pPr>
              <w:pStyle w:val="Paragraph"/>
            </w:pPr>
            <w:r w:rsidRPr="005E64B8">
              <w:t>eligible clinician</w:t>
            </w:r>
          </w:p>
        </w:tc>
      </w:tr>
      <w:tr w:rsidR="00D67C8C" w14:paraId="02087E42" w14:textId="77777777" w:rsidTr="005E64B8">
        <w:tc>
          <w:tcPr>
            <w:tcW w:w="2160" w:type="dxa"/>
          </w:tcPr>
          <w:p w14:paraId="0000034A" w14:textId="77777777" w:rsidR="00D67C8C" w:rsidRPr="00EB0AE4" w:rsidRDefault="00C80A11" w:rsidP="00EB0AE4">
            <w:pPr>
              <w:pStyle w:val="Paragraph"/>
              <w:rPr>
                <w:b/>
                <w:bCs/>
              </w:rPr>
            </w:pPr>
            <w:r w:rsidRPr="00EB0AE4">
              <w:rPr>
                <w:b/>
                <w:bCs/>
              </w:rPr>
              <w:t>eCQI</w:t>
            </w:r>
          </w:p>
        </w:tc>
        <w:tc>
          <w:tcPr>
            <w:tcW w:w="7739" w:type="dxa"/>
          </w:tcPr>
          <w:p w14:paraId="0000034B" w14:textId="77777777" w:rsidR="00D67C8C" w:rsidRPr="005E64B8" w:rsidRDefault="00C80A11" w:rsidP="00EB0AE4">
            <w:pPr>
              <w:pStyle w:val="Paragraph"/>
            </w:pPr>
            <w:r w:rsidRPr="005E64B8">
              <w:t>Electronic Clinical Quality Improvement</w:t>
            </w:r>
          </w:p>
        </w:tc>
      </w:tr>
      <w:tr w:rsidR="00D67C8C" w14:paraId="1AE050A4" w14:textId="77777777" w:rsidTr="005E64B8">
        <w:tc>
          <w:tcPr>
            <w:tcW w:w="2160" w:type="dxa"/>
          </w:tcPr>
          <w:p w14:paraId="0000034C" w14:textId="77777777" w:rsidR="00D67C8C" w:rsidRPr="00EB0AE4" w:rsidRDefault="00C80A11" w:rsidP="00EB0AE4">
            <w:pPr>
              <w:pStyle w:val="Paragraph"/>
              <w:rPr>
                <w:b/>
                <w:bCs/>
              </w:rPr>
            </w:pPr>
            <w:r w:rsidRPr="00EB0AE4">
              <w:rPr>
                <w:b/>
                <w:bCs/>
              </w:rPr>
              <w:t>eCQM</w:t>
            </w:r>
          </w:p>
        </w:tc>
        <w:tc>
          <w:tcPr>
            <w:tcW w:w="7739" w:type="dxa"/>
          </w:tcPr>
          <w:p w14:paraId="0000034D" w14:textId="77777777" w:rsidR="00D67C8C" w:rsidRPr="005E64B8" w:rsidRDefault="00C80A11" w:rsidP="00EB0AE4">
            <w:pPr>
              <w:pStyle w:val="Paragraph"/>
            </w:pPr>
            <w:r w:rsidRPr="005E64B8">
              <w:t>electronic clinical quality measure</w:t>
            </w:r>
          </w:p>
        </w:tc>
      </w:tr>
      <w:tr w:rsidR="00D67C8C" w14:paraId="2A8272EE" w14:textId="77777777" w:rsidTr="005E64B8">
        <w:tc>
          <w:tcPr>
            <w:tcW w:w="2160" w:type="dxa"/>
          </w:tcPr>
          <w:p w14:paraId="0000034E" w14:textId="77777777" w:rsidR="00D67C8C" w:rsidRPr="00EB0AE4" w:rsidRDefault="00C80A11" w:rsidP="00EB0AE4">
            <w:pPr>
              <w:pStyle w:val="Paragraph"/>
              <w:rPr>
                <w:b/>
                <w:bCs/>
              </w:rPr>
            </w:pPr>
            <w:r w:rsidRPr="00EB0AE4">
              <w:rPr>
                <w:b/>
                <w:bCs/>
              </w:rPr>
              <w:t>ED</w:t>
            </w:r>
          </w:p>
        </w:tc>
        <w:tc>
          <w:tcPr>
            <w:tcW w:w="7739" w:type="dxa"/>
          </w:tcPr>
          <w:p w14:paraId="0000034F" w14:textId="77777777" w:rsidR="00D67C8C" w:rsidRPr="005E64B8" w:rsidRDefault="00C80A11" w:rsidP="00EB0AE4">
            <w:pPr>
              <w:pStyle w:val="Paragraph"/>
            </w:pPr>
            <w:r w:rsidRPr="005E64B8">
              <w:t>emergency department</w:t>
            </w:r>
          </w:p>
        </w:tc>
      </w:tr>
      <w:tr w:rsidR="00D67C8C" w14:paraId="6BA6947D" w14:textId="77777777" w:rsidTr="005E64B8">
        <w:tc>
          <w:tcPr>
            <w:tcW w:w="2160" w:type="dxa"/>
          </w:tcPr>
          <w:p w14:paraId="00000352" w14:textId="77777777" w:rsidR="00D67C8C" w:rsidRPr="00EB0AE4" w:rsidRDefault="00C80A11" w:rsidP="00EB0AE4">
            <w:pPr>
              <w:pStyle w:val="Paragraph"/>
              <w:rPr>
                <w:b/>
                <w:bCs/>
              </w:rPr>
            </w:pPr>
            <w:r w:rsidRPr="00EB0AE4">
              <w:rPr>
                <w:b/>
                <w:bCs/>
              </w:rPr>
              <w:t>EHR</w:t>
            </w:r>
          </w:p>
        </w:tc>
        <w:tc>
          <w:tcPr>
            <w:tcW w:w="7739" w:type="dxa"/>
          </w:tcPr>
          <w:p w14:paraId="00000353" w14:textId="77777777" w:rsidR="00D67C8C" w:rsidRPr="005E64B8" w:rsidRDefault="00C80A11" w:rsidP="00EB0AE4">
            <w:pPr>
              <w:pStyle w:val="Paragraph"/>
            </w:pPr>
            <w:r w:rsidRPr="005E64B8">
              <w:t>electronic health record</w:t>
            </w:r>
          </w:p>
        </w:tc>
      </w:tr>
      <w:tr w:rsidR="00D67C8C" w14:paraId="709B66BC" w14:textId="77777777" w:rsidTr="005E64B8">
        <w:tc>
          <w:tcPr>
            <w:tcW w:w="2160" w:type="dxa"/>
          </w:tcPr>
          <w:p w14:paraId="00000354" w14:textId="77777777" w:rsidR="00D67C8C" w:rsidRPr="00EB0AE4" w:rsidRDefault="00C80A11" w:rsidP="00EB0AE4">
            <w:pPr>
              <w:pStyle w:val="Paragraph"/>
              <w:rPr>
                <w:b/>
                <w:bCs/>
              </w:rPr>
            </w:pPr>
            <w:r w:rsidRPr="00EB0AE4">
              <w:rPr>
                <w:b/>
                <w:bCs/>
              </w:rPr>
              <w:t>HCPCS</w:t>
            </w:r>
          </w:p>
        </w:tc>
        <w:tc>
          <w:tcPr>
            <w:tcW w:w="7739" w:type="dxa"/>
          </w:tcPr>
          <w:p w14:paraId="00000355" w14:textId="77777777" w:rsidR="00D67C8C" w:rsidRPr="005E64B8" w:rsidRDefault="00C80A11" w:rsidP="00EB0AE4">
            <w:pPr>
              <w:pStyle w:val="Paragraph"/>
            </w:pPr>
            <w:r w:rsidRPr="005E64B8">
              <w:t>Healthcare Common Procedure Coding System</w:t>
            </w:r>
          </w:p>
        </w:tc>
      </w:tr>
      <w:tr w:rsidR="00D67C8C" w14:paraId="14C126B9" w14:textId="77777777" w:rsidTr="005E64B8">
        <w:tc>
          <w:tcPr>
            <w:tcW w:w="2160" w:type="dxa"/>
          </w:tcPr>
          <w:p w14:paraId="00000356" w14:textId="08E64E5D" w:rsidR="00D67C8C" w:rsidRPr="00EB0AE4" w:rsidRDefault="00C80A11" w:rsidP="00EB0AE4">
            <w:pPr>
              <w:pStyle w:val="Paragraph"/>
              <w:rPr>
                <w:b/>
                <w:bCs/>
              </w:rPr>
            </w:pPr>
            <w:r w:rsidRPr="00EB0AE4">
              <w:rPr>
                <w:b/>
                <w:bCs/>
              </w:rPr>
              <w:t>HHS</w:t>
            </w:r>
          </w:p>
        </w:tc>
        <w:tc>
          <w:tcPr>
            <w:tcW w:w="7739" w:type="dxa"/>
          </w:tcPr>
          <w:p w14:paraId="00000357" w14:textId="12C8570B" w:rsidR="00D67C8C" w:rsidRPr="005E64B8" w:rsidRDefault="00C80A11" w:rsidP="00EB0AE4">
            <w:pPr>
              <w:pStyle w:val="Paragraph"/>
            </w:pPr>
            <w:r w:rsidRPr="005E64B8">
              <w:t>Department of Health and Human Services</w:t>
            </w:r>
          </w:p>
        </w:tc>
      </w:tr>
      <w:tr w:rsidR="00D67C8C" w14:paraId="50F73463" w14:textId="77777777" w:rsidTr="005E64B8">
        <w:tc>
          <w:tcPr>
            <w:tcW w:w="2160" w:type="dxa"/>
          </w:tcPr>
          <w:p w14:paraId="00000358" w14:textId="77777777" w:rsidR="00D67C8C" w:rsidRPr="00EB0AE4" w:rsidRDefault="00C80A11" w:rsidP="00EB0AE4">
            <w:pPr>
              <w:pStyle w:val="Paragraph"/>
              <w:rPr>
                <w:b/>
                <w:bCs/>
              </w:rPr>
            </w:pPr>
            <w:r w:rsidRPr="00EB0AE4">
              <w:rPr>
                <w:b/>
                <w:bCs/>
              </w:rPr>
              <w:t>HL7</w:t>
            </w:r>
          </w:p>
        </w:tc>
        <w:tc>
          <w:tcPr>
            <w:tcW w:w="7739" w:type="dxa"/>
          </w:tcPr>
          <w:p w14:paraId="00000359" w14:textId="77777777" w:rsidR="00D67C8C" w:rsidRPr="005E64B8" w:rsidRDefault="00C80A11" w:rsidP="00EB0AE4">
            <w:pPr>
              <w:pStyle w:val="Paragraph"/>
            </w:pPr>
            <w:r w:rsidRPr="005E64B8">
              <w:t>Health Level Seven International</w:t>
            </w:r>
          </w:p>
        </w:tc>
      </w:tr>
      <w:tr w:rsidR="00D67C8C" w14:paraId="36A1A81C" w14:textId="77777777" w:rsidTr="005E64B8">
        <w:tc>
          <w:tcPr>
            <w:tcW w:w="2160" w:type="dxa"/>
          </w:tcPr>
          <w:p w14:paraId="0000035A" w14:textId="77777777" w:rsidR="00D67C8C" w:rsidRPr="00EB0AE4" w:rsidRDefault="00C80A11" w:rsidP="00EB0AE4">
            <w:pPr>
              <w:pStyle w:val="Paragraph"/>
              <w:rPr>
                <w:b/>
                <w:bCs/>
              </w:rPr>
            </w:pPr>
            <w:r w:rsidRPr="00EB0AE4">
              <w:rPr>
                <w:b/>
                <w:bCs/>
              </w:rPr>
              <w:t>HQMF</w:t>
            </w:r>
          </w:p>
        </w:tc>
        <w:tc>
          <w:tcPr>
            <w:tcW w:w="7739" w:type="dxa"/>
          </w:tcPr>
          <w:p w14:paraId="0000035B" w14:textId="77777777" w:rsidR="00D67C8C" w:rsidRPr="005E64B8" w:rsidRDefault="00C80A11" w:rsidP="00EB0AE4">
            <w:pPr>
              <w:pStyle w:val="Paragraph"/>
            </w:pPr>
            <w:r w:rsidRPr="005E64B8">
              <w:t>Health Quality Measure Format</w:t>
            </w:r>
          </w:p>
        </w:tc>
      </w:tr>
      <w:tr w:rsidR="00D67C8C" w14:paraId="72BB1475" w14:textId="77777777" w:rsidTr="005E64B8">
        <w:tc>
          <w:tcPr>
            <w:tcW w:w="2160" w:type="dxa"/>
          </w:tcPr>
          <w:p w14:paraId="0000035C" w14:textId="77777777" w:rsidR="00D67C8C" w:rsidRPr="00EB0AE4" w:rsidRDefault="00C80A11" w:rsidP="00EB0AE4">
            <w:pPr>
              <w:pStyle w:val="Paragraph"/>
              <w:rPr>
                <w:b/>
                <w:bCs/>
              </w:rPr>
            </w:pPr>
            <w:r w:rsidRPr="00EB0AE4">
              <w:rPr>
                <w:b/>
                <w:bCs/>
              </w:rPr>
              <w:t>HTML</w:t>
            </w:r>
          </w:p>
        </w:tc>
        <w:tc>
          <w:tcPr>
            <w:tcW w:w="7739" w:type="dxa"/>
          </w:tcPr>
          <w:p w14:paraId="0000035D" w14:textId="77777777" w:rsidR="00D67C8C" w:rsidRPr="005E64B8" w:rsidRDefault="00C80A11" w:rsidP="00EB0AE4">
            <w:pPr>
              <w:pStyle w:val="Paragraph"/>
            </w:pPr>
            <w:r w:rsidRPr="005E64B8">
              <w:t>Hypertext Markup Language</w:t>
            </w:r>
          </w:p>
        </w:tc>
      </w:tr>
      <w:tr w:rsidR="00D67C8C" w14:paraId="1B60F593" w14:textId="77777777" w:rsidTr="005E64B8">
        <w:tc>
          <w:tcPr>
            <w:tcW w:w="2160" w:type="dxa"/>
          </w:tcPr>
          <w:p w14:paraId="00000360" w14:textId="77777777" w:rsidR="00D67C8C" w:rsidRPr="00EB0AE4" w:rsidRDefault="00C80A11" w:rsidP="00EB0AE4">
            <w:pPr>
              <w:pStyle w:val="Paragraph"/>
              <w:rPr>
                <w:b/>
                <w:bCs/>
              </w:rPr>
            </w:pPr>
            <w:r w:rsidRPr="00EB0AE4">
              <w:rPr>
                <w:b/>
                <w:bCs/>
              </w:rPr>
              <w:t>ICD</w:t>
            </w:r>
          </w:p>
        </w:tc>
        <w:tc>
          <w:tcPr>
            <w:tcW w:w="7739" w:type="dxa"/>
          </w:tcPr>
          <w:p w14:paraId="00000361" w14:textId="77777777" w:rsidR="00D67C8C" w:rsidRPr="005E64B8" w:rsidRDefault="00C80A11" w:rsidP="00EB0AE4">
            <w:pPr>
              <w:pStyle w:val="Paragraph"/>
            </w:pPr>
            <w:r w:rsidRPr="005E64B8">
              <w:t>International Classification of Diseases</w:t>
            </w:r>
          </w:p>
        </w:tc>
      </w:tr>
      <w:tr w:rsidR="00D67C8C" w14:paraId="71B9D8DF" w14:textId="77777777" w:rsidTr="005E64B8">
        <w:tc>
          <w:tcPr>
            <w:tcW w:w="2160" w:type="dxa"/>
          </w:tcPr>
          <w:p w14:paraId="00000362" w14:textId="77777777" w:rsidR="00D67C8C" w:rsidRPr="00EB0AE4" w:rsidRDefault="00C80A11" w:rsidP="00EB0AE4">
            <w:pPr>
              <w:pStyle w:val="Paragraph"/>
              <w:rPr>
                <w:b/>
                <w:bCs/>
              </w:rPr>
            </w:pPr>
            <w:r w:rsidRPr="00EB0AE4">
              <w:rPr>
                <w:b/>
                <w:bCs/>
              </w:rPr>
              <w:t>IG</w:t>
            </w:r>
          </w:p>
        </w:tc>
        <w:tc>
          <w:tcPr>
            <w:tcW w:w="7739" w:type="dxa"/>
          </w:tcPr>
          <w:p w14:paraId="00000363" w14:textId="77777777" w:rsidR="00D67C8C" w:rsidRPr="005E64B8" w:rsidRDefault="00C80A11" w:rsidP="00EB0AE4">
            <w:pPr>
              <w:pStyle w:val="Paragraph"/>
            </w:pPr>
            <w:r w:rsidRPr="005E64B8">
              <w:t>implementation guide</w:t>
            </w:r>
          </w:p>
        </w:tc>
      </w:tr>
      <w:tr w:rsidR="00D67C8C" w14:paraId="01C1E65D" w14:textId="77777777" w:rsidTr="005E64B8">
        <w:tc>
          <w:tcPr>
            <w:tcW w:w="2160" w:type="dxa"/>
          </w:tcPr>
          <w:p w14:paraId="00000364" w14:textId="77777777" w:rsidR="00D67C8C" w:rsidRPr="00EB0AE4" w:rsidRDefault="00C80A11" w:rsidP="00EB0AE4">
            <w:pPr>
              <w:pStyle w:val="Paragraph"/>
              <w:rPr>
                <w:b/>
                <w:bCs/>
              </w:rPr>
            </w:pPr>
            <w:r w:rsidRPr="00EB0AE4">
              <w:rPr>
                <w:b/>
                <w:bCs/>
              </w:rPr>
              <w:t>IN</w:t>
            </w:r>
          </w:p>
        </w:tc>
        <w:tc>
          <w:tcPr>
            <w:tcW w:w="7739" w:type="dxa"/>
          </w:tcPr>
          <w:p w14:paraId="00000365" w14:textId="77777777" w:rsidR="00D67C8C" w:rsidRPr="005E64B8" w:rsidRDefault="00C80A11" w:rsidP="00EB0AE4">
            <w:pPr>
              <w:pStyle w:val="Paragraph"/>
            </w:pPr>
            <w:r w:rsidRPr="005E64B8">
              <w:t>ingredient (</w:t>
            </w:r>
            <w:proofErr w:type="spellStart"/>
            <w:r w:rsidRPr="005E64B8">
              <w:t>RxNorm</w:t>
            </w:r>
            <w:proofErr w:type="spellEnd"/>
            <w:r w:rsidRPr="005E64B8">
              <w:t xml:space="preserve"> term type)</w:t>
            </w:r>
          </w:p>
        </w:tc>
      </w:tr>
      <w:tr w:rsidR="00D67C8C" w14:paraId="06AF414D" w14:textId="77777777" w:rsidTr="005E64B8">
        <w:tc>
          <w:tcPr>
            <w:tcW w:w="2160" w:type="dxa"/>
          </w:tcPr>
          <w:p w14:paraId="00000366" w14:textId="77777777" w:rsidR="00D67C8C" w:rsidRPr="00EB0AE4" w:rsidRDefault="00C80A11" w:rsidP="00EB0AE4">
            <w:pPr>
              <w:pStyle w:val="Paragraph"/>
              <w:rPr>
                <w:b/>
                <w:bCs/>
              </w:rPr>
            </w:pPr>
            <w:r w:rsidRPr="00EB0AE4">
              <w:rPr>
                <w:b/>
                <w:bCs/>
              </w:rPr>
              <w:t>IP</w:t>
            </w:r>
          </w:p>
        </w:tc>
        <w:tc>
          <w:tcPr>
            <w:tcW w:w="7739" w:type="dxa"/>
          </w:tcPr>
          <w:p w14:paraId="00000367" w14:textId="77777777" w:rsidR="00D67C8C" w:rsidRPr="005E64B8" w:rsidRDefault="00C80A11" w:rsidP="00EB0AE4">
            <w:pPr>
              <w:pStyle w:val="Paragraph"/>
            </w:pPr>
            <w:r w:rsidRPr="005E64B8">
              <w:t>initial population</w:t>
            </w:r>
          </w:p>
        </w:tc>
      </w:tr>
      <w:tr w:rsidR="00E77CC6" w14:paraId="14891B53" w14:textId="77777777" w:rsidTr="005E64B8">
        <w:tc>
          <w:tcPr>
            <w:tcW w:w="2160" w:type="dxa"/>
          </w:tcPr>
          <w:p w14:paraId="6DF4C6C6" w14:textId="34A2587B" w:rsidR="00E77CC6" w:rsidRPr="00EB0AE4" w:rsidRDefault="00E77CC6" w:rsidP="00EB0AE4">
            <w:pPr>
              <w:pStyle w:val="Paragraph"/>
              <w:rPr>
                <w:b/>
                <w:bCs/>
              </w:rPr>
            </w:pPr>
            <w:r w:rsidRPr="00EB0AE4">
              <w:rPr>
                <w:b/>
                <w:bCs/>
              </w:rPr>
              <w:t>IPSD</w:t>
            </w:r>
          </w:p>
        </w:tc>
        <w:tc>
          <w:tcPr>
            <w:tcW w:w="7739" w:type="dxa"/>
          </w:tcPr>
          <w:p w14:paraId="627A9A94" w14:textId="449965A3" w:rsidR="00E77CC6" w:rsidRPr="005E64B8" w:rsidRDefault="00E77CC6" w:rsidP="00EB0AE4">
            <w:pPr>
              <w:pStyle w:val="Paragraph"/>
            </w:pPr>
            <w:r>
              <w:t>index prescription start date</w:t>
            </w:r>
          </w:p>
        </w:tc>
      </w:tr>
      <w:tr w:rsidR="00D67C8C" w14:paraId="0C68CD57" w14:textId="77777777" w:rsidTr="005E64B8">
        <w:tc>
          <w:tcPr>
            <w:tcW w:w="2160" w:type="dxa"/>
          </w:tcPr>
          <w:p w14:paraId="00000368" w14:textId="77777777" w:rsidR="00D67C8C" w:rsidRPr="00EB0AE4" w:rsidRDefault="00C80A11" w:rsidP="00EB0AE4">
            <w:pPr>
              <w:pStyle w:val="Paragraph"/>
              <w:rPr>
                <w:b/>
                <w:bCs/>
              </w:rPr>
            </w:pPr>
            <w:r w:rsidRPr="00EB0AE4">
              <w:rPr>
                <w:b/>
                <w:bCs/>
              </w:rPr>
              <w:t>IQR</w:t>
            </w:r>
          </w:p>
        </w:tc>
        <w:tc>
          <w:tcPr>
            <w:tcW w:w="7739" w:type="dxa"/>
          </w:tcPr>
          <w:p w14:paraId="00000369" w14:textId="77777777" w:rsidR="00D67C8C" w:rsidRPr="005E64B8" w:rsidRDefault="00C80A11" w:rsidP="00EB0AE4">
            <w:pPr>
              <w:pStyle w:val="Paragraph"/>
            </w:pPr>
            <w:r w:rsidRPr="005E64B8">
              <w:t>Inpatient Quality Reporting</w:t>
            </w:r>
          </w:p>
        </w:tc>
      </w:tr>
      <w:tr w:rsidR="00D67C8C" w14:paraId="2B9A4D14" w14:textId="77777777" w:rsidTr="005E64B8">
        <w:tc>
          <w:tcPr>
            <w:tcW w:w="2160" w:type="dxa"/>
          </w:tcPr>
          <w:p w14:paraId="0000036A" w14:textId="77777777" w:rsidR="00D67C8C" w:rsidRPr="00EB0AE4" w:rsidRDefault="00C80A11" w:rsidP="00EB0AE4">
            <w:pPr>
              <w:pStyle w:val="Paragraph"/>
              <w:rPr>
                <w:b/>
                <w:bCs/>
              </w:rPr>
            </w:pPr>
            <w:r w:rsidRPr="00EB0AE4">
              <w:rPr>
                <w:b/>
                <w:bCs/>
              </w:rPr>
              <w:t>ISO</w:t>
            </w:r>
          </w:p>
        </w:tc>
        <w:tc>
          <w:tcPr>
            <w:tcW w:w="7739" w:type="dxa"/>
          </w:tcPr>
          <w:p w14:paraId="0000036B" w14:textId="77777777" w:rsidR="00D67C8C" w:rsidRPr="005E64B8" w:rsidRDefault="00C80A11" w:rsidP="00EB0AE4">
            <w:pPr>
              <w:pStyle w:val="Paragraph"/>
            </w:pPr>
            <w:r w:rsidRPr="005E64B8">
              <w:t>International Organization for Standardization</w:t>
            </w:r>
          </w:p>
        </w:tc>
      </w:tr>
      <w:tr w:rsidR="00D67C8C" w14:paraId="598BB19D" w14:textId="77777777" w:rsidTr="005E64B8">
        <w:tc>
          <w:tcPr>
            <w:tcW w:w="2160" w:type="dxa"/>
          </w:tcPr>
          <w:p w14:paraId="0000036C" w14:textId="77777777" w:rsidR="00D67C8C" w:rsidRPr="00EB0AE4" w:rsidRDefault="00C80A11" w:rsidP="00EB0AE4">
            <w:pPr>
              <w:pStyle w:val="Paragraph"/>
              <w:rPr>
                <w:b/>
                <w:bCs/>
              </w:rPr>
            </w:pPr>
            <w:r w:rsidRPr="00EB0AE4">
              <w:rPr>
                <w:b/>
                <w:bCs/>
              </w:rPr>
              <w:lastRenderedPageBreak/>
              <w:t>LVEF</w:t>
            </w:r>
          </w:p>
        </w:tc>
        <w:tc>
          <w:tcPr>
            <w:tcW w:w="7739" w:type="dxa"/>
          </w:tcPr>
          <w:p w14:paraId="0000036D" w14:textId="77777777" w:rsidR="00D67C8C" w:rsidRPr="005E64B8" w:rsidRDefault="00C80A11" w:rsidP="00EB0AE4">
            <w:pPr>
              <w:pStyle w:val="Paragraph"/>
            </w:pPr>
            <w:r w:rsidRPr="005E64B8">
              <w:t>left ventricular ejection fraction</w:t>
            </w:r>
          </w:p>
        </w:tc>
      </w:tr>
      <w:tr w:rsidR="00D67C8C" w14:paraId="5F29B391" w14:textId="77777777" w:rsidTr="005E64B8">
        <w:tc>
          <w:tcPr>
            <w:tcW w:w="2160" w:type="dxa"/>
          </w:tcPr>
          <w:p w14:paraId="0000036E" w14:textId="77777777" w:rsidR="00D67C8C" w:rsidRPr="00EB0AE4" w:rsidRDefault="00C80A11" w:rsidP="00EB0AE4">
            <w:pPr>
              <w:pStyle w:val="Paragraph"/>
              <w:rPr>
                <w:b/>
                <w:bCs/>
              </w:rPr>
            </w:pPr>
            <w:r w:rsidRPr="00EB0AE4">
              <w:rPr>
                <w:b/>
                <w:bCs/>
              </w:rPr>
              <w:t>LOINC</w:t>
            </w:r>
          </w:p>
        </w:tc>
        <w:tc>
          <w:tcPr>
            <w:tcW w:w="7739" w:type="dxa"/>
          </w:tcPr>
          <w:p w14:paraId="0000036F" w14:textId="77777777" w:rsidR="00D67C8C" w:rsidRPr="005E64B8" w:rsidRDefault="00C80A11" w:rsidP="00EB0AE4">
            <w:pPr>
              <w:pStyle w:val="Paragraph"/>
            </w:pPr>
            <w:r w:rsidRPr="005E64B8">
              <w:t>Logical Observation Identifiers Names and Codes</w:t>
            </w:r>
          </w:p>
        </w:tc>
      </w:tr>
      <w:tr w:rsidR="00D67C8C" w14:paraId="4A95EF2F" w14:textId="77777777" w:rsidTr="005E64B8">
        <w:tc>
          <w:tcPr>
            <w:tcW w:w="2160" w:type="dxa"/>
          </w:tcPr>
          <w:p w14:paraId="00000370" w14:textId="4D355DBF" w:rsidR="00D67C8C" w:rsidRPr="00EB0AE4" w:rsidRDefault="00A84666" w:rsidP="00EB0AE4">
            <w:pPr>
              <w:pStyle w:val="Paragraph"/>
              <w:rPr>
                <w:b/>
                <w:bCs/>
              </w:rPr>
            </w:pPr>
            <w:r w:rsidRPr="00EB0AE4">
              <w:rPr>
                <w:b/>
                <w:bCs/>
              </w:rPr>
              <w:t>MADiE</w:t>
            </w:r>
          </w:p>
        </w:tc>
        <w:tc>
          <w:tcPr>
            <w:tcW w:w="7739" w:type="dxa"/>
          </w:tcPr>
          <w:p w14:paraId="00000371" w14:textId="0935768A" w:rsidR="00D67C8C" w:rsidRPr="005E64B8" w:rsidRDefault="00A84666" w:rsidP="00EB0AE4">
            <w:pPr>
              <w:pStyle w:val="Paragraph"/>
            </w:pPr>
            <w:r w:rsidRPr="005E64B8">
              <w:t xml:space="preserve">Measure Authoring </w:t>
            </w:r>
            <w:r w:rsidRPr="00A84666">
              <w:t>Development Integrated Environment</w:t>
            </w:r>
          </w:p>
        </w:tc>
      </w:tr>
      <w:tr w:rsidR="00D67C8C" w14:paraId="7511B8D6" w14:textId="77777777" w:rsidTr="005E64B8">
        <w:tc>
          <w:tcPr>
            <w:tcW w:w="2160" w:type="dxa"/>
          </w:tcPr>
          <w:p w14:paraId="00000374" w14:textId="77777777" w:rsidR="00D67C8C" w:rsidRPr="00EB0AE4" w:rsidRDefault="00C80A11" w:rsidP="00EB0AE4">
            <w:pPr>
              <w:pStyle w:val="Paragraph"/>
              <w:rPr>
                <w:b/>
                <w:bCs/>
              </w:rPr>
            </w:pPr>
            <w:r w:rsidRPr="00EB0AE4">
              <w:rPr>
                <w:b/>
                <w:bCs/>
              </w:rPr>
              <w:t>MI</w:t>
            </w:r>
          </w:p>
        </w:tc>
        <w:tc>
          <w:tcPr>
            <w:tcW w:w="7739" w:type="dxa"/>
          </w:tcPr>
          <w:p w14:paraId="00000375" w14:textId="77777777" w:rsidR="00D67C8C" w:rsidRPr="005E64B8" w:rsidRDefault="00C80A11" w:rsidP="00EB0AE4">
            <w:pPr>
              <w:pStyle w:val="Paragraph"/>
            </w:pPr>
            <w:r w:rsidRPr="005E64B8">
              <w:t>myocardial infarction</w:t>
            </w:r>
          </w:p>
        </w:tc>
      </w:tr>
      <w:tr w:rsidR="00D67C8C" w14:paraId="43ECD890" w14:textId="77777777" w:rsidTr="005E64B8">
        <w:tc>
          <w:tcPr>
            <w:tcW w:w="2160" w:type="dxa"/>
          </w:tcPr>
          <w:p w14:paraId="00000376" w14:textId="77777777" w:rsidR="00D67C8C" w:rsidRPr="00EB0AE4" w:rsidRDefault="00C80A11" w:rsidP="00EB0AE4">
            <w:pPr>
              <w:pStyle w:val="Paragraph"/>
              <w:rPr>
                <w:b/>
                <w:bCs/>
              </w:rPr>
            </w:pPr>
            <w:r w:rsidRPr="00EB0AE4">
              <w:rPr>
                <w:b/>
                <w:bCs/>
              </w:rPr>
              <w:t>MIPS</w:t>
            </w:r>
          </w:p>
        </w:tc>
        <w:tc>
          <w:tcPr>
            <w:tcW w:w="7739" w:type="dxa"/>
          </w:tcPr>
          <w:p w14:paraId="00000377" w14:textId="77777777" w:rsidR="00D67C8C" w:rsidRPr="005E64B8" w:rsidRDefault="00C80A11" w:rsidP="00EB0AE4">
            <w:pPr>
              <w:pStyle w:val="Paragraph"/>
            </w:pPr>
            <w:r w:rsidRPr="005E64B8">
              <w:t>Merit-based Incentive Payment System</w:t>
            </w:r>
          </w:p>
        </w:tc>
      </w:tr>
      <w:tr w:rsidR="00D67C8C" w14:paraId="703CD8A9" w14:textId="77777777" w:rsidTr="005E64B8">
        <w:tc>
          <w:tcPr>
            <w:tcW w:w="2160" w:type="dxa"/>
          </w:tcPr>
          <w:p w14:paraId="00000378" w14:textId="77777777" w:rsidR="00D67C8C" w:rsidRPr="00EB0AE4" w:rsidRDefault="00C80A11" w:rsidP="00EB0AE4">
            <w:pPr>
              <w:pStyle w:val="Paragraph"/>
              <w:rPr>
                <w:b/>
                <w:bCs/>
              </w:rPr>
            </w:pPr>
            <w:r w:rsidRPr="00EB0AE4">
              <w:rPr>
                <w:b/>
                <w:bCs/>
              </w:rPr>
              <w:t>MMS</w:t>
            </w:r>
          </w:p>
        </w:tc>
        <w:tc>
          <w:tcPr>
            <w:tcW w:w="7739" w:type="dxa"/>
          </w:tcPr>
          <w:p w14:paraId="00000379" w14:textId="77777777" w:rsidR="00D67C8C" w:rsidRPr="005E64B8" w:rsidRDefault="00C80A11" w:rsidP="00EB0AE4">
            <w:pPr>
              <w:pStyle w:val="Paragraph"/>
            </w:pPr>
            <w:r w:rsidRPr="005E64B8">
              <w:t>Measures Management System</w:t>
            </w:r>
          </w:p>
        </w:tc>
      </w:tr>
      <w:tr w:rsidR="00D67C8C" w14:paraId="6950CF1E" w14:textId="77777777" w:rsidTr="005E64B8">
        <w:tc>
          <w:tcPr>
            <w:tcW w:w="2160" w:type="dxa"/>
          </w:tcPr>
          <w:p w14:paraId="0000037A" w14:textId="77777777" w:rsidR="00D67C8C" w:rsidRPr="00EB0AE4" w:rsidRDefault="00C80A11" w:rsidP="00EB0AE4">
            <w:pPr>
              <w:pStyle w:val="Paragraph"/>
              <w:rPr>
                <w:b/>
                <w:bCs/>
              </w:rPr>
            </w:pPr>
            <w:r w:rsidRPr="00EB0AE4">
              <w:rPr>
                <w:b/>
                <w:bCs/>
              </w:rPr>
              <w:t>MSRPOPL</w:t>
            </w:r>
          </w:p>
        </w:tc>
        <w:tc>
          <w:tcPr>
            <w:tcW w:w="7739" w:type="dxa"/>
          </w:tcPr>
          <w:p w14:paraId="0000037B" w14:textId="77777777" w:rsidR="00D67C8C" w:rsidRPr="005E64B8" w:rsidRDefault="00C80A11" w:rsidP="00EB0AE4">
            <w:pPr>
              <w:pStyle w:val="Paragraph"/>
            </w:pPr>
            <w:r w:rsidRPr="005E64B8">
              <w:t>Measure Population</w:t>
            </w:r>
          </w:p>
        </w:tc>
      </w:tr>
      <w:tr w:rsidR="00D67C8C" w14:paraId="5C269853" w14:textId="77777777" w:rsidTr="005E64B8">
        <w:tc>
          <w:tcPr>
            <w:tcW w:w="2160" w:type="dxa"/>
          </w:tcPr>
          <w:p w14:paraId="0000037C" w14:textId="77777777" w:rsidR="00D67C8C" w:rsidRPr="00EB0AE4" w:rsidRDefault="00C80A11" w:rsidP="00EB0AE4">
            <w:pPr>
              <w:pStyle w:val="Paragraph"/>
              <w:rPr>
                <w:b/>
                <w:bCs/>
              </w:rPr>
            </w:pPr>
            <w:r w:rsidRPr="00EB0AE4">
              <w:rPr>
                <w:b/>
                <w:bCs/>
              </w:rPr>
              <w:t>MSRPOPLEX</w:t>
            </w:r>
          </w:p>
        </w:tc>
        <w:tc>
          <w:tcPr>
            <w:tcW w:w="7739" w:type="dxa"/>
          </w:tcPr>
          <w:p w14:paraId="0000037D" w14:textId="77777777" w:rsidR="00D67C8C" w:rsidRPr="005E64B8" w:rsidRDefault="00C80A11" w:rsidP="00EB0AE4">
            <w:pPr>
              <w:pStyle w:val="Paragraph"/>
            </w:pPr>
            <w:r w:rsidRPr="005E64B8">
              <w:t>Measure Population Exclusion</w:t>
            </w:r>
          </w:p>
        </w:tc>
      </w:tr>
      <w:tr w:rsidR="00D67C8C" w14:paraId="767B4AE6" w14:textId="77777777" w:rsidTr="005E64B8">
        <w:tc>
          <w:tcPr>
            <w:tcW w:w="2160" w:type="dxa"/>
          </w:tcPr>
          <w:p w14:paraId="00000380" w14:textId="77777777" w:rsidR="00D67C8C" w:rsidRPr="00EB0AE4" w:rsidRDefault="00C80A11" w:rsidP="00EB0AE4">
            <w:pPr>
              <w:pStyle w:val="Paragraph"/>
              <w:rPr>
                <w:b/>
                <w:bCs/>
              </w:rPr>
            </w:pPr>
            <w:r w:rsidRPr="00EB0AE4">
              <w:rPr>
                <w:b/>
                <w:bCs/>
              </w:rPr>
              <w:t>NLM</w:t>
            </w:r>
          </w:p>
        </w:tc>
        <w:tc>
          <w:tcPr>
            <w:tcW w:w="7739" w:type="dxa"/>
          </w:tcPr>
          <w:p w14:paraId="00000381" w14:textId="77777777" w:rsidR="00D67C8C" w:rsidRPr="005E64B8" w:rsidRDefault="00C80A11" w:rsidP="00EB0AE4">
            <w:pPr>
              <w:pStyle w:val="Paragraph"/>
            </w:pPr>
            <w:r w:rsidRPr="005E64B8">
              <w:t>National Library of Medicine</w:t>
            </w:r>
          </w:p>
        </w:tc>
      </w:tr>
      <w:tr w:rsidR="00D67C8C" w14:paraId="72F5405B" w14:textId="77777777" w:rsidTr="005E64B8">
        <w:tc>
          <w:tcPr>
            <w:tcW w:w="2160" w:type="dxa"/>
          </w:tcPr>
          <w:p w14:paraId="00000382" w14:textId="77777777" w:rsidR="00D67C8C" w:rsidRPr="00EB0AE4" w:rsidRDefault="00C80A11" w:rsidP="00EB0AE4">
            <w:pPr>
              <w:pStyle w:val="Paragraph"/>
              <w:rPr>
                <w:b/>
                <w:bCs/>
              </w:rPr>
            </w:pPr>
            <w:r w:rsidRPr="00EB0AE4">
              <w:rPr>
                <w:b/>
                <w:bCs/>
              </w:rPr>
              <w:t>NUMER</w:t>
            </w:r>
          </w:p>
        </w:tc>
        <w:tc>
          <w:tcPr>
            <w:tcW w:w="7739" w:type="dxa"/>
          </w:tcPr>
          <w:p w14:paraId="00000383" w14:textId="77777777" w:rsidR="00D67C8C" w:rsidRPr="005E64B8" w:rsidRDefault="00C80A11" w:rsidP="00EB0AE4">
            <w:pPr>
              <w:pStyle w:val="Paragraph"/>
            </w:pPr>
            <w:r w:rsidRPr="005E64B8">
              <w:t>numerator</w:t>
            </w:r>
          </w:p>
        </w:tc>
      </w:tr>
      <w:tr w:rsidR="00D67C8C" w14:paraId="45B2C4FD" w14:textId="77777777" w:rsidTr="005E64B8">
        <w:tc>
          <w:tcPr>
            <w:tcW w:w="2160" w:type="dxa"/>
          </w:tcPr>
          <w:p w14:paraId="00000384" w14:textId="77777777" w:rsidR="00D67C8C" w:rsidRPr="00EB0AE4" w:rsidRDefault="00C80A11" w:rsidP="00EB0AE4">
            <w:pPr>
              <w:pStyle w:val="Paragraph"/>
              <w:rPr>
                <w:b/>
                <w:bCs/>
              </w:rPr>
            </w:pPr>
            <w:r w:rsidRPr="00EB0AE4">
              <w:rPr>
                <w:b/>
                <w:bCs/>
              </w:rPr>
              <w:t>NUMEX</w:t>
            </w:r>
          </w:p>
        </w:tc>
        <w:tc>
          <w:tcPr>
            <w:tcW w:w="7739" w:type="dxa"/>
          </w:tcPr>
          <w:p w14:paraId="00000385" w14:textId="77777777" w:rsidR="00D67C8C" w:rsidRPr="005E64B8" w:rsidRDefault="00C80A11" w:rsidP="00EB0AE4">
            <w:pPr>
              <w:pStyle w:val="Paragraph"/>
            </w:pPr>
            <w:r w:rsidRPr="005E64B8">
              <w:t>numerator exclusion</w:t>
            </w:r>
          </w:p>
        </w:tc>
      </w:tr>
      <w:tr w:rsidR="00D67C8C" w14:paraId="763C0755" w14:textId="77777777" w:rsidTr="005E64B8">
        <w:tc>
          <w:tcPr>
            <w:tcW w:w="2160" w:type="dxa"/>
          </w:tcPr>
          <w:p w14:paraId="00000386" w14:textId="77777777" w:rsidR="00D67C8C" w:rsidRPr="00EB0AE4" w:rsidRDefault="00C80A11" w:rsidP="00EB0AE4">
            <w:pPr>
              <w:pStyle w:val="Paragraph"/>
              <w:rPr>
                <w:b/>
                <w:bCs/>
              </w:rPr>
            </w:pPr>
            <w:r w:rsidRPr="00EB0AE4">
              <w:rPr>
                <w:b/>
                <w:bCs/>
              </w:rPr>
              <w:t>OID</w:t>
            </w:r>
          </w:p>
        </w:tc>
        <w:tc>
          <w:tcPr>
            <w:tcW w:w="7739" w:type="dxa"/>
          </w:tcPr>
          <w:p w14:paraId="00000387" w14:textId="77777777" w:rsidR="00D67C8C" w:rsidRPr="005E64B8" w:rsidRDefault="00C80A11" w:rsidP="00EB0AE4">
            <w:pPr>
              <w:pStyle w:val="Paragraph"/>
            </w:pPr>
            <w:r w:rsidRPr="005E64B8">
              <w:t>object identifier</w:t>
            </w:r>
          </w:p>
        </w:tc>
      </w:tr>
      <w:tr w:rsidR="00D67C8C" w14:paraId="77F23785" w14:textId="77777777" w:rsidTr="005E64B8">
        <w:tc>
          <w:tcPr>
            <w:tcW w:w="2160" w:type="dxa"/>
          </w:tcPr>
          <w:p w14:paraId="00000388" w14:textId="77777777" w:rsidR="00D67C8C" w:rsidRPr="00EB0AE4" w:rsidRDefault="00C80A11" w:rsidP="00EB0AE4">
            <w:pPr>
              <w:pStyle w:val="Paragraph"/>
              <w:rPr>
                <w:b/>
                <w:bCs/>
              </w:rPr>
            </w:pPr>
            <w:r w:rsidRPr="00EB0AE4">
              <w:rPr>
                <w:b/>
                <w:bCs/>
              </w:rPr>
              <w:t>ONC</w:t>
            </w:r>
          </w:p>
        </w:tc>
        <w:tc>
          <w:tcPr>
            <w:tcW w:w="7739" w:type="dxa"/>
          </w:tcPr>
          <w:p w14:paraId="00000389" w14:textId="77777777" w:rsidR="00D67C8C" w:rsidRPr="005E64B8" w:rsidRDefault="00C80A11" w:rsidP="00EB0AE4">
            <w:pPr>
              <w:pStyle w:val="Paragraph"/>
            </w:pPr>
            <w:r w:rsidRPr="005E64B8">
              <w:t>Office of the National Coordinator for Health Information Technology</w:t>
            </w:r>
          </w:p>
        </w:tc>
      </w:tr>
      <w:tr w:rsidR="00D67C8C" w14:paraId="2248DC09" w14:textId="77777777" w:rsidTr="005E64B8">
        <w:tc>
          <w:tcPr>
            <w:tcW w:w="2160" w:type="dxa"/>
          </w:tcPr>
          <w:p w14:paraId="0000038A" w14:textId="77777777" w:rsidR="00D67C8C" w:rsidRPr="00EB0AE4" w:rsidRDefault="00C80A11" w:rsidP="00EB0AE4">
            <w:pPr>
              <w:pStyle w:val="Paragraph"/>
              <w:rPr>
                <w:b/>
                <w:bCs/>
              </w:rPr>
            </w:pPr>
            <w:r w:rsidRPr="00EB0AE4">
              <w:rPr>
                <w:b/>
                <w:bCs/>
              </w:rPr>
              <w:t>OQR</w:t>
            </w:r>
          </w:p>
        </w:tc>
        <w:tc>
          <w:tcPr>
            <w:tcW w:w="7739" w:type="dxa"/>
          </w:tcPr>
          <w:p w14:paraId="0000038B" w14:textId="77777777" w:rsidR="00D67C8C" w:rsidRPr="005E64B8" w:rsidRDefault="00C80A11" w:rsidP="00EB0AE4">
            <w:pPr>
              <w:pStyle w:val="Paragraph"/>
            </w:pPr>
            <w:r w:rsidRPr="005E64B8">
              <w:t>Outpatient Quality Reporting</w:t>
            </w:r>
          </w:p>
        </w:tc>
      </w:tr>
      <w:tr w:rsidR="00D67C8C" w14:paraId="602DFC57" w14:textId="77777777" w:rsidTr="005E64B8">
        <w:tc>
          <w:tcPr>
            <w:tcW w:w="2160" w:type="dxa"/>
          </w:tcPr>
          <w:p w14:paraId="0000038C" w14:textId="77777777" w:rsidR="00D67C8C" w:rsidRPr="00EB0AE4" w:rsidRDefault="00C80A11" w:rsidP="00EB0AE4">
            <w:pPr>
              <w:pStyle w:val="Paragraph"/>
              <w:rPr>
                <w:b/>
                <w:bCs/>
              </w:rPr>
            </w:pPr>
            <w:r w:rsidRPr="00EB0AE4">
              <w:rPr>
                <w:b/>
                <w:bCs/>
              </w:rPr>
              <w:t>PIN</w:t>
            </w:r>
          </w:p>
        </w:tc>
        <w:tc>
          <w:tcPr>
            <w:tcW w:w="7739" w:type="dxa"/>
          </w:tcPr>
          <w:p w14:paraId="0000038D" w14:textId="77777777" w:rsidR="00D67C8C" w:rsidRPr="005E64B8" w:rsidRDefault="00C80A11" w:rsidP="00EB0AE4">
            <w:pPr>
              <w:pStyle w:val="Paragraph"/>
            </w:pPr>
            <w:r w:rsidRPr="005E64B8">
              <w:t>precise ingredient (</w:t>
            </w:r>
            <w:proofErr w:type="spellStart"/>
            <w:r w:rsidRPr="005E64B8">
              <w:t>RxNorm</w:t>
            </w:r>
            <w:proofErr w:type="spellEnd"/>
            <w:r w:rsidRPr="005E64B8">
              <w:t xml:space="preserve"> term type)</w:t>
            </w:r>
          </w:p>
        </w:tc>
      </w:tr>
      <w:tr w:rsidR="00D67C8C" w14:paraId="5F3682D9" w14:textId="77777777" w:rsidTr="005E64B8">
        <w:tc>
          <w:tcPr>
            <w:tcW w:w="2160" w:type="dxa"/>
          </w:tcPr>
          <w:p w14:paraId="0000038E" w14:textId="77777777" w:rsidR="00D67C8C" w:rsidRPr="00EB0AE4" w:rsidRDefault="00C80A11" w:rsidP="00EB0AE4">
            <w:pPr>
              <w:pStyle w:val="Paragraph"/>
              <w:rPr>
                <w:b/>
                <w:bCs/>
              </w:rPr>
            </w:pPr>
            <w:r w:rsidRPr="00EB0AE4">
              <w:rPr>
                <w:b/>
                <w:bCs/>
              </w:rPr>
              <w:t>PCS</w:t>
            </w:r>
          </w:p>
        </w:tc>
        <w:tc>
          <w:tcPr>
            <w:tcW w:w="7739" w:type="dxa"/>
          </w:tcPr>
          <w:p w14:paraId="0000038F" w14:textId="77777777" w:rsidR="00D67C8C" w:rsidRPr="005E64B8" w:rsidRDefault="00C80A11" w:rsidP="00EB0AE4">
            <w:pPr>
              <w:pStyle w:val="Paragraph"/>
            </w:pPr>
            <w:r w:rsidRPr="005E64B8">
              <w:t>Procedure Coding System</w:t>
            </w:r>
          </w:p>
        </w:tc>
      </w:tr>
      <w:tr w:rsidR="00D67C8C" w14:paraId="4946B897" w14:textId="77777777" w:rsidTr="005E64B8">
        <w:tc>
          <w:tcPr>
            <w:tcW w:w="2160" w:type="dxa"/>
          </w:tcPr>
          <w:p w14:paraId="00000390" w14:textId="77777777" w:rsidR="00D67C8C" w:rsidRPr="00EB0AE4" w:rsidRDefault="00C80A11" w:rsidP="00EB0AE4">
            <w:pPr>
              <w:pStyle w:val="Paragraph"/>
              <w:rPr>
                <w:b/>
                <w:bCs/>
              </w:rPr>
            </w:pPr>
            <w:r w:rsidRPr="00EB0AE4">
              <w:rPr>
                <w:b/>
                <w:bCs/>
              </w:rPr>
              <w:t>QDM</w:t>
            </w:r>
          </w:p>
        </w:tc>
        <w:tc>
          <w:tcPr>
            <w:tcW w:w="7739" w:type="dxa"/>
          </w:tcPr>
          <w:p w14:paraId="00000391" w14:textId="77777777" w:rsidR="00D67C8C" w:rsidRPr="005E64B8" w:rsidRDefault="00C80A11" w:rsidP="00EB0AE4">
            <w:pPr>
              <w:pStyle w:val="Paragraph"/>
            </w:pPr>
            <w:r w:rsidRPr="005E64B8">
              <w:t>Quality Data Model</w:t>
            </w:r>
          </w:p>
        </w:tc>
      </w:tr>
      <w:tr w:rsidR="00D67C8C" w14:paraId="39245910" w14:textId="77777777" w:rsidTr="005E64B8">
        <w:tc>
          <w:tcPr>
            <w:tcW w:w="2160" w:type="dxa"/>
          </w:tcPr>
          <w:p w14:paraId="00000392" w14:textId="77777777" w:rsidR="00D67C8C" w:rsidRPr="00EB0AE4" w:rsidRDefault="00C80A11" w:rsidP="00EB0AE4">
            <w:pPr>
              <w:pStyle w:val="Paragraph"/>
              <w:rPr>
                <w:b/>
                <w:bCs/>
              </w:rPr>
            </w:pPr>
            <w:r w:rsidRPr="00EB0AE4">
              <w:rPr>
                <w:b/>
                <w:bCs/>
              </w:rPr>
              <w:t>QPP</w:t>
            </w:r>
          </w:p>
        </w:tc>
        <w:tc>
          <w:tcPr>
            <w:tcW w:w="7739" w:type="dxa"/>
          </w:tcPr>
          <w:p w14:paraId="00000393" w14:textId="77777777" w:rsidR="00D67C8C" w:rsidRPr="005E64B8" w:rsidRDefault="00C80A11" w:rsidP="00EB0AE4">
            <w:pPr>
              <w:pStyle w:val="Paragraph"/>
            </w:pPr>
            <w:r w:rsidRPr="005E64B8">
              <w:t>Quality Payment Program</w:t>
            </w:r>
          </w:p>
        </w:tc>
      </w:tr>
      <w:tr w:rsidR="00D67C8C" w14:paraId="42799D58" w14:textId="77777777" w:rsidTr="005E64B8">
        <w:tc>
          <w:tcPr>
            <w:tcW w:w="2160" w:type="dxa"/>
          </w:tcPr>
          <w:p w14:paraId="00000394" w14:textId="77777777" w:rsidR="00D67C8C" w:rsidRPr="00EB0AE4" w:rsidRDefault="00C80A11" w:rsidP="00EB0AE4">
            <w:pPr>
              <w:pStyle w:val="Paragraph"/>
              <w:rPr>
                <w:b/>
                <w:bCs/>
              </w:rPr>
            </w:pPr>
            <w:r w:rsidRPr="00EB0AE4">
              <w:rPr>
                <w:b/>
                <w:bCs/>
              </w:rPr>
              <w:t>QRDA</w:t>
            </w:r>
          </w:p>
        </w:tc>
        <w:tc>
          <w:tcPr>
            <w:tcW w:w="7739" w:type="dxa"/>
          </w:tcPr>
          <w:p w14:paraId="00000395" w14:textId="77777777" w:rsidR="00D67C8C" w:rsidRPr="005E64B8" w:rsidRDefault="00C80A11" w:rsidP="00EB0AE4">
            <w:pPr>
              <w:pStyle w:val="Paragraph"/>
            </w:pPr>
            <w:r w:rsidRPr="005E64B8">
              <w:t>Quality Reporting Document Architecture</w:t>
            </w:r>
          </w:p>
        </w:tc>
      </w:tr>
      <w:tr w:rsidR="00D67C8C" w14:paraId="4E960D56" w14:textId="77777777" w:rsidTr="005E64B8">
        <w:tc>
          <w:tcPr>
            <w:tcW w:w="2160" w:type="dxa"/>
          </w:tcPr>
          <w:p w14:paraId="00000396" w14:textId="77777777" w:rsidR="00D67C8C" w:rsidRPr="00EB0AE4" w:rsidRDefault="00C80A11" w:rsidP="00EB0AE4">
            <w:pPr>
              <w:pStyle w:val="Paragraph"/>
              <w:rPr>
                <w:b/>
                <w:bCs/>
              </w:rPr>
            </w:pPr>
            <w:r w:rsidRPr="00EB0AE4">
              <w:rPr>
                <w:b/>
                <w:bCs/>
              </w:rPr>
              <w:t>SNOMED CT</w:t>
            </w:r>
          </w:p>
        </w:tc>
        <w:tc>
          <w:tcPr>
            <w:tcW w:w="7739" w:type="dxa"/>
          </w:tcPr>
          <w:p w14:paraId="00000397" w14:textId="77777777" w:rsidR="00D67C8C" w:rsidRPr="005E64B8" w:rsidRDefault="00C80A11" w:rsidP="00EB0AE4">
            <w:pPr>
              <w:pStyle w:val="Paragraph"/>
            </w:pPr>
            <w:r w:rsidRPr="005E64B8">
              <w:t>Systematized Nomenclature of Medicine Clinical Terms</w:t>
            </w:r>
          </w:p>
        </w:tc>
      </w:tr>
      <w:tr w:rsidR="00D67C8C" w14:paraId="76E8F261" w14:textId="77777777" w:rsidTr="005E64B8">
        <w:tc>
          <w:tcPr>
            <w:tcW w:w="2160" w:type="dxa"/>
          </w:tcPr>
          <w:p w14:paraId="0000039A" w14:textId="77777777" w:rsidR="00D67C8C" w:rsidRPr="00EB0AE4" w:rsidRDefault="00C80A11" w:rsidP="00EB0AE4">
            <w:pPr>
              <w:pStyle w:val="Paragraph"/>
              <w:rPr>
                <w:b/>
                <w:bCs/>
              </w:rPr>
            </w:pPr>
            <w:r w:rsidRPr="00EB0AE4">
              <w:rPr>
                <w:b/>
                <w:bCs/>
              </w:rPr>
              <w:t>VSAC</w:t>
            </w:r>
          </w:p>
        </w:tc>
        <w:tc>
          <w:tcPr>
            <w:tcW w:w="7739" w:type="dxa"/>
          </w:tcPr>
          <w:p w14:paraId="0000039B" w14:textId="77777777" w:rsidR="00D67C8C" w:rsidRPr="005E64B8" w:rsidRDefault="00C80A11" w:rsidP="00EB0AE4">
            <w:pPr>
              <w:pStyle w:val="Paragraph"/>
            </w:pPr>
            <w:r w:rsidRPr="005E64B8">
              <w:t>Value Set Authority Center</w:t>
            </w:r>
          </w:p>
        </w:tc>
      </w:tr>
      <w:tr w:rsidR="00D67C8C" w14:paraId="61A772D7" w14:textId="77777777" w:rsidTr="005E64B8">
        <w:tc>
          <w:tcPr>
            <w:tcW w:w="2160" w:type="dxa"/>
          </w:tcPr>
          <w:p w14:paraId="0000039C" w14:textId="77777777" w:rsidR="00D67C8C" w:rsidRPr="00EB0AE4" w:rsidRDefault="00C80A11" w:rsidP="00EB0AE4">
            <w:pPr>
              <w:pStyle w:val="Paragraph"/>
              <w:rPr>
                <w:b/>
                <w:bCs/>
              </w:rPr>
            </w:pPr>
            <w:r w:rsidRPr="00EB0AE4">
              <w:rPr>
                <w:b/>
                <w:bCs/>
              </w:rPr>
              <w:t>XML</w:t>
            </w:r>
          </w:p>
        </w:tc>
        <w:tc>
          <w:tcPr>
            <w:tcW w:w="7739" w:type="dxa"/>
          </w:tcPr>
          <w:p w14:paraId="0000039D" w14:textId="5A88E1B2" w:rsidR="00D67C8C" w:rsidRPr="005E64B8" w:rsidRDefault="002A6FA8" w:rsidP="00EB0AE4">
            <w:pPr>
              <w:pStyle w:val="Paragraph"/>
            </w:pPr>
            <w:r>
              <w:t>Ex</w:t>
            </w:r>
            <w:r w:rsidRPr="00A84666">
              <w:t>tensible</w:t>
            </w:r>
            <w:r w:rsidRPr="005E64B8">
              <w:t xml:space="preserve"> </w:t>
            </w:r>
            <w:r w:rsidR="00C80A11" w:rsidRPr="005E64B8">
              <w:t>Markup Language</w:t>
            </w:r>
          </w:p>
        </w:tc>
      </w:tr>
    </w:tbl>
    <w:p w14:paraId="0000039E" w14:textId="77777777" w:rsidR="00D67C8C" w:rsidRDefault="00D67C8C"/>
    <w:sectPr w:rsidR="00D67C8C" w:rsidSect="005E64B8">
      <w:headerReference w:type="even" r:id="rId170"/>
      <w:headerReference w:type="default" r:id="rId171"/>
      <w:headerReference w:type="first" r:id="rId172"/>
      <w:pgSz w:w="12240" w:h="15840"/>
      <w:pgMar w:top="1440" w:right="1440" w:bottom="1440" w:left="1440" w:header="504" w:footer="504" w:gutter="0"/>
      <w:cols w:space="720"/>
      <w:titlePg/>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36" w:author="Moriah Bauman - Mathematica" w:date="2025-12-03T17:31:00Z" w:initials="MB">
    <w:p w14:paraId="18DEB1F6" w14:textId="77777777" w:rsidR="00871419" w:rsidRDefault="00D4789B" w:rsidP="00871419">
      <w:pPr>
        <w:pStyle w:val="CommentText"/>
      </w:pPr>
      <w:r>
        <w:rPr>
          <w:rStyle w:val="CommentReference"/>
        </w:rPr>
        <w:annotationRef/>
      </w:r>
      <w:r w:rsidR="00871419">
        <w:t>Placeholder link for the QDM-based CQL Style Guide, which will be posted on the eCQI Resource Center in May 2026.</w:t>
      </w:r>
    </w:p>
  </w:comment>
  <w:comment w:id="482" w:author="Moriah Bauman - Mathematica" w:date="2025-07-30T15:25:00Z" w:initials="MB">
    <w:p w14:paraId="3988023B" w14:textId="4D66B6EB" w:rsidR="00871419" w:rsidRDefault="00BD6655" w:rsidP="00871419">
      <w:pPr>
        <w:pStyle w:val="CommentText"/>
      </w:pPr>
      <w:r>
        <w:rPr>
          <w:rStyle w:val="CommentReference"/>
        </w:rPr>
        <w:annotationRef/>
      </w:r>
      <w:r w:rsidR="00871419">
        <w:t>Placeholder link for the AU Pre-Publication Document, which will be posted on the eCQI Resource Center in February 2026.</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8DEB1F6" w15:done="0"/>
  <w15:commentEx w15:paraId="3988023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6053852" w16cex:dateUtc="2025-12-03T22:31:00Z"/>
  <w16cex:commentExtensible w16cex:durableId="6434483E" w16cex:dateUtc="2025-07-30T19:2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8DEB1F6" w16cid:durableId="16053852"/>
  <w16cid:commentId w16cid:paraId="3988023B" w16cid:durableId="6434483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3E4AFB" w14:textId="77777777" w:rsidR="00651871" w:rsidRDefault="00651871">
      <w:pPr>
        <w:spacing w:after="0"/>
      </w:pPr>
      <w:r>
        <w:separator/>
      </w:r>
    </w:p>
  </w:endnote>
  <w:endnote w:type="continuationSeparator" w:id="0">
    <w:p w14:paraId="310AB5B8" w14:textId="77777777" w:rsidR="00651871" w:rsidRDefault="00651871">
      <w:pPr>
        <w:spacing w:after="0"/>
      </w:pPr>
      <w:r>
        <w:continuationSeparator/>
      </w:r>
    </w:p>
  </w:endnote>
  <w:endnote w:type="continuationNotice" w:id="1">
    <w:p w14:paraId="6C85A8A4" w14:textId="77777777" w:rsidR="00651871" w:rsidRDefault="00651871">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Times">
    <w:altName w:val="Sylfaen"/>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51F7EE" w14:textId="77777777" w:rsidR="006A57C9" w:rsidRDefault="006A57C9">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A6C209" w14:textId="77777777" w:rsidR="00F82E1D" w:rsidRPr="002A3E6E" w:rsidRDefault="00F82E1D" w:rsidP="00F82E1D">
    <w:pPr>
      <w:pStyle w:val="Footer"/>
    </w:pPr>
    <w:r w:rsidRPr="002A3E6E">
      <w:t>Electronic Clinical Quality Measure Logic and Implementation Guidance</w:t>
    </w:r>
    <w:r w:rsidRPr="002A3E6E">
      <w:tab/>
    </w:r>
    <w:r w:rsidRPr="002A3E6E">
      <w:fldChar w:fldCharType="begin"/>
    </w:r>
    <w:r w:rsidRPr="002A3E6E">
      <w:instrText>PAGE</w:instrText>
    </w:r>
    <w:r w:rsidRPr="002A3E6E">
      <w:fldChar w:fldCharType="separate"/>
    </w:r>
    <w:r>
      <w:t>1</w:t>
    </w:r>
    <w:r w:rsidRPr="002A3E6E">
      <w:fldChar w:fldCharType="end"/>
    </w:r>
  </w:p>
  <w:p w14:paraId="6F6EB340" w14:textId="577C8788" w:rsidR="00F82E1D" w:rsidRDefault="00F82E1D" w:rsidP="00F82E1D">
    <w:pPr>
      <w:pStyle w:val="Footer"/>
      <w:spacing w:before="0"/>
    </w:pPr>
    <w:r>
      <w:t xml:space="preserve">Version </w:t>
    </w:r>
    <w:r w:rsidR="00415519">
      <w:t>10</w:t>
    </w:r>
    <w:r>
      <w:t>.0</w:t>
    </w:r>
    <w:r>
      <w:tab/>
    </w:r>
    <w:r>
      <w:tab/>
      <w:t xml:space="preserve">May </w:t>
    </w:r>
    <w:r w:rsidR="00415519">
      <w:t>2026</w: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7D9F0B" w14:textId="77777777" w:rsidR="00F82E1D" w:rsidRPr="002A3E6E" w:rsidRDefault="00F82E1D" w:rsidP="00F82E1D">
    <w:pPr>
      <w:pStyle w:val="Footer"/>
    </w:pPr>
    <w:r w:rsidRPr="002A3E6E">
      <w:t>Electronic Clinical Quality Measure Logic and Implementation Guidance</w:t>
    </w:r>
    <w:r w:rsidRPr="002A3E6E">
      <w:tab/>
    </w:r>
    <w:r w:rsidRPr="002A3E6E">
      <w:fldChar w:fldCharType="begin"/>
    </w:r>
    <w:r w:rsidRPr="002A3E6E">
      <w:instrText>PAGE</w:instrText>
    </w:r>
    <w:r w:rsidRPr="002A3E6E">
      <w:fldChar w:fldCharType="separate"/>
    </w:r>
    <w:r>
      <w:t>1</w:t>
    </w:r>
    <w:r w:rsidRPr="002A3E6E">
      <w:fldChar w:fldCharType="end"/>
    </w:r>
  </w:p>
  <w:p w14:paraId="7B4B67EC" w14:textId="284FA080" w:rsidR="00F82E1D" w:rsidRDefault="00F82E1D" w:rsidP="00F82E1D">
    <w:pPr>
      <w:pStyle w:val="Footer"/>
      <w:spacing w:before="0"/>
    </w:pPr>
    <w:r>
      <w:t xml:space="preserve">Version </w:t>
    </w:r>
    <w:r w:rsidR="00415519">
      <w:t>10</w:t>
    </w:r>
    <w:r>
      <w:t>.0</w:t>
    </w:r>
    <w:r>
      <w:tab/>
    </w:r>
    <w:r>
      <w:tab/>
      <w:t xml:space="preserve">May </w:t>
    </w:r>
    <w:r w:rsidR="00415519">
      <w:t>2026</w: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FA0EE5" w14:textId="77777777" w:rsidR="00F82E1D" w:rsidRPr="002A3E6E" w:rsidRDefault="00F82E1D" w:rsidP="00F82E1D">
    <w:pPr>
      <w:pStyle w:val="Footer"/>
    </w:pPr>
    <w:r w:rsidRPr="002A3E6E">
      <w:t>Electronic Clinical Quality Measure Logic and Implementation Guidance</w:t>
    </w:r>
    <w:r w:rsidRPr="002A3E6E">
      <w:tab/>
    </w:r>
    <w:r w:rsidRPr="002A3E6E">
      <w:fldChar w:fldCharType="begin"/>
    </w:r>
    <w:r w:rsidRPr="002A3E6E">
      <w:instrText>PAGE</w:instrText>
    </w:r>
    <w:r w:rsidRPr="002A3E6E">
      <w:fldChar w:fldCharType="separate"/>
    </w:r>
    <w:r>
      <w:t>1</w:t>
    </w:r>
    <w:r w:rsidRPr="002A3E6E">
      <w:fldChar w:fldCharType="end"/>
    </w:r>
  </w:p>
  <w:p w14:paraId="071A2DC7" w14:textId="302C8D32" w:rsidR="00F82E1D" w:rsidRDefault="00F82E1D" w:rsidP="00F82E1D">
    <w:pPr>
      <w:pStyle w:val="Footer"/>
      <w:spacing w:before="0"/>
    </w:pPr>
    <w:r>
      <w:t xml:space="preserve">Version </w:t>
    </w:r>
    <w:r w:rsidR="00415519">
      <w:t>10</w:t>
    </w:r>
    <w:r>
      <w:t>.0</w:t>
    </w:r>
    <w:r>
      <w:tab/>
    </w:r>
    <w:r>
      <w:tab/>
      <w:t xml:space="preserve">May </w:t>
    </w:r>
    <w:r w:rsidR="00415519">
      <w:t>2026</w: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BC3641" w14:textId="77777777" w:rsidR="00F82E1D" w:rsidRPr="002A3E6E" w:rsidRDefault="00F82E1D" w:rsidP="00F82E1D">
    <w:pPr>
      <w:pStyle w:val="Footer"/>
    </w:pPr>
    <w:r w:rsidRPr="002A3E6E">
      <w:t>Electronic Clinical Quality Measure Logic and Implementation Guidance</w:t>
    </w:r>
    <w:r w:rsidRPr="002A3E6E">
      <w:tab/>
    </w:r>
    <w:r w:rsidRPr="002A3E6E">
      <w:fldChar w:fldCharType="begin"/>
    </w:r>
    <w:r w:rsidRPr="002A3E6E">
      <w:instrText>PAGE</w:instrText>
    </w:r>
    <w:r w:rsidRPr="002A3E6E">
      <w:fldChar w:fldCharType="separate"/>
    </w:r>
    <w:r>
      <w:t>1</w:t>
    </w:r>
    <w:r w:rsidRPr="002A3E6E">
      <w:fldChar w:fldCharType="end"/>
    </w:r>
  </w:p>
  <w:p w14:paraId="267A3CA6" w14:textId="1B743B73" w:rsidR="00F82E1D" w:rsidRDefault="00F82E1D" w:rsidP="00F82E1D">
    <w:pPr>
      <w:pStyle w:val="Footer"/>
      <w:spacing w:before="0"/>
    </w:pPr>
    <w:r>
      <w:t xml:space="preserve">Version </w:t>
    </w:r>
    <w:r w:rsidR="00415519">
      <w:t>10</w:t>
    </w:r>
    <w:r>
      <w:t>.0</w:t>
    </w:r>
    <w:r>
      <w:tab/>
    </w:r>
    <w:r>
      <w:tab/>
      <w:t xml:space="preserve">May </w:t>
    </w:r>
    <w:r w:rsidR="00415519">
      <w:t>2026</w: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32DE75" w14:textId="77777777" w:rsidR="00F82E1D" w:rsidRPr="002A3E6E" w:rsidRDefault="00F82E1D" w:rsidP="00F82E1D">
    <w:pPr>
      <w:pStyle w:val="Footer"/>
    </w:pPr>
    <w:r w:rsidRPr="002A3E6E">
      <w:t>Electronic Clinical Quality Measure Logic and Implementation Guidance</w:t>
    </w:r>
    <w:r w:rsidRPr="002A3E6E">
      <w:tab/>
    </w:r>
    <w:r w:rsidRPr="002A3E6E">
      <w:fldChar w:fldCharType="begin"/>
    </w:r>
    <w:r w:rsidRPr="002A3E6E">
      <w:instrText>PAGE</w:instrText>
    </w:r>
    <w:r w:rsidRPr="002A3E6E">
      <w:fldChar w:fldCharType="separate"/>
    </w:r>
    <w:r>
      <w:t>1</w:t>
    </w:r>
    <w:r w:rsidRPr="002A3E6E">
      <w:fldChar w:fldCharType="end"/>
    </w:r>
  </w:p>
  <w:p w14:paraId="4B8CFA55" w14:textId="32CCF164" w:rsidR="00F82E1D" w:rsidRDefault="00F82E1D" w:rsidP="00F82E1D">
    <w:pPr>
      <w:pStyle w:val="Footer"/>
      <w:spacing w:before="0"/>
    </w:pPr>
    <w:r>
      <w:t xml:space="preserve">Version </w:t>
    </w:r>
    <w:r w:rsidR="00415519">
      <w:t>10</w:t>
    </w:r>
    <w:r>
      <w:t>.0</w:t>
    </w:r>
    <w:r>
      <w:tab/>
    </w:r>
    <w:r>
      <w:tab/>
      <w:t xml:space="preserve">May </w:t>
    </w:r>
    <w:r w:rsidR="00415519">
      <w:t>2026</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BB1A8E" w14:textId="77777777" w:rsidR="00B42D27" w:rsidRPr="002A3E6E" w:rsidRDefault="00B42D27" w:rsidP="00B42D27">
    <w:pPr>
      <w:pStyle w:val="Footer"/>
    </w:pPr>
    <w:r w:rsidRPr="002A3E6E">
      <w:t>Electronic Clinical Quality Measure Logic and Implementation Guidance</w:t>
    </w:r>
    <w:r w:rsidRPr="002A3E6E">
      <w:tab/>
    </w:r>
    <w:r w:rsidRPr="002A3E6E">
      <w:fldChar w:fldCharType="begin"/>
    </w:r>
    <w:r w:rsidRPr="002A3E6E">
      <w:instrText>PAGE</w:instrText>
    </w:r>
    <w:r w:rsidRPr="002A3E6E">
      <w:fldChar w:fldCharType="separate"/>
    </w:r>
    <w:r>
      <w:t>1</w:t>
    </w:r>
    <w:r w:rsidRPr="002A3E6E">
      <w:fldChar w:fldCharType="end"/>
    </w:r>
  </w:p>
  <w:p w14:paraId="24F65CE1" w14:textId="14D582E2" w:rsidR="00B42D27" w:rsidRDefault="00B42D27" w:rsidP="00B42D27">
    <w:pPr>
      <w:pStyle w:val="Footer"/>
      <w:spacing w:before="0"/>
    </w:pPr>
    <w:r>
      <w:t xml:space="preserve">Version </w:t>
    </w:r>
    <w:r w:rsidR="00415519">
      <w:t>10</w:t>
    </w:r>
    <w:r>
      <w:t>.0</w:t>
    </w:r>
    <w:r>
      <w:tab/>
    </w:r>
    <w:r>
      <w:tab/>
      <w:t xml:space="preserve">May </w:t>
    </w:r>
    <w:r w:rsidR="00415519">
      <w:t>2026</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6ADA1F" w14:textId="77777777" w:rsidR="006A57C9" w:rsidRDefault="006A57C9">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EB591" w14:textId="77777777" w:rsidR="002865A5" w:rsidRPr="002A3E6E" w:rsidRDefault="002865A5" w:rsidP="00B42D27">
    <w:pPr>
      <w:pStyle w:val="Footer"/>
    </w:pPr>
    <w:r w:rsidRPr="002A3E6E">
      <w:t>Electronic Clinical Quality Measure Logic and Implementation Guidance</w:t>
    </w:r>
    <w:r w:rsidRPr="002A3E6E">
      <w:tab/>
    </w:r>
    <w:r w:rsidRPr="002A3E6E">
      <w:fldChar w:fldCharType="begin"/>
    </w:r>
    <w:r w:rsidRPr="002A3E6E">
      <w:instrText>PAGE</w:instrText>
    </w:r>
    <w:r w:rsidRPr="002A3E6E">
      <w:fldChar w:fldCharType="separate"/>
    </w:r>
    <w:r>
      <w:t>1</w:t>
    </w:r>
    <w:r w:rsidRPr="002A3E6E">
      <w:fldChar w:fldCharType="end"/>
    </w:r>
  </w:p>
  <w:p w14:paraId="37B8578A" w14:textId="7DF8DC70" w:rsidR="002865A5" w:rsidRDefault="002865A5" w:rsidP="00B42D27">
    <w:pPr>
      <w:pStyle w:val="Footer"/>
      <w:spacing w:before="0"/>
    </w:pPr>
    <w:r>
      <w:t xml:space="preserve">Version </w:t>
    </w:r>
    <w:r w:rsidR="00415519">
      <w:t>10</w:t>
    </w:r>
    <w:r>
      <w:t>.0</w:t>
    </w:r>
    <w:r>
      <w:tab/>
    </w:r>
    <w:r>
      <w:tab/>
      <w:t xml:space="preserve">May </w:t>
    </w:r>
    <w:r w:rsidR="00415519">
      <w:t>2026</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C7" w14:textId="77777777" w:rsidR="00D67C8C" w:rsidRDefault="00C80A11">
    <w:pPr>
      <w:pBdr>
        <w:top w:val="single" w:sz="4" w:space="4" w:color="000000"/>
        <w:left w:val="nil"/>
        <w:bottom w:val="nil"/>
        <w:right w:val="nil"/>
        <w:between w:val="nil"/>
      </w:pBdr>
      <w:tabs>
        <w:tab w:val="center" w:pos="4680"/>
        <w:tab w:val="right" w:pos="9360"/>
      </w:tabs>
      <w:spacing w:after="0"/>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Electronic Clinical Quality Measure Logic and Implementation Guidance</w:t>
    </w:r>
    <w:r>
      <w:rPr>
        <w:rFonts w:ascii="Arial Narrow" w:eastAsia="Arial Narrow" w:hAnsi="Arial Narrow" w:cs="Arial Narrow"/>
        <w:color w:val="000000"/>
        <w:sz w:val="18"/>
        <w:szCs w:val="18"/>
      </w:rPr>
      <w:tab/>
    </w:r>
    <w:r>
      <w:rPr>
        <w:rFonts w:ascii="Arial Narrow" w:eastAsia="Arial Narrow" w:hAnsi="Arial Narrow" w:cs="Arial Narrow"/>
        <w:color w:val="000000"/>
        <w:sz w:val="18"/>
        <w:szCs w:val="18"/>
      </w:rPr>
      <w:fldChar w:fldCharType="begin"/>
    </w:r>
    <w:r>
      <w:rPr>
        <w:rFonts w:ascii="Arial Narrow" w:eastAsia="Arial Narrow" w:hAnsi="Arial Narrow" w:cs="Arial Narrow"/>
        <w:color w:val="000000"/>
        <w:sz w:val="18"/>
        <w:szCs w:val="18"/>
      </w:rPr>
      <w:instrText>PAGE</w:instrText>
    </w:r>
    <w:r>
      <w:rPr>
        <w:rFonts w:ascii="Arial Narrow" w:eastAsia="Arial Narrow" w:hAnsi="Arial Narrow" w:cs="Arial Narrow"/>
        <w:color w:val="000000"/>
        <w:sz w:val="18"/>
        <w:szCs w:val="18"/>
      </w:rPr>
      <w:fldChar w:fldCharType="separate"/>
    </w:r>
    <w:r>
      <w:rPr>
        <w:rFonts w:ascii="Arial Narrow" w:eastAsia="Arial Narrow" w:hAnsi="Arial Narrow" w:cs="Arial Narrow"/>
        <w:color w:val="000000"/>
        <w:sz w:val="18"/>
        <w:szCs w:val="18"/>
      </w:rPr>
      <w:fldChar w:fldCharType="end"/>
    </w:r>
  </w:p>
  <w:p w14:paraId="000003C8" w14:textId="77777777" w:rsidR="00D67C8C" w:rsidRDefault="00C80A11">
    <w:pPr>
      <w:pBdr>
        <w:top w:val="single" w:sz="4" w:space="4" w:color="000000"/>
        <w:left w:val="nil"/>
        <w:bottom w:val="nil"/>
        <w:right w:val="nil"/>
        <w:between w:val="nil"/>
      </w:pBdr>
      <w:tabs>
        <w:tab w:val="center" w:pos="4680"/>
        <w:tab w:val="right" w:pos="9360"/>
      </w:tabs>
      <w:spacing w:after="0"/>
      <w:rPr>
        <w:rFonts w:ascii="Arial Narrow" w:eastAsia="Arial Narrow" w:hAnsi="Arial Narrow" w:cs="Arial Narrow"/>
        <w:sz w:val="18"/>
        <w:szCs w:val="18"/>
      </w:rPr>
    </w:pPr>
    <w:r>
      <w:rPr>
        <w:rFonts w:ascii="Arial Narrow" w:eastAsia="Arial Narrow" w:hAnsi="Arial Narrow" w:cs="Arial Narrow"/>
        <w:color w:val="000000"/>
        <w:sz w:val="18"/>
        <w:szCs w:val="18"/>
      </w:rPr>
      <w:t>Version 4.0</w:t>
    </w:r>
    <w:r>
      <w:rPr>
        <w:rFonts w:ascii="Arial Narrow" w:eastAsia="Arial Narrow" w:hAnsi="Arial Narrow" w:cs="Arial Narrow"/>
        <w:color w:val="000000"/>
        <w:sz w:val="18"/>
        <w:szCs w:val="18"/>
      </w:rPr>
      <w:tab/>
    </w:r>
    <w:r>
      <w:rPr>
        <w:rFonts w:ascii="Arial Narrow" w:eastAsia="Arial Narrow" w:hAnsi="Arial Narrow" w:cs="Arial Narrow"/>
        <w:color w:val="000000"/>
        <w:sz w:val="18"/>
        <w:szCs w:val="18"/>
      </w:rPr>
      <w:tab/>
      <w:t>May 7, 2020</w:t>
    </w:r>
  </w:p>
  <w:p w14:paraId="000003C9" w14:textId="77777777" w:rsidR="00D67C8C" w:rsidRPr="00871419" w:rsidRDefault="00D67C8C" w:rsidP="00871419">
    <w:pPr>
      <w:pBdr>
        <w:top w:val="single" w:sz="4" w:space="4" w:color="000000"/>
        <w:left w:val="nil"/>
        <w:bottom w:val="nil"/>
        <w:right w:val="nil"/>
        <w:between w:val="nil"/>
      </w:pBdr>
      <w:tabs>
        <w:tab w:val="center" w:pos="4680"/>
        <w:tab w:val="right" w:pos="9360"/>
      </w:tabs>
      <w:spacing w:after="0"/>
      <w:rPr>
        <w:rFonts w:ascii="Times New Roman" w:hAnsi="Times New Roman"/>
        <w:sz w:val="24"/>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CA" w14:textId="618E20AD" w:rsidR="00D67C8C" w:rsidRPr="002A3E6E" w:rsidRDefault="00C80A11" w:rsidP="002A3E6E">
    <w:pPr>
      <w:pStyle w:val="Footer"/>
    </w:pPr>
    <w:r w:rsidRPr="002A3E6E">
      <w:t>Electronic Clinical Quality Measure Logic and Implementation Guidance</w:t>
    </w:r>
    <w:r w:rsidRPr="002A3E6E">
      <w:tab/>
    </w:r>
    <w:r w:rsidRPr="002A3E6E">
      <w:fldChar w:fldCharType="begin"/>
    </w:r>
    <w:r w:rsidRPr="002A3E6E">
      <w:instrText>PAGE</w:instrText>
    </w:r>
    <w:r w:rsidRPr="002A3E6E">
      <w:fldChar w:fldCharType="separate"/>
    </w:r>
    <w:r w:rsidR="00A84666" w:rsidRPr="002A3E6E">
      <w:t>1</w:t>
    </w:r>
    <w:r w:rsidRPr="002A3E6E">
      <w:fldChar w:fldCharType="end"/>
    </w:r>
  </w:p>
  <w:p w14:paraId="000003CB" w14:textId="4FB4FF55" w:rsidR="00D67C8C" w:rsidRDefault="00C80A11" w:rsidP="002A3E6E">
    <w:pPr>
      <w:pStyle w:val="Footer"/>
      <w:spacing w:before="0"/>
    </w:pPr>
    <w:r>
      <w:t xml:space="preserve">Version </w:t>
    </w:r>
    <w:r w:rsidR="00415519">
      <w:t>10</w:t>
    </w:r>
    <w:r>
      <w:t>.0</w:t>
    </w:r>
    <w:r>
      <w:tab/>
    </w:r>
    <w:r>
      <w:tab/>
      <w:t xml:space="preserve">May </w:t>
    </w:r>
    <w:r w:rsidR="00415519">
      <w:t>2026</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9351AC" w14:textId="77777777" w:rsidR="00F82E1D" w:rsidRPr="002A3E6E" w:rsidRDefault="00F82E1D" w:rsidP="00F82E1D">
    <w:pPr>
      <w:pStyle w:val="Footer"/>
    </w:pPr>
    <w:r w:rsidRPr="002A3E6E">
      <w:t>Electronic Clinical Quality Measure Logic and Implementation Guidance</w:t>
    </w:r>
    <w:r w:rsidRPr="002A3E6E">
      <w:tab/>
    </w:r>
    <w:r w:rsidRPr="002A3E6E">
      <w:fldChar w:fldCharType="begin"/>
    </w:r>
    <w:r w:rsidRPr="002A3E6E">
      <w:instrText>PAGE</w:instrText>
    </w:r>
    <w:r w:rsidRPr="002A3E6E">
      <w:fldChar w:fldCharType="separate"/>
    </w:r>
    <w:r>
      <w:t>1</w:t>
    </w:r>
    <w:r w:rsidRPr="002A3E6E">
      <w:fldChar w:fldCharType="end"/>
    </w:r>
  </w:p>
  <w:p w14:paraId="0AB0E2D8" w14:textId="417FDD75" w:rsidR="00F82E1D" w:rsidRDefault="00F82E1D" w:rsidP="00F82E1D">
    <w:pPr>
      <w:pStyle w:val="Footer"/>
      <w:spacing w:before="0"/>
    </w:pPr>
    <w:r>
      <w:t xml:space="preserve">Version </w:t>
    </w:r>
    <w:r w:rsidR="00415519">
      <w:t>10</w:t>
    </w:r>
    <w:r>
      <w:t>.0</w:t>
    </w:r>
    <w:r>
      <w:tab/>
    </w:r>
    <w:r>
      <w:tab/>
      <w:t xml:space="preserve">May </w:t>
    </w:r>
    <w:r w:rsidR="00415519">
      <w:t>2026</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4937C6" w14:textId="77777777" w:rsidR="00F82E1D" w:rsidRPr="002A3E6E" w:rsidRDefault="00F82E1D" w:rsidP="00F82E1D">
    <w:pPr>
      <w:pStyle w:val="Footer"/>
    </w:pPr>
    <w:r w:rsidRPr="002A3E6E">
      <w:t>Electronic Clinical Quality Measure Logic and Implementation Guidance</w:t>
    </w:r>
    <w:r w:rsidRPr="002A3E6E">
      <w:tab/>
    </w:r>
    <w:r w:rsidRPr="002A3E6E">
      <w:fldChar w:fldCharType="begin"/>
    </w:r>
    <w:r w:rsidRPr="002A3E6E">
      <w:instrText>PAGE</w:instrText>
    </w:r>
    <w:r w:rsidRPr="002A3E6E">
      <w:fldChar w:fldCharType="separate"/>
    </w:r>
    <w:r>
      <w:t>1</w:t>
    </w:r>
    <w:r w:rsidRPr="002A3E6E">
      <w:fldChar w:fldCharType="end"/>
    </w:r>
  </w:p>
  <w:p w14:paraId="6AED7933" w14:textId="644FFE47" w:rsidR="00F82E1D" w:rsidRDefault="00F82E1D" w:rsidP="00F82E1D">
    <w:pPr>
      <w:pStyle w:val="Footer"/>
      <w:spacing w:before="0"/>
    </w:pPr>
    <w:r>
      <w:t xml:space="preserve">Version </w:t>
    </w:r>
    <w:r w:rsidR="00415519">
      <w:t>10</w:t>
    </w:r>
    <w:r>
      <w:t>.0</w:t>
    </w:r>
    <w:r>
      <w:tab/>
    </w:r>
    <w:r>
      <w:tab/>
      <w:t xml:space="preserve">May </w:t>
    </w:r>
    <w:r w:rsidR="00415519">
      <w:t>2026</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23CBB" w14:textId="77777777" w:rsidR="00F82E1D" w:rsidRPr="002A3E6E" w:rsidRDefault="00F82E1D" w:rsidP="00F82E1D">
    <w:pPr>
      <w:pStyle w:val="Footer"/>
    </w:pPr>
    <w:r w:rsidRPr="002A3E6E">
      <w:t>Electronic Clinical Quality Measure Logic and Implementation Guidance</w:t>
    </w:r>
    <w:r w:rsidRPr="002A3E6E">
      <w:tab/>
    </w:r>
    <w:r w:rsidRPr="002A3E6E">
      <w:fldChar w:fldCharType="begin"/>
    </w:r>
    <w:r w:rsidRPr="002A3E6E">
      <w:instrText>PAGE</w:instrText>
    </w:r>
    <w:r w:rsidRPr="002A3E6E">
      <w:fldChar w:fldCharType="separate"/>
    </w:r>
    <w:r>
      <w:t>1</w:t>
    </w:r>
    <w:r w:rsidRPr="002A3E6E">
      <w:fldChar w:fldCharType="end"/>
    </w:r>
  </w:p>
  <w:p w14:paraId="768079F1" w14:textId="4571BFE7" w:rsidR="00F82E1D" w:rsidRDefault="00F82E1D" w:rsidP="00F82E1D">
    <w:pPr>
      <w:pStyle w:val="Footer"/>
      <w:spacing w:before="0"/>
    </w:pPr>
    <w:r>
      <w:t>Version</w:t>
    </w:r>
    <w:r w:rsidR="00415519">
      <w:t xml:space="preserve"> 10</w:t>
    </w:r>
    <w:r>
      <w:t>.0</w:t>
    </w:r>
    <w:r>
      <w:tab/>
    </w:r>
    <w:r>
      <w:tab/>
      <w:t>May 202</w:t>
    </w:r>
    <w:r w:rsidR="00415519">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B6E30A" w14:textId="77777777" w:rsidR="00651871" w:rsidRDefault="00651871">
      <w:pPr>
        <w:spacing w:after="0"/>
      </w:pPr>
      <w:r>
        <w:separator/>
      </w:r>
    </w:p>
  </w:footnote>
  <w:footnote w:type="continuationSeparator" w:id="0">
    <w:p w14:paraId="0AB1B883" w14:textId="77777777" w:rsidR="00651871" w:rsidRDefault="00651871">
      <w:pPr>
        <w:spacing w:after="0"/>
      </w:pPr>
      <w:r>
        <w:continuationSeparator/>
      </w:r>
    </w:p>
  </w:footnote>
  <w:footnote w:type="continuationNotice" w:id="1">
    <w:p w14:paraId="235DC767" w14:textId="77777777" w:rsidR="00651871" w:rsidRDefault="00651871">
      <w:pPr>
        <w:spacing w:after="0"/>
      </w:pPr>
    </w:p>
  </w:footnote>
  <w:footnote w:id="2">
    <w:p w14:paraId="5861ED28" w14:textId="3366B473" w:rsidR="00881746" w:rsidRPr="00881746" w:rsidRDefault="00881746">
      <w:pPr>
        <w:pStyle w:val="FootnoteText"/>
      </w:pPr>
      <w:r w:rsidRPr="00881746">
        <w:rPr>
          <w:rStyle w:val="FootnoteReference"/>
        </w:rPr>
        <w:footnoteRef/>
      </w:r>
      <w:r w:rsidRPr="00881746">
        <w:t xml:space="preserve"> Please note that this guide formerly referred to </w:t>
      </w:r>
      <w:r w:rsidR="008C304B">
        <w:t>“</w:t>
      </w:r>
      <w:r w:rsidR="003769AB">
        <w:t>e</w:t>
      </w:r>
      <w:r w:rsidRPr="00881746">
        <w:t xml:space="preserve">ligible </w:t>
      </w:r>
      <w:r w:rsidR="003769AB">
        <w:t>c</w:t>
      </w:r>
      <w:r w:rsidRPr="00881746">
        <w:t>linician eCQMs</w:t>
      </w:r>
      <w:r w:rsidR="008C304B">
        <w:t>”</w:t>
      </w:r>
      <w:r w:rsidRPr="00881746">
        <w:t xml:space="preserve"> as </w:t>
      </w:r>
      <w:r w:rsidR="008C304B">
        <w:t>“</w:t>
      </w:r>
      <w:r w:rsidRPr="00881746">
        <w:t>EC eCQMs.</w:t>
      </w:r>
      <w:r w:rsidR="008C304B">
        <w:t>”</w:t>
      </w:r>
    </w:p>
  </w:footnote>
  <w:footnote w:id="3">
    <w:p w14:paraId="42AD12FA" w14:textId="380ACC53" w:rsidR="00331D52" w:rsidRDefault="00331D52">
      <w:pPr>
        <w:pStyle w:val="FootnoteText"/>
      </w:pPr>
      <w:r>
        <w:rPr>
          <w:rStyle w:val="FootnoteReference"/>
        </w:rPr>
        <w:footnoteRef/>
      </w:r>
      <w:r>
        <w:t xml:space="preserve"> S</w:t>
      </w:r>
      <w:r w:rsidRPr="00331D52">
        <w:t>wing bed encounters should not be included in episode-based hospital - inpatient eCQMs. Therefore, implementers must work with their electronic health record (EHR) vendors to remove swing bed encounters from measure</w:t>
      </w:r>
      <w:r w:rsidR="006E4951">
        <w:t xml:space="preserve"> calculation</w:t>
      </w:r>
      <w:r w:rsidRPr="00331D52">
        <w:t>.</w:t>
      </w:r>
    </w:p>
  </w:footnote>
  <w:footnote w:id="4">
    <w:p w14:paraId="0000039F" w14:textId="046D13F1" w:rsidR="00D67C8C" w:rsidRPr="005B5EB6" w:rsidRDefault="00C80A11" w:rsidP="005B5EB6">
      <w:pPr>
        <w:pStyle w:val="FootnoteText"/>
      </w:pPr>
      <w:r w:rsidRPr="005B5EB6">
        <w:rPr>
          <w:rStyle w:val="FootnoteReference"/>
        </w:rPr>
        <w:footnoteRef/>
      </w:r>
      <w:r w:rsidRPr="005B5EB6">
        <w:t xml:space="preserve"> </w:t>
      </w:r>
      <w:r w:rsidR="00AD34A3" w:rsidRPr="005B5EB6">
        <w:t>Most d</w:t>
      </w:r>
      <w:r w:rsidRPr="005B5EB6">
        <w:t>efinitions</w:t>
      </w:r>
      <w:r w:rsidR="002266A4" w:rsidRPr="005B5EB6">
        <w:t xml:space="preserve"> are</w:t>
      </w:r>
      <w:r w:rsidR="00AD34A3" w:rsidRPr="005B5EB6">
        <w:t xml:space="preserve"> also</w:t>
      </w:r>
      <w:r w:rsidRPr="005B5EB6">
        <w:t xml:space="preserve"> available at the </w:t>
      </w:r>
      <w:hyperlink r:id="rId1">
        <w:r w:rsidRPr="005B5EB6">
          <w:rPr>
            <w:color w:val="0563C1"/>
            <w:u w:val="single"/>
          </w:rPr>
          <w:t>eCQI Resource Center Glossary</w:t>
        </w:r>
      </w:hyperlink>
      <w:r w:rsidRPr="005B5EB6">
        <w:t xml:space="preserve">. Note, these definitions are not eCQM-specific. </w:t>
      </w:r>
      <w:r w:rsidR="00E96572" w:rsidRPr="005B5EB6">
        <w:t xml:space="preserve">For more information on how to calculate quality measures, please refer to the MMS Hub Measure Calculations guide, saved as a supplemental material on the </w:t>
      </w:r>
      <w:hyperlink r:id="rId2" w:history="1">
        <w:r w:rsidR="00E96572" w:rsidRPr="005B5EB6">
          <w:rPr>
            <w:rStyle w:val="Hyperlink"/>
          </w:rPr>
          <w:t>MMS Resources and Templates</w:t>
        </w:r>
      </w:hyperlink>
      <w:r w:rsidR="00E96572" w:rsidRPr="005B5EB6">
        <w:t xml:space="preserve"> page.</w:t>
      </w:r>
    </w:p>
  </w:footnote>
  <w:footnote w:id="5">
    <w:p w14:paraId="583CC823" w14:textId="20BC7EC4" w:rsidR="00F53380" w:rsidRDefault="00F53380">
      <w:pPr>
        <w:pStyle w:val="FootnoteText"/>
      </w:pPr>
      <w:r w:rsidRPr="00F53380">
        <w:rPr>
          <w:rStyle w:val="FootnoteReference"/>
        </w:rPr>
        <w:footnoteRef/>
      </w:r>
      <w:r>
        <w:t xml:space="preserve"> </w:t>
      </w:r>
      <w:r w:rsidRPr="00F53380">
        <w:rPr>
          <w:color w:val="000000"/>
          <w:szCs w:val="18"/>
        </w:rPr>
        <w:t xml:space="preserve">Most definitions </w:t>
      </w:r>
      <w:r w:rsidR="007F60F1">
        <w:rPr>
          <w:color w:val="000000"/>
          <w:szCs w:val="18"/>
        </w:rPr>
        <w:t xml:space="preserve">are </w:t>
      </w:r>
      <w:r w:rsidRPr="00F53380">
        <w:rPr>
          <w:color w:val="000000"/>
          <w:szCs w:val="18"/>
        </w:rPr>
        <w:t xml:space="preserve">also available at the </w:t>
      </w:r>
      <w:hyperlink r:id="rId3">
        <w:r w:rsidRPr="00F53380">
          <w:rPr>
            <w:color w:val="0563C1"/>
            <w:szCs w:val="18"/>
            <w:u w:val="single"/>
          </w:rPr>
          <w:t>eCQI Resource Center Glossary</w:t>
        </w:r>
      </w:hyperlink>
      <w:r w:rsidRPr="00F53380">
        <w:rPr>
          <w:color w:val="000000"/>
          <w:szCs w:val="18"/>
        </w:rPr>
        <w:t>. Note, these</w:t>
      </w:r>
      <w:r w:rsidRPr="00E96572">
        <w:rPr>
          <w:color w:val="000000"/>
          <w:szCs w:val="18"/>
        </w:rPr>
        <w:t xml:space="preserve"> definitions are not eCQM</w:t>
      </w:r>
      <w:r w:rsidR="007F60F1" w:rsidRPr="00E96572">
        <w:rPr>
          <w:color w:val="000000"/>
          <w:szCs w:val="18"/>
        </w:rPr>
        <w:t xml:space="preserve"> </w:t>
      </w:r>
      <w:r w:rsidRPr="00E96572">
        <w:rPr>
          <w:color w:val="000000"/>
          <w:szCs w:val="18"/>
        </w:rPr>
        <w:t>specific. For more information on how to calculate quality measures, please refer to</w:t>
      </w:r>
      <w:r w:rsidR="00E96572" w:rsidRPr="00E96572">
        <w:rPr>
          <w:color w:val="000000"/>
          <w:szCs w:val="18"/>
        </w:rPr>
        <w:t xml:space="preserve"> the</w:t>
      </w:r>
      <w:r w:rsidRPr="00E96572">
        <w:rPr>
          <w:color w:val="000000"/>
          <w:szCs w:val="18"/>
        </w:rPr>
        <w:t xml:space="preserve"> </w:t>
      </w:r>
      <w:r w:rsidR="00E96572" w:rsidRPr="00E96572">
        <w:t xml:space="preserve">MMS Hub Measure Calculations guide, saved as a supplemental material on the </w:t>
      </w:r>
      <w:hyperlink r:id="rId4" w:history="1">
        <w:r w:rsidR="00E96572" w:rsidRPr="00E96572">
          <w:rPr>
            <w:rStyle w:val="Hyperlink"/>
          </w:rPr>
          <w:t>MMS Resources and Templates</w:t>
        </w:r>
      </w:hyperlink>
      <w:r w:rsidR="00E96572" w:rsidRPr="00E96572">
        <w:t xml:space="preserve"> page</w:t>
      </w:r>
      <w:r w:rsidRPr="00E96572">
        <w:rPr>
          <w:color w:val="000000"/>
          <w:szCs w:val="18"/>
        </w:rPr>
        <w:t>.</w:t>
      </w:r>
    </w:p>
  </w:footnote>
  <w:footnote w:id="6">
    <w:p w14:paraId="000003A0" w14:textId="0A696C9A" w:rsidR="00D67C8C" w:rsidRDefault="00C80A11" w:rsidP="005B5EB6">
      <w:pPr>
        <w:pStyle w:val="FootnoteText"/>
      </w:pPr>
      <w:r>
        <w:rPr>
          <w:rStyle w:val="FootnoteReference"/>
        </w:rPr>
        <w:footnoteRef/>
      </w:r>
      <w:r>
        <w:t xml:space="preserve"> </w:t>
      </w:r>
      <w:r w:rsidR="00CE7594">
        <w:t>The committee</w:t>
      </w:r>
      <w:r>
        <w:t xml:space="preserve"> made these recommendations in 2012 and 2015 using program information and language current at the time</w:t>
      </w:r>
      <w:r w:rsidR="00DE0711">
        <w:t>,</w:t>
      </w:r>
      <w:r>
        <w:t xml:space="preserve"> and</w:t>
      </w:r>
      <w:r w:rsidR="00DE0711">
        <w:t xml:space="preserve"> the recommendations</w:t>
      </w:r>
      <w:r>
        <w:t xml:space="preserve"> are consistent with the </w:t>
      </w:r>
      <w:hyperlink r:id="rId5">
        <w:r>
          <w:rPr>
            <w:color w:val="0563C1"/>
            <w:u w:val="single"/>
          </w:rPr>
          <w:t>Interoperability Standards Advisory</w:t>
        </w:r>
      </w:hyperlink>
      <w:hyperlink r:id="rId6">
        <w:r>
          <w:rPr>
            <w:color w:val="0563C1"/>
          </w:rPr>
          <w:t>.</w:t>
        </w:r>
      </w:hyperlink>
    </w:p>
  </w:footnote>
  <w:footnote w:id="7">
    <w:p w14:paraId="200995F8" w14:textId="0EF8C483" w:rsidR="005806F8" w:rsidRDefault="005806F8">
      <w:pPr>
        <w:pStyle w:val="FootnoteText"/>
      </w:pPr>
      <w:r>
        <w:rPr>
          <w:rStyle w:val="FootnoteReference"/>
        </w:rPr>
        <w:footnoteRef/>
      </w:r>
      <w:r>
        <w:t xml:space="preserve"> From </w:t>
      </w:r>
      <w:hyperlink r:id="rId7" w:history="1">
        <w:r w:rsidRPr="005806F8">
          <w:rPr>
            <w:rStyle w:val="Hyperlink"/>
          </w:rPr>
          <w:t>2026 CMS QRDA HQR IG</w:t>
        </w:r>
      </w:hyperlink>
      <w:r>
        <w:t xml:space="preserve"> (</w:t>
      </w:r>
      <w:r w:rsidRPr="005806F8">
        <w:t>https://ecqi.healthit.gov/sites/default/files/QRDA-HQR-2026-v1.pdf</w:t>
      </w:r>
      <w:r>
        <w:t>).</w:t>
      </w:r>
    </w:p>
  </w:footnote>
  <w:footnote w:id="8">
    <w:p w14:paraId="000003A1" w14:textId="1AA29E40" w:rsidR="00D67C8C" w:rsidRPr="005B5EB6" w:rsidRDefault="00C80A11" w:rsidP="005B5EB6">
      <w:pPr>
        <w:pStyle w:val="FootnoteText"/>
      </w:pPr>
      <w:r w:rsidRPr="008641AC">
        <w:rPr>
          <w:rStyle w:val="FootnoteReference"/>
        </w:rPr>
        <w:footnoteRef/>
      </w:r>
      <w:r w:rsidRPr="005B5EB6">
        <w:t xml:space="preserve"> For additional information, go to </w:t>
      </w:r>
      <w:hyperlink r:id="rId8">
        <w:r w:rsidRPr="005B5EB6">
          <w:rPr>
            <w:rStyle w:val="Hyperlink"/>
          </w:rPr>
          <w:t>QDM v5.6</w:t>
        </w:r>
      </w:hyperlink>
      <w:r w:rsidRPr="005B5EB6">
        <w:t>.</w:t>
      </w:r>
    </w:p>
  </w:footnote>
  <w:footnote w:id="9">
    <w:p w14:paraId="63DD41BA" w14:textId="1C32BAF6" w:rsidR="00E3361F" w:rsidRDefault="00E3361F">
      <w:pPr>
        <w:pStyle w:val="FootnoteText"/>
      </w:pPr>
      <w:r>
        <w:rPr>
          <w:rStyle w:val="FootnoteReference"/>
        </w:rPr>
        <w:footnoteRef/>
      </w:r>
      <w:r>
        <w:t xml:space="preserve"> For more detail on time interval calculations, please reference Appendix H of the CQL Specification: </w:t>
      </w:r>
      <w:r w:rsidRPr="00E3361F">
        <w:t>https://cql.hl7.org/15-h-timeintervalcalculations.html</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793600" w14:textId="2CF396C7" w:rsidR="00872F37" w:rsidRDefault="00000000">
    <w:pPr>
      <w:pStyle w:val="Header"/>
    </w:pPr>
    <w:r>
      <w:rPr>
        <w:noProof/>
      </w:rPr>
      <w:pict w14:anchorId="6B8A1FD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127610" o:spid="_x0000_s1065" type="#_x0000_t136" style="position:absolute;margin-left:0;margin-top:0;width:412.4pt;height:247.45pt;rotation:315;z-index:-251655168;mso-position-horizontal:center;mso-position-horizontal-relative:margin;mso-position-vertical:center;mso-position-vertical-relative:margin" o:allowincell="f" fillcolor="#a5a5a5 [2092]" stroked="f">
          <v:textpath style="font-family:&quot;Segoe UI&quot;;font-size:1pt" string="DRAFT"/>
          <w10:wrap anchorx="margin" anchory="margin"/>
        </v:shape>
      </w:pic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E6E69B" w14:textId="4A6A10BF" w:rsidR="00652087" w:rsidRDefault="00000000" w:rsidP="002A3E6E">
    <w:pPr>
      <w:pStyle w:val="Header"/>
    </w:pPr>
    <w:r>
      <w:rPr>
        <w:noProof/>
      </w:rPr>
      <w:pict w14:anchorId="570DE07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127619" o:spid="_x0000_s1074" type="#_x0000_t136" style="position:absolute;margin-left:0;margin-top:0;width:412.4pt;height:247.45pt;rotation:315;z-index:-251636736;mso-position-horizontal:center;mso-position-horizontal-relative:margin;mso-position-vertical:center;mso-position-vertical-relative:margin" o:allowincell="f" fillcolor="#a5a5a5 [2092]" stroked="f">
          <v:textpath style="font-family:&quot;Segoe UI&quot;;font-size:1pt" string="DRAFT"/>
          <w10:wrap anchorx="margin" anchory="margin"/>
        </v:shape>
      </w:pic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9C13FC" w14:textId="6B59FF8D" w:rsidR="00B42D27" w:rsidRPr="002A3E6E" w:rsidRDefault="00000000" w:rsidP="00B42D27">
    <w:pPr>
      <w:pStyle w:val="Header"/>
    </w:pPr>
    <w:r>
      <w:rPr>
        <w:noProof/>
      </w:rPr>
      <w:pict w14:anchorId="1CF7D95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127620" o:spid="_x0000_s1075" type="#_x0000_t136" style="position:absolute;margin-left:0;margin-top:0;width:412.4pt;height:247.45pt;rotation:315;z-index:-251634688;mso-position-horizontal:center;mso-position-horizontal-relative:margin;mso-position-vertical:center;mso-position-vertical-relative:margin" o:allowincell="f" fillcolor="#a5a5a5 [2092]" stroked="f">
          <v:textpath style="font-family:&quot;Segoe UI&quot;;font-size:1pt" string="DRAFT"/>
          <w10:wrap anchorx="margin" anchory="margin"/>
        </v:shape>
      </w:pict>
    </w:r>
    <w:r w:rsidR="00B42D27" w:rsidRPr="002A3E6E">
      <w:t>Centers for Medicare &amp; Medicaid Services</w:t>
    </w:r>
    <w:r w:rsidR="00B42D27">
      <w:tab/>
      <w:t>1. Introduction</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6BFD8F" w14:textId="47F7CF31" w:rsidR="00B42D27" w:rsidRPr="002A3E6E" w:rsidRDefault="00000000" w:rsidP="00B42D27">
    <w:pPr>
      <w:pStyle w:val="Header"/>
    </w:pPr>
    <w:r>
      <w:rPr>
        <w:noProof/>
      </w:rPr>
      <w:pict w14:anchorId="398F428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127618" o:spid="_x0000_s1073" type="#_x0000_t136" style="position:absolute;margin-left:0;margin-top:0;width:412.4pt;height:247.45pt;rotation:315;z-index:-251638784;mso-position-horizontal:center;mso-position-horizontal-relative:margin;mso-position-vertical:center;mso-position-vertical-relative:margin" o:allowincell="f" fillcolor="#a5a5a5 [2092]" stroked="f">
          <v:textpath style="font-family:&quot;Segoe UI&quot;;font-size:1pt" string="DRAFT"/>
          <w10:wrap anchorx="margin" anchory="margin"/>
        </v:shape>
      </w:pict>
    </w:r>
    <w:r w:rsidR="00B42D27" w:rsidRPr="002A3E6E">
      <w:t>Centers for Medicare &amp; Medicaid Services</w:t>
    </w:r>
    <w:r w:rsidR="00B42D27">
      <w:tab/>
      <w:t>1. Introduction</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59D880" w14:textId="75D24346" w:rsidR="00652087" w:rsidRDefault="00000000" w:rsidP="002A3E6E">
    <w:pPr>
      <w:pStyle w:val="Header"/>
    </w:pPr>
    <w:r>
      <w:rPr>
        <w:noProof/>
      </w:rPr>
      <w:pict w14:anchorId="58BD6B8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127622" o:spid="_x0000_s1077" type="#_x0000_t136" style="position:absolute;margin-left:0;margin-top:0;width:412.4pt;height:247.45pt;rotation:315;z-index:-251630592;mso-position-horizontal:center;mso-position-horizontal-relative:margin;mso-position-vertical:center;mso-position-vertical-relative:margin" o:allowincell="f" fillcolor="#a5a5a5 [2092]" stroked="f">
          <v:textpath style="font-family:&quot;Segoe UI&quot;;font-size:1pt" string="DRAFT"/>
          <w10:wrap anchorx="margin" anchory="margin"/>
        </v:shape>
      </w:pic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4B44DB" w14:textId="5E334B8C" w:rsidR="00B42D27" w:rsidRPr="00B42D27" w:rsidRDefault="00000000" w:rsidP="00B42D27">
    <w:pPr>
      <w:pStyle w:val="Header"/>
    </w:pPr>
    <w:r>
      <w:rPr>
        <w:noProof/>
      </w:rPr>
      <w:pict w14:anchorId="45796C0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127623" o:spid="_x0000_s1078" type="#_x0000_t136" style="position:absolute;margin-left:0;margin-top:0;width:412.4pt;height:247.45pt;rotation:315;z-index:-251628544;mso-position-horizontal:center;mso-position-horizontal-relative:margin;mso-position-vertical:center;mso-position-vertical-relative:margin" o:allowincell="f" fillcolor="#a5a5a5 [2092]" stroked="f">
          <v:textpath style="font-family:&quot;Segoe UI&quot;;font-size:1pt" string="DRAFT"/>
          <w10:wrap anchorx="margin" anchory="margin"/>
        </v:shape>
      </w:pict>
    </w:r>
    <w:r w:rsidR="00B42D27" w:rsidRPr="002A3E6E">
      <w:t>Centers for Medicare &amp; Medicaid Services</w:t>
    </w:r>
    <w:r w:rsidR="00B42D27">
      <w:tab/>
      <w:t>2. Clinical Quality Language Measure Logic</w: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AC" w14:textId="52AF7577" w:rsidR="00D67C8C" w:rsidRPr="00B42D27" w:rsidRDefault="00000000" w:rsidP="00B42D27">
    <w:pPr>
      <w:pStyle w:val="Header"/>
    </w:pPr>
    <w:r>
      <w:rPr>
        <w:noProof/>
      </w:rPr>
      <w:pict w14:anchorId="0483E33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127621" o:spid="_x0000_s1076" type="#_x0000_t136" style="position:absolute;margin-left:0;margin-top:0;width:412.4pt;height:247.45pt;rotation:315;z-index:-251632640;mso-position-horizontal:center;mso-position-horizontal-relative:margin;mso-position-vertical:center;mso-position-vertical-relative:margin" o:allowincell="f" fillcolor="#a5a5a5 [2092]" stroked="f">
          <v:textpath style="font-family:&quot;Segoe UI&quot;;font-size:1pt" string="DRAFT"/>
          <w10:wrap anchorx="margin" anchory="margin"/>
        </v:shape>
      </w:pict>
    </w:r>
    <w:r w:rsidR="00B42D27" w:rsidRPr="002A3E6E">
      <w:t>Centers for Medicare &amp; Medicaid Services</w:t>
    </w:r>
    <w:r w:rsidR="00B42D27">
      <w:tab/>
      <w:t>2. Clinical Quality Language Measure Logic</w:t>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AD" w14:textId="752DB2F5" w:rsidR="00D67C8C" w:rsidRPr="00871419" w:rsidRDefault="00000000" w:rsidP="00871419">
    <w:pPr>
      <w:pBdr>
        <w:top w:val="nil"/>
        <w:left w:val="nil"/>
        <w:bottom w:val="nil"/>
        <w:right w:val="nil"/>
        <w:between w:val="nil"/>
      </w:pBdr>
      <w:tabs>
        <w:tab w:val="center" w:pos="4320"/>
      </w:tabs>
      <w:spacing w:after="0"/>
      <w:jc w:val="center"/>
      <w:rPr>
        <w:rFonts w:ascii="Times New Roman" w:eastAsia="Arial" w:hAnsi="Times New Roman"/>
      </w:rPr>
    </w:pPr>
    <w:r>
      <w:rPr>
        <w:noProof/>
      </w:rPr>
      <w:pict w14:anchorId="24448EF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127625" o:spid="_x0000_s1080" type="#_x0000_t136" style="position:absolute;left:0;text-align:left;margin-left:0;margin-top:0;width:412.4pt;height:247.45pt;rotation:315;z-index:-251624448;mso-position-horizontal:center;mso-position-horizontal-relative:margin;mso-position-vertical:center;mso-position-vertical-relative:margin" o:allowincell="f" fillcolor="#a5a5a5 [2092]" stroked="f">
          <v:textpath style="font-family:&quot;Segoe UI&quot;;font-size:1pt" string="DRAFT"/>
          <w10:wrap anchorx="margin" anchory="margin"/>
        </v:shape>
      </w:pic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1A1C55" w14:textId="39DBEBF8" w:rsidR="00B42D27" w:rsidRPr="00B42D27" w:rsidRDefault="00000000" w:rsidP="00B42D27">
    <w:pPr>
      <w:pStyle w:val="Header"/>
    </w:pPr>
    <w:r>
      <w:rPr>
        <w:noProof/>
      </w:rPr>
      <w:pict w14:anchorId="7B7E5DA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127626" o:spid="_x0000_s1081" type="#_x0000_t136" style="position:absolute;margin-left:0;margin-top:0;width:412.4pt;height:247.45pt;rotation:315;z-index:-251622400;mso-position-horizontal:center;mso-position-horizontal-relative:margin;mso-position-vertical:center;mso-position-vertical-relative:margin" o:allowincell="f" fillcolor="#a5a5a5 [2092]" stroked="f">
          <v:textpath style="font-family:&quot;Segoe UI&quot;;font-size:1pt" string="DRAFT"/>
          <w10:wrap anchorx="margin" anchory="margin"/>
        </v:shape>
      </w:pict>
    </w:r>
    <w:r w:rsidR="00B42D27" w:rsidRPr="002A3E6E">
      <w:t>Centers for Medicare &amp; Medicaid Services</w:t>
    </w:r>
    <w:r w:rsidR="00B42D27">
      <w:tab/>
      <w:t>3. Data Elements and Value Sets</w:t>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AF" w14:textId="77C23341" w:rsidR="00D67C8C" w:rsidRPr="005E64B8" w:rsidRDefault="00000000" w:rsidP="005E64B8">
    <w:pPr>
      <w:pBdr>
        <w:top w:val="nil"/>
        <w:left w:val="nil"/>
        <w:bottom w:val="single" w:sz="4" w:space="1" w:color="000000"/>
        <w:right w:val="nil"/>
        <w:between w:val="nil"/>
      </w:pBdr>
      <w:tabs>
        <w:tab w:val="right" w:pos="9360"/>
      </w:tabs>
      <w:spacing w:after="240"/>
      <w:rPr>
        <w:rFonts w:ascii="Arial Narrow" w:eastAsia="Arial Narrow" w:hAnsi="Arial Narrow"/>
        <w:color w:val="000000"/>
        <w:sz w:val="22"/>
      </w:rPr>
    </w:pPr>
    <w:r>
      <w:rPr>
        <w:noProof/>
      </w:rPr>
      <w:pict w14:anchorId="7033369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127624" o:spid="_x0000_s1079" type="#_x0000_t136" style="position:absolute;margin-left:0;margin-top:0;width:412.4pt;height:247.45pt;rotation:315;z-index:-251626496;mso-position-horizontal:center;mso-position-horizontal-relative:margin;mso-position-vertical:center;mso-position-vertical-relative:margin" o:allowincell="f" fillcolor="#a5a5a5 [2092]" stroked="f">
          <v:textpath style="font-family:&quot;Segoe UI&quot;;font-size:1pt" string="DRAFT"/>
          <w10:wrap anchorx="margin" anchory="margin"/>
        </v:shape>
      </w:pict>
    </w:r>
    <w:r w:rsidR="00C80A11" w:rsidRPr="005E64B8">
      <w:rPr>
        <w:rFonts w:ascii="Arial Narrow" w:eastAsia="Arial Narrow" w:hAnsi="Arial Narrow"/>
        <w:color w:val="000000"/>
        <w:sz w:val="18"/>
      </w:rPr>
      <w:t xml:space="preserve">Centers for Medicare &amp; Medicaid Services </w:t>
    </w:r>
    <w:r w:rsidR="00C80A11" w:rsidRPr="005E64B8">
      <w:rPr>
        <w:rFonts w:ascii="Arial Narrow" w:eastAsia="Arial Narrow" w:hAnsi="Arial Narrow"/>
        <w:color w:val="000000"/>
        <w:sz w:val="22"/>
      </w:rPr>
      <w:tab/>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B1" w14:textId="30A209AD" w:rsidR="00D67C8C" w:rsidRDefault="00000000">
    <w:r>
      <w:rPr>
        <w:noProof/>
      </w:rPr>
      <w:pict w14:anchorId="716AFE1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127628" o:spid="_x0000_s1083" type="#_x0000_t136" style="position:absolute;margin-left:0;margin-top:0;width:412.4pt;height:247.45pt;rotation:315;z-index:-251618304;mso-position-horizontal:center;mso-position-horizontal-relative:margin;mso-position-vertical:center;mso-position-vertical-relative:margin" o:allowincell="f" fillcolor="#a5a5a5 [2092]" stroked="f">
          <v:textpath style="font-family:&quot;Segoe UI&quot;;font-size:1pt" string="DRAFT"/>
          <w10:wrap anchorx="margin" anchory="margin"/>
        </v:shape>
      </w:pict>
    </w:r>
  </w:p>
  <w:p w14:paraId="000003B2" w14:textId="77777777" w:rsidR="00D67C8C" w:rsidRDefault="00D67C8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AB1DC2" w14:textId="1E69E9AA" w:rsidR="00B42D27" w:rsidRPr="002A3E6E" w:rsidRDefault="00000000" w:rsidP="00B42D27">
    <w:pPr>
      <w:pStyle w:val="Header"/>
    </w:pPr>
    <w:r>
      <w:rPr>
        <w:noProof/>
      </w:rPr>
      <w:pict w14:anchorId="2F2E4DC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127611" o:spid="_x0000_s1066" type="#_x0000_t136" style="position:absolute;margin-left:0;margin-top:0;width:412.4pt;height:247.45pt;rotation:315;z-index:-251653120;mso-position-horizontal:center;mso-position-horizontal-relative:margin;mso-position-vertical:center;mso-position-vertical-relative:margin" o:allowincell="f" fillcolor="#a5a5a5 [2092]" stroked="f">
          <v:textpath style="font-family:&quot;Segoe UI&quot;;font-size:1pt" string="DRAFT"/>
          <w10:wrap anchorx="margin" anchory="margin"/>
        </v:shape>
      </w:pict>
    </w:r>
    <w:r w:rsidR="00B42D27" w:rsidRPr="002A3E6E">
      <w:t>Centers for Medicare &amp; Medicaid Services</w:t>
    </w:r>
    <w:r w:rsidR="00B42D27">
      <w:tab/>
      <w:t>Table of Contents</w:t>
    </w: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688FC7" w14:textId="094F71AB" w:rsidR="00B42D27" w:rsidRPr="00B42D27" w:rsidRDefault="00000000" w:rsidP="00B42D27">
    <w:pPr>
      <w:pStyle w:val="Header"/>
    </w:pPr>
    <w:r>
      <w:rPr>
        <w:noProof/>
      </w:rPr>
      <w:pict w14:anchorId="37BA836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127629" o:spid="_x0000_s1084" type="#_x0000_t136" style="position:absolute;margin-left:0;margin-top:0;width:412.4pt;height:247.45pt;rotation:315;z-index:-251616256;mso-position-horizontal:center;mso-position-horizontal-relative:margin;mso-position-vertical:center;mso-position-vertical-relative:margin" o:allowincell="f" fillcolor="#a5a5a5 [2092]" stroked="f">
          <v:textpath style="font-family:&quot;Segoe UI&quot;;font-size:1pt" string="DRAFT"/>
          <w10:wrap anchorx="margin" anchory="margin"/>
        </v:shape>
      </w:pict>
    </w:r>
    <w:r w:rsidR="00B42D27" w:rsidRPr="002A3E6E">
      <w:t>Centers for Medicare &amp; Medicaid Services</w:t>
    </w:r>
    <w:r w:rsidR="00B42D27">
      <w:tab/>
      <w:t>5. ASTP/ONC Project Tracking System (Jira)</w:t>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10AA4D" w14:textId="0519D53E" w:rsidR="00B42D27" w:rsidRPr="00B42D27" w:rsidRDefault="00000000" w:rsidP="00B42D27">
    <w:pPr>
      <w:pStyle w:val="Header"/>
    </w:pPr>
    <w:r>
      <w:rPr>
        <w:noProof/>
      </w:rPr>
      <w:pict w14:anchorId="1B46C5A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127627" o:spid="_x0000_s1082" type="#_x0000_t136" style="position:absolute;margin-left:0;margin-top:0;width:412.4pt;height:247.45pt;rotation:315;z-index:-251620352;mso-position-horizontal:center;mso-position-horizontal-relative:margin;mso-position-vertical:center;mso-position-vertical-relative:margin" o:allowincell="f" fillcolor="#a5a5a5 [2092]" stroked="f">
          <v:textpath style="font-family:&quot;Segoe UI&quot;;font-size:1pt" string="DRAFT"/>
          <w10:wrap anchorx="margin" anchory="margin"/>
        </v:shape>
      </w:pict>
    </w:r>
    <w:r w:rsidR="00B42D27" w:rsidRPr="002A3E6E">
      <w:t>Centers for Medicare &amp; Medicaid Services</w:t>
    </w:r>
    <w:r w:rsidR="00B42D27">
      <w:tab/>
      <w:t>4. eCQM Guidance</w:t>
    </w: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8E806F" w14:textId="42B4B743" w:rsidR="00652087" w:rsidRDefault="00000000" w:rsidP="002A3E6E">
    <w:pPr>
      <w:pStyle w:val="Header"/>
    </w:pPr>
    <w:r>
      <w:rPr>
        <w:noProof/>
      </w:rPr>
      <w:pict w14:anchorId="15679B1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127631" o:spid="_x0000_s1086" type="#_x0000_t136" style="position:absolute;margin-left:0;margin-top:0;width:412.4pt;height:247.45pt;rotation:315;z-index:-251612160;mso-position-horizontal:center;mso-position-horizontal-relative:margin;mso-position-vertical:center;mso-position-vertical-relative:margin" o:allowincell="f" fillcolor="#a5a5a5 [2092]" stroked="f">
          <v:textpath style="font-family:&quot;Segoe UI&quot;;font-size:1pt" string="DRAFT"/>
          <w10:wrap anchorx="margin" anchory="margin"/>
        </v:shape>
      </w:pict>
    </w: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B5" w14:textId="2ABECE64" w:rsidR="00D67C8C" w:rsidRPr="005E64B8" w:rsidRDefault="00000000" w:rsidP="005E64B8">
    <w:pPr>
      <w:pBdr>
        <w:top w:val="nil"/>
        <w:left w:val="nil"/>
        <w:bottom w:val="single" w:sz="4" w:space="1" w:color="000000"/>
        <w:right w:val="nil"/>
        <w:between w:val="nil"/>
      </w:pBdr>
      <w:tabs>
        <w:tab w:val="right" w:pos="9360"/>
      </w:tabs>
      <w:spacing w:after="240"/>
      <w:rPr>
        <w:rFonts w:ascii="Arial Narrow" w:eastAsia="Arial Narrow" w:hAnsi="Arial Narrow"/>
        <w:color w:val="000000"/>
        <w:sz w:val="18"/>
      </w:rPr>
    </w:pPr>
    <w:r>
      <w:rPr>
        <w:noProof/>
      </w:rPr>
      <w:pict w14:anchorId="187710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127632" o:spid="_x0000_s1087" type="#_x0000_t136" style="position:absolute;margin-left:0;margin-top:0;width:412.4pt;height:247.45pt;rotation:315;z-index:-251610112;mso-position-horizontal:center;mso-position-horizontal-relative:margin;mso-position-vertical:center;mso-position-vertical-relative:margin" o:allowincell="f" fillcolor="#a5a5a5 [2092]" stroked="f">
          <v:textpath style="font-family:&quot;Segoe UI&quot;;font-size:1pt" string="DRAFT"/>
          <w10:wrap anchorx="margin" anchory="margin"/>
        </v:shape>
      </w:pict>
    </w:r>
    <w:r w:rsidR="00C80A11" w:rsidRPr="005E64B8">
      <w:rPr>
        <w:rFonts w:ascii="Arial Narrow" w:eastAsia="Arial Narrow" w:hAnsi="Arial Narrow"/>
        <w:color w:val="000000"/>
        <w:sz w:val="18"/>
      </w:rPr>
      <w:t>Centers for Medicare &amp; Medicaid Services / ONC</w:t>
    </w:r>
    <w:r w:rsidR="00C80A11" w:rsidRPr="005E64B8">
      <w:rPr>
        <w:rFonts w:ascii="Arial Narrow" w:eastAsia="Arial Narrow" w:hAnsi="Arial Narrow"/>
        <w:color w:val="000000"/>
        <w:sz w:val="18"/>
      </w:rPr>
      <w:tab/>
    </w: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89E4F0" w14:textId="750A3F4C" w:rsidR="0083653B" w:rsidRPr="00B42D27" w:rsidRDefault="00000000" w:rsidP="0083653B">
    <w:pPr>
      <w:pStyle w:val="Header"/>
    </w:pPr>
    <w:r>
      <w:rPr>
        <w:noProof/>
      </w:rPr>
      <w:pict w14:anchorId="2B7650E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127630" o:spid="_x0000_s1085" type="#_x0000_t136" style="position:absolute;margin-left:0;margin-top:0;width:412.4pt;height:247.45pt;rotation:315;z-index:-251614208;mso-position-horizontal:center;mso-position-horizontal-relative:margin;mso-position-vertical:center;mso-position-vertical-relative:margin" o:allowincell="f" fillcolor="#a5a5a5 [2092]" stroked="f">
          <v:textpath style="font-family:&quot;Segoe UI&quot;;font-size:1pt" string="DRAFT"/>
          <w10:wrap anchorx="margin" anchory="margin"/>
        </v:shape>
      </w:pict>
    </w:r>
    <w:r w:rsidR="0083653B" w:rsidRPr="002A3E6E">
      <w:t>Centers for Medicare &amp; Medicaid Services</w:t>
    </w:r>
    <w:r w:rsidR="0083653B">
      <w:tab/>
      <w:t>6. CMS Quality Program Helpdesks</w:t>
    </w:r>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4849BA" w14:textId="5EC8D2C5" w:rsidR="00652087" w:rsidRDefault="00000000" w:rsidP="002A3E6E">
    <w:pPr>
      <w:pStyle w:val="Header"/>
    </w:pPr>
    <w:r>
      <w:rPr>
        <w:noProof/>
      </w:rPr>
      <w:pict w14:anchorId="117C0B4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127634" o:spid="_x0000_s1089" type="#_x0000_t136" style="position:absolute;margin-left:0;margin-top:0;width:412.4pt;height:247.45pt;rotation:315;z-index:-251606016;mso-position-horizontal:center;mso-position-horizontal-relative:margin;mso-position-vertical:center;mso-position-vertical-relative:margin" o:allowincell="f" fillcolor="#a5a5a5 [2092]" stroked="f">
          <v:textpath style="font-family:&quot;Segoe UI&quot;;font-size:1pt" string="DRAFT"/>
          <w10:wrap anchorx="margin" anchory="margin"/>
        </v:shape>
      </w:pict>
    </w:r>
  </w:p>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BA1AC2" w14:textId="701F6CAC" w:rsidR="0083653B" w:rsidRPr="00B42D27" w:rsidRDefault="00000000" w:rsidP="0083653B">
    <w:pPr>
      <w:pStyle w:val="Header"/>
    </w:pPr>
    <w:r>
      <w:rPr>
        <w:noProof/>
      </w:rPr>
      <w:pict w14:anchorId="2E04258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127635" o:spid="_x0000_s1090" type="#_x0000_t136" style="position:absolute;margin-left:0;margin-top:0;width:412.4pt;height:247.45pt;rotation:315;z-index:-251603968;mso-position-horizontal:center;mso-position-horizontal-relative:margin;mso-position-vertical:center;mso-position-vertical-relative:margin" o:allowincell="f" fillcolor="#a5a5a5 [2092]" stroked="f">
          <v:textpath style="font-family:&quot;Segoe UI&quot;;font-size:1pt" string="DRAFT"/>
          <w10:wrap anchorx="margin" anchory="margin"/>
        </v:shape>
      </w:pict>
    </w:r>
    <w:r w:rsidR="0083653B" w:rsidRPr="002A3E6E">
      <w:t>Centers for Medicare &amp; Medicaid Services</w:t>
    </w:r>
    <w:r w:rsidR="0083653B">
      <w:tab/>
      <w:t>Version History</w:t>
    </w:r>
  </w:p>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82D810" w14:textId="2162CD2E" w:rsidR="0083653B" w:rsidRPr="00B42D27" w:rsidRDefault="00000000" w:rsidP="0083653B">
    <w:pPr>
      <w:pStyle w:val="Header"/>
    </w:pPr>
    <w:r>
      <w:rPr>
        <w:noProof/>
      </w:rPr>
      <w:pict w14:anchorId="1FD74AF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127633" o:spid="_x0000_s1088" type="#_x0000_t136" style="position:absolute;margin-left:0;margin-top:0;width:412.4pt;height:247.45pt;rotation:315;z-index:-251608064;mso-position-horizontal:center;mso-position-horizontal-relative:margin;mso-position-vertical:center;mso-position-vertical-relative:margin" o:allowincell="f" fillcolor="#a5a5a5 [2092]" stroked="f">
          <v:textpath style="font-family:&quot;Segoe UI&quot;;font-size:1pt" string="DRAFT"/>
          <w10:wrap anchorx="margin" anchory="margin"/>
        </v:shape>
      </w:pict>
    </w:r>
    <w:r w:rsidR="0083653B" w:rsidRPr="002A3E6E">
      <w:t>Centers for Medicare &amp; Medicaid Services</w:t>
    </w:r>
    <w:r w:rsidR="0083653B">
      <w:tab/>
      <w:t>Version History</w:t>
    </w:r>
  </w:p>
</w:hdr>
</file>

<file path=word/header2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EA6E05" w14:textId="2852CF4E" w:rsidR="00652087" w:rsidRDefault="00000000" w:rsidP="002A3E6E">
    <w:pPr>
      <w:pStyle w:val="Header"/>
    </w:pPr>
    <w:r>
      <w:rPr>
        <w:noProof/>
      </w:rPr>
      <w:pict w14:anchorId="7AD068D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127637" o:spid="_x0000_s1092" type="#_x0000_t136" style="position:absolute;margin-left:0;margin-top:0;width:412.4pt;height:247.45pt;rotation:315;z-index:-251599872;mso-position-horizontal:center;mso-position-horizontal-relative:margin;mso-position-vertical:center;mso-position-vertical-relative:margin" o:allowincell="f" fillcolor="#a5a5a5 [2092]" stroked="f">
          <v:textpath style="font-family:&quot;Segoe UI&quot;;font-size:1pt" string="DRAFT"/>
          <w10:wrap anchorx="margin" anchory="margin"/>
        </v:shape>
      </w:pict>
    </w:r>
  </w:p>
</w:hdr>
</file>

<file path=word/header2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B9" w14:textId="482F9D47" w:rsidR="00D67C8C" w:rsidRPr="005E64B8" w:rsidRDefault="00000000" w:rsidP="005E64B8">
    <w:pPr>
      <w:pBdr>
        <w:top w:val="nil"/>
        <w:left w:val="nil"/>
        <w:bottom w:val="single" w:sz="4" w:space="1" w:color="000000"/>
        <w:right w:val="nil"/>
        <w:between w:val="nil"/>
      </w:pBdr>
      <w:tabs>
        <w:tab w:val="right" w:pos="9360"/>
      </w:tabs>
      <w:spacing w:after="240"/>
      <w:rPr>
        <w:rFonts w:ascii="Arial Narrow" w:eastAsia="Arial Narrow" w:hAnsi="Arial Narrow"/>
        <w:color w:val="000000"/>
        <w:sz w:val="18"/>
      </w:rPr>
    </w:pPr>
    <w:r>
      <w:rPr>
        <w:noProof/>
      </w:rPr>
      <w:pict w14:anchorId="286F12C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127638" o:spid="_x0000_s1093" type="#_x0000_t136" style="position:absolute;margin-left:0;margin-top:0;width:412.4pt;height:247.45pt;rotation:315;z-index:-251597824;mso-position-horizontal:center;mso-position-horizontal-relative:margin;mso-position-vertical:center;mso-position-vertical-relative:margin" o:allowincell="f" fillcolor="#a5a5a5 [2092]" stroked="f">
          <v:textpath style="font-family:&quot;Segoe UI&quot;;font-size:1pt" string="DRAFT"/>
          <w10:wrap anchorx="margin" anchory="margin"/>
        </v:shape>
      </w:pict>
    </w:r>
    <w:r w:rsidR="00C80A11" w:rsidRPr="005E64B8">
      <w:rPr>
        <w:rFonts w:ascii="Arial Narrow" w:eastAsia="Arial Narrow" w:hAnsi="Arial Narrow"/>
        <w:color w:val="000000"/>
        <w:sz w:val="18"/>
      </w:rPr>
      <w:t xml:space="preserve">Centers for Medicare &amp; Medicaid Services </w:t>
    </w:r>
    <w:r w:rsidR="00C80A11" w:rsidRPr="005E64B8">
      <w:rPr>
        <w:rFonts w:ascii="Arial Narrow" w:eastAsia="Arial Narrow" w:hAnsi="Arial Narrow"/>
        <w:color w:val="000000"/>
        <w:sz w:val="18"/>
      </w:rPr>
      <w:tab/>
      <w:t>Standards and Code Systems</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39C727" w14:textId="6025EC44" w:rsidR="00872F37" w:rsidRDefault="00000000" w:rsidP="00872F37">
    <w:pPr>
      <w:pStyle w:val="Header"/>
      <w:pBdr>
        <w:top w:val="none" w:sz="0" w:space="0" w:color="auto"/>
        <w:left w:val="none" w:sz="0" w:space="0" w:color="auto"/>
        <w:bottom w:val="none" w:sz="0" w:space="0" w:color="auto"/>
        <w:right w:val="none" w:sz="0" w:space="0" w:color="auto"/>
        <w:between w:val="none" w:sz="0" w:space="0" w:color="auto"/>
      </w:pBdr>
    </w:pPr>
    <w:r>
      <w:rPr>
        <w:noProof/>
      </w:rPr>
      <w:pict w14:anchorId="60DED88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127609" o:spid="_x0000_s1064" type="#_x0000_t136" style="position:absolute;margin-left:0;margin-top:0;width:412.4pt;height:247.45pt;rotation:315;z-index:-251657216;mso-position-horizontal:center;mso-position-horizontal-relative:margin;mso-position-vertical:center;mso-position-vertical-relative:margin" o:allowincell="f" fillcolor="#a5a5a5 [2092]" stroked="f">
          <v:textpath style="font-family:&quot;Segoe UI&quot;;font-size:1pt" string="DRAFT"/>
          <w10:wrap anchorx="margin" anchory="margin"/>
        </v:shape>
      </w:pict>
    </w:r>
  </w:p>
</w:hdr>
</file>

<file path=word/header3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E69D93" w14:textId="1AD0DD85" w:rsidR="0083653B" w:rsidRPr="00B42D27" w:rsidRDefault="00000000" w:rsidP="0083653B">
    <w:pPr>
      <w:pStyle w:val="Header"/>
    </w:pPr>
    <w:r>
      <w:rPr>
        <w:noProof/>
      </w:rPr>
      <w:pict w14:anchorId="11879E4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127636" o:spid="_x0000_s1091" type="#_x0000_t136" style="position:absolute;margin-left:0;margin-top:0;width:412.4pt;height:247.45pt;rotation:315;z-index:-251601920;mso-position-horizontal:center;mso-position-horizontal-relative:margin;mso-position-vertical:center;mso-position-vertical-relative:margin" o:allowincell="f" fillcolor="#a5a5a5 [2092]" stroked="f">
          <v:textpath style="font-family:&quot;Segoe UI&quot;;font-size:1pt" string="DRAFT"/>
          <w10:wrap anchorx="margin" anchory="margin"/>
        </v:shape>
      </w:pict>
    </w:r>
    <w:r w:rsidR="0083653B" w:rsidRPr="002A3E6E">
      <w:t>Centers for Medicare &amp; Medicaid Services</w:t>
    </w:r>
    <w:r w:rsidR="0083653B">
      <w:tab/>
      <w:t>Appendix A. Standards and Code Systems</w:t>
    </w:r>
  </w:p>
</w:hdr>
</file>

<file path=word/header3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2E907A" w14:textId="67B20DDE" w:rsidR="00652087" w:rsidRDefault="00000000" w:rsidP="002A3E6E">
    <w:pPr>
      <w:pStyle w:val="Header"/>
    </w:pPr>
    <w:r>
      <w:rPr>
        <w:noProof/>
      </w:rPr>
      <w:pict w14:anchorId="0643878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127640" o:spid="_x0000_s1095" type="#_x0000_t136" style="position:absolute;margin-left:0;margin-top:0;width:412.4pt;height:247.45pt;rotation:315;z-index:-251593728;mso-position-horizontal:center;mso-position-horizontal-relative:margin;mso-position-vertical:center;mso-position-vertical-relative:margin" o:allowincell="f" fillcolor="#a5a5a5 [2092]" stroked="f">
          <v:textpath style="font-family:&quot;Segoe UI&quot;;font-size:1pt" string="DRAFT"/>
          <w10:wrap anchorx="margin" anchory="margin"/>
        </v:shape>
      </w:pict>
    </w:r>
  </w:p>
</w:hdr>
</file>

<file path=word/header3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BB" w14:textId="545CAFA9" w:rsidR="00D67C8C" w:rsidRPr="005E64B8" w:rsidRDefault="00000000" w:rsidP="005E64B8">
    <w:pPr>
      <w:pBdr>
        <w:top w:val="nil"/>
        <w:left w:val="nil"/>
        <w:bottom w:val="single" w:sz="4" w:space="1" w:color="000000"/>
        <w:right w:val="nil"/>
        <w:between w:val="nil"/>
      </w:pBdr>
      <w:tabs>
        <w:tab w:val="right" w:pos="9360"/>
      </w:tabs>
      <w:spacing w:after="240"/>
      <w:rPr>
        <w:rFonts w:ascii="Arial Narrow" w:eastAsia="Arial Narrow" w:hAnsi="Arial Narrow"/>
        <w:color w:val="000000"/>
        <w:sz w:val="18"/>
      </w:rPr>
    </w:pPr>
    <w:r>
      <w:rPr>
        <w:noProof/>
      </w:rPr>
      <w:pict w14:anchorId="3733AC1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127641" o:spid="_x0000_s1096" type="#_x0000_t136" style="position:absolute;margin-left:0;margin-top:0;width:412.4pt;height:247.45pt;rotation:315;z-index:-251591680;mso-position-horizontal:center;mso-position-horizontal-relative:margin;mso-position-vertical:center;mso-position-vertical-relative:margin" o:allowincell="f" fillcolor="#a5a5a5 [2092]" stroked="f">
          <v:textpath style="font-family:&quot;Segoe UI&quot;;font-size:1pt" string="DRAFT"/>
          <w10:wrap anchorx="margin" anchory="margin"/>
        </v:shape>
      </w:pict>
    </w:r>
    <w:r w:rsidR="00C80A11" w:rsidRPr="005E64B8">
      <w:rPr>
        <w:rFonts w:ascii="Arial Narrow" w:eastAsia="Arial Narrow" w:hAnsi="Arial Narrow"/>
        <w:color w:val="000000"/>
        <w:sz w:val="18"/>
      </w:rPr>
      <w:t>Centers for Medicare &amp; Medicaid Services / ONC</w:t>
    </w:r>
    <w:r w:rsidR="00C80A11" w:rsidRPr="005E64B8">
      <w:rPr>
        <w:rFonts w:ascii="Arial Narrow" w:eastAsia="Arial Narrow" w:hAnsi="Arial Narrow"/>
        <w:color w:val="000000"/>
        <w:sz w:val="18"/>
      </w:rPr>
      <w:tab/>
      <w:t>Time Interval Definitions and Examples</w:t>
    </w:r>
  </w:p>
</w:hdr>
</file>

<file path=word/header3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EF0AEF" w14:textId="0DD000CB" w:rsidR="0083653B" w:rsidRPr="00B42D27" w:rsidRDefault="00000000" w:rsidP="0083653B">
    <w:pPr>
      <w:pStyle w:val="Header"/>
    </w:pPr>
    <w:r>
      <w:rPr>
        <w:noProof/>
      </w:rPr>
      <w:pict w14:anchorId="291B0D0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127639" o:spid="_x0000_s1094" type="#_x0000_t136" style="position:absolute;margin-left:0;margin-top:0;width:412.4pt;height:247.45pt;rotation:315;z-index:-251595776;mso-position-horizontal:center;mso-position-horizontal-relative:margin;mso-position-vertical:center;mso-position-vertical-relative:margin" o:allowincell="f" fillcolor="#a5a5a5 [2092]" stroked="f">
          <v:textpath style="font-family:&quot;Segoe UI&quot;;font-size:1pt" string="DRAFT"/>
          <w10:wrap anchorx="margin" anchory="margin"/>
        </v:shape>
      </w:pict>
    </w:r>
    <w:r w:rsidR="0083653B" w:rsidRPr="002A3E6E">
      <w:t>Centers for Medicare &amp; Medicaid Services</w:t>
    </w:r>
    <w:r w:rsidR="0083653B">
      <w:tab/>
      <w:t>Appendix B. Time Interval Definitions and Examples</w:t>
    </w:r>
  </w:p>
</w:hdr>
</file>

<file path=word/header3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BBDEA6" w14:textId="41C1E469" w:rsidR="00652087" w:rsidRDefault="00000000" w:rsidP="002A3E6E">
    <w:pPr>
      <w:pStyle w:val="Header"/>
    </w:pPr>
    <w:r>
      <w:rPr>
        <w:noProof/>
      </w:rPr>
      <w:pict w14:anchorId="42E762B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127643" o:spid="_x0000_s1098" type="#_x0000_t136" style="position:absolute;margin-left:0;margin-top:0;width:412.4pt;height:247.45pt;rotation:315;z-index:-251587584;mso-position-horizontal:center;mso-position-horizontal-relative:margin;mso-position-vertical:center;mso-position-vertical-relative:margin" o:allowincell="f" fillcolor="#a5a5a5 [2092]" stroked="f">
          <v:textpath style="font-family:&quot;Segoe UI&quot;;font-size:1pt" string="DRAFT"/>
          <w10:wrap anchorx="margin" anchory="margin"/>
        </v:shape>
      </w:pict>
    </w:r>
  </w:p>
</w:hdr>
</file>

<file path=word/header3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D593F5" w14:textId="1FC973DC" w:rsidR="0083653B" w:rsidRPr="00B42D27" w:rsidRDefault="00000000" w:rsidP="0083653B">
    <w:pPr>
      <w:pStyle w:val="Header"/>
    </w:pPr>
    <w:r>
      <w:rPr>
        <w:noProof/>
      </w:rPr>
      <w:pict w14:anchorId="587BC88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127644" o:spid="_x0000_s1099" type="#_x0000_t136" style="position:absolute;margin-left:0;margin-top:0;width:412.4pt;height:247.45pt;rotation:315;z-index:-251585536;mso-position-horizontal:center;mso-position-horizontal-relative:margin;mso-position-vertical:center;mso-position-vertical-relative:margin" o:allowincell="f" fillcolor="#a5a5a5 [2092]" stroked="f">
          <v:textpath style="font-family:&quot;Segoe UI&quot;;font-size:1pt" string="DRAFT"/>
          <w10:wrap anchorx="margin" anchory="margin"/>
        </v:shape>
      </w:pict>
    </w:r>
    <w:r w:rsidR="0083653B" w:rsidRPr="002A3E6E">
      <w:t>Centers for Medicare &amp; Medicaid Services</w:t>
    </w:r>
    <w:r w:rsidR="0083653B">
      <w:tab/>
      <w:t>Appendix B. Time Interval Definitions and Examples</w:t>
    </w:r>
  </w:p>
</w:hdr>
</file>

<file path=word/header3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B34689" w14:textId="107CC5F0" w:rsidR="0083653B" w:rsidRPr="00B42D27" w:rsidRDefault="00000000" w:rsidP="0083653B">
    <w:pPr>
      <w:pStyle w:val="Header"/>
    </w:pPr>
    <w:r>
      <w:rPr>
        <w:noProof/>
      </w:rPr>
      <w:pict w14:anchorId="463C405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127642" o:spid="_x0000_s1097" type="#_x0000_t136" style="position:absolute;margin-left:0;margin-top:0;width:412.4pt;height:247.45pt;rotation:315;z-index:-251589632;mso-position-horizontal:center;mso-position-horizontal-relative:margin;mso-position-vertical:center;mso-position-vertical-relative:margin" o:allowincell="f" fillcolor="#a5a5a5 [2092]" stroked="f">
          <v:textpath style="font-family:&quot;Segoe UI&quot;;font-size:1pt" string="DRAFT"/>
          <w10:wrap anchorx="margin" anchory="margin"/>
        </v:shape>
      </w:pict>
    </w:r>
    <w:r w:rsidR="0083653B" w:rsidRPr="002A3E6E">
      <w:t>Centers for Medicare &amp; Medicaid Services</w:t>
    </w:r>
    <w:r w:rsidR="0083653B">
      <w:tab/>
      <w:t>Appendix B. Time Interval Definitions and Examples</w:t>
    </w:r>
  </w:p>
</w:hdr>
</file>

<file path=word/header3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86C2FA" w14:textId="6A7198C3" w:rsidR="00652087" w:rsidRDefault="00000000" w:rsidP="002A3E6E">
    <w:pPr>
      <w:pStyle w:val="Header"/>
    </w:pPr>
    <w:r>
      <w:rPr>
        <w:noProof/>
      </w:rPr>
      <w:pict w14:anchorId="375F9F5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127646" o:spid="_x0000_s1101" type="#_x0000_t136" style="position:absolute;margin-left:0;margin-top:0;width:412.4pt;height:247.45pt;rotation:315;z-index:-251581440;mso-position-horizontal:center;mso-position-horizontal-relative:margin;mso-position-vertical:center;mso-position-vertical-relative:margin" o:allowincell="f" fillcolor="#a5a5a5 [2092]" stroked="f">
          <v:textpath style="font-family:&quot;Segoe UI&quot;;font-size:1pt" string="DRAFT"/>
          <w10:wrap anchorx="margin" anchory="margin"/>
        </v:shape>
      </w:pict>
    </w:r>
  </w:p>
</w:hdr>
</file>

<file path=word/header3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47BB7A" w14:textId="546E883B" w:rsidR="0083653B" w:rsidRPr="00B42D27" w:rsidRDefault="00000000" w:rsidP="0083653B">
    <w:pPr>
      <w:pStyle w:val="Header"/>
    </w:pPr>
    <w:r>
      <w:rPr>
        <w:noProof/>
      </w:rPr>
      <w:pict w14:anchorId="01FFFBE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127647" o:spid="_x0000_s1102" type="#_x0000_t136" style="position:absolute;margin-left:0;margin-top:0;width:412.4pt;height:247.45pt;rotation:315;z-index:-251579392;mso-position-horizontal:center;mso-position-horizontal-relative:margin;mso-position-vertical:center;mso-position-vertical-relative:margin" o:allowincell="f" fillcolor="#a5a5a5 [2092]" stroked="f">
          <v:textpath style="font-family:&quot;Segoe UI&quot;;font-size:1pt" string="DRAFT"/>
          <w10:wrap anchorx="margin" anchory="margin"/>
        </v:shape>
      </w:pict>
    </w:r>
    <w:r w:rsidR="0083653B" w:rsidRPr="002A3E6E">
      <w:t>Centers for Medicare &amp; Medicaid Services</w:t>
    </w:r>
    <w:r w:rsidR="0083653B">
      <w:tab/>
      <w:t>Acronyms</w:t>
    </w:r>
  </w:p>
</w:hdr>
</file>

<file path=word/header3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B2E4C4" w14:textId="385C4C85" w:rsidR="0083653B" w:rsidRPr="00B42D27" w:rsidRDefault="00000000" w:rsidP="0083653B">
    <w:pPr>
      <w:pStyle w:val="Header"/>
    </w:pPr>
    <w:r>
      <w:rPr>
        <w:noProof/>
      </w:rPr>
      <w:pict w14:anchorId="2C64F6C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127645" o:spid="_x0000_s1100" type="#_x0000_t136" style="position:absolute;margin-left:0;margin-top:0;width:412.4pt;height:247.45pt;rotation:315;z-index:-251583488;mso-position-horizontal:center;mso-position-horizontal-relative:margin;mso-position-vertical:center;mso-position-vertical-relative:margin" o:allowincell="f" fillcolor="#a5a5a5 [2092]" stroked="f">
          <v:textpath style="font-family:&quot;Segoe UI&quot;;font-size:1pt" string="DRAFT"/>
          <w10:wrap anchorx="margin" anchory="margin"/>
        </v:shape>
      </w:pict>
    </w:r>
    <w:r w:rsidR="0083653B" w:rsidRPr="002A3E6E">
      <w:t>Centers for Medicare &amp; Medicaid Services</w:t>
    </w:r>
    <w:r w:rsidR="0083653B">
      <w:tab/>
      <w:t>Acronyms</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B6B304" w14:textId="4EF2BBEE" w:rsidR="00872F37" w:rsidRDefault="00000000">
    <w:pPr>
      <w:pStyle w:val="Header"/>
    </w:pPr>
    <w:r>
      <w:rPr>
        <w:noProof/>
      </w:rPr>
      <w:pict w14:anchorId="2868939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127613" o:spid="_x0000_s1068" type="#_x0000_t136" style="position:absolute;margin-left:0;margin-top:0;width:412.4pt;height:247.45pt;rotation:315;z-index:-251649024;mso-position-horizontal:center;mso-position-horizontal-relative:margin;mso-position-vertical:center;mso-position-vertical-relative:margin" o:allowincell="f" fillcolor="#a5a5a5 [2092]" stroked="f">
          <v:textpath style="font-family:&quot;Segoe UI&quot;;font-size:1pt" string="DRAFT"/>
          <w10:wrap anchorx="margin" anchory="margin"/>
        </v:shape>
      </w:pic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0FEE1E" w14:textId="6E0A1C40" w:rsidR="00872F37" w:rsidRDefault="00000000">
    <w:pPr>
      <w:pStyle w:val="Header"/>
    </w:pPr>
    <w:r>
      <w:rPr>
        <w:noProof/>
      </w:rPr>
      <w:pict w14:anchorId="7617119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127614" o:spid="_x0000_s1069" type="#_x0000_t136" style="position:absolute;margin-left:0;margin-top:0;width:412.4pt;height:247.45pt;rotation:315;z-index:-251646976;mso-position-horizontal:center;mso-position-horizontal-relative:margin;mso-position-vertical:center;mso-position-vertical-relative:margin" o:allowincell="f" fillcolor="#a5a5a5 [2092]" stroked="f">
          <v:textpath style="font-family:&quot;Segoe UI&quot;;font-size:1pt" string="DRAFT"/>
          <w10:wrap anchorx="margin" anchory="margin"/>
        </v:shape>
      </w:pic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191B67" w14:textId="793F935E" w:rsidR="002865A5" w:rsidRPr="005E64B8" w:rsidRDefault="00000000" w:rsidP="005E64B8">
    <w:pPr>
      <w:pBdr>
        <w:top w:val="nil"/>
        <w:left w:val="nil"/>
        <w:bottom w:val="single" w:sz="4" w:space="1" w:color="000000"/>
        <w:right w:val="nil"/>
        <w:between w:val="nil"/>
      </w:pBdr>
      <w:tabs>
        <w:tab w:val="right" w:pos="9360"/>
      </w:tabs>
      <w:spacing w:after="240"/>
      <w:rPr>
        <w:rFonts w:ascii="Arial Narrow" w:eastAsia="Arial Narrow" w:hAnsi="Arial Narrow"/>
        <w:color w:val="000000"/>
        <w:sz w:val="18"/>
      </w:rPr>
    </w:pPr>
    <w:r>
      <w:rPr>
        <w:noProof/>
      </w:rPr>
      <w:pict w14:anchorId="64FDD77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127612" o:spid="_x0000_s1067" type="#_x0000_t136" style="position:absolute;margin-left:0;margin-top:0;width:412.4pt;height:247.45pt;rotation:315;z-index:-251651072;mso-position-horizontal:center;mso-position-horizontal-relative:margin;mso-position-vertical:center;mso-position-vertical-relative:margin" o:allowincell="f" fillcolor="#a5a5a5 [2092]" stroked="f">
          <v:textpath style="font-family:&quot;Segoe UI&quot;;font-size:1pt" string="DRAFT"/>
          <w10:wrap anchorx="margin" anchory="margin"/>
        </v:shape>
      </w:pict>
    </w:r>
    <w:r w:rsidR="002865A5" w:rsidRPr="005E64B8">
      <w:rPr>
        <w:rFonts w:ascii="Arial Narrow" w:eastAsia="Arial Narrow" w:hAnsi="Arial Narrow"/>
        <w:color w:val="000000"/>
        <w:sz w:val="18"/>
      </w:rPr>
      <w:t>Centers for Medicare &amp; Medicaid Services</w:t>
    </w:r>
    <w:r w:rsidR="00F77E87">
      <w:rPr>
        <w:rFonts w:ascii="Arial Narrow" w:eastAsia="Arial Narrow" w:hAnsi="Arial Narrow"/>
        <w:color w:val="000000"/>
        <w:sz w:val="18"/>
      </w:rPr>
      <w:tab/>
      <w:t>Table of Contents</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B21E31" w14:textId="7511320C" w:rsidR="00652087" w:rsidRDefault="00000000" w:rsidP="002A3E6E">
    <w:pPr>
      <w:pStyle w:val="Header"/>
    </w:pPr>
    <w:r>
      <w:rPr>
        <w:noProof/>
      </w:rPr>
      <w:pict w14:anchorId="1CE0BF2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127616" o:spid="_x0000_s1071" type="#_x0000_t136" style="position:absolute;margin-left:0;margin-top:0;width:412.4pt;height:247.45pt;rotation:315;z-index:-251642880;mso-position-horizontal:center;mso-position-horizontal-relative:margin;mso-position-vertical:center;mso-position-vertical-relative:margin" o:allowincell="f" fillcolor="#a5a5a5 [2092]" stroked="f">
          <v:textpath style="font-family:&quot;Segoe UI&quot;;font-size:1pt" string="DRAFT"/>
          <w10:wrap anchorx="margin" anchory="margin"/>
        </v:shape>
      </w:pic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A4" w14:textId="50478FD0" w:rsidR="00D67C8C" w:rsidRDefault="00000000">
    <w:pPr>
      <w:pBdr>
        <w:top w:val="nil"/>
        <w:left w:val="nil"/>
        <w:bottom w:val="single" w:sz="4" w:space="1" w:color="000000"/>
        <w:right w:val="nil"/>
        <w:between w:val="nil"/>
      </w:pBdr>
      <w:tabs>
        <w:tab w:val="right" w:pos="9360"/>
      </w:tabs>
      <w:spacing w:after="240"/>
      <w:rPr>
        <w:rFonts w:ascii="Arial Narrow" w:eastAsia="Arial Narrow" w:hAnsi="Arial Narrow" w:cs="Arial Narrow"/>
        <w:color w:val="000000"/>
        <w:sz w:val="22"/>
      </w:rPr>
    </w:pPr>
    <w:r>
      <w:rPr>
        <w:noProof/>
      </w:rPr>
      <w:pict w14:anchorId="62FE491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127617" o:spid="_x0000_s1072" type="#_x0000_t136" style="position:absolute;margin-left:0;margin-top:0;width:412.4pt;height:247.45pt;rotation:315;z-index:-251640832;mso-position-horizontal:center;mso-position-horizontal-relative:margin;mso-position-vertical:center;mso-position-vertical-relative:margin" o:allowincell="f" fillcolor="#a5a5a5 [2092]" stroked="f">
          <v:textpath style="font-family:&quot;Segoe UI&quot;;font-size:1pt" string="DRAFT"/>
          <w10:wrap anchorx="margin" anchory="margin"/>
        </v:shape>
      </w:pict>
    </w:r>
    <w:r w:rsidR="00C80A11">
      <w:t>Centers for Medicare &amp; Medicaid Services / ONC</w:t>
    </w:r>
    <w:r w:rsidR="00C80A11">
      <w:tab/>
    </w:r>
    <w:r w:rsidR="00C80A11">
      <w:rPr>
        <w:rFonts w:ascii="Arial Narrow" w:eastAsia="Arial Narrow" w:hAnsi="Arial Narrow" w:cs="Arial Narrow"/>
        <w:color w:val="000000"/>
        <w:sz w:val="18"/>
        <w:szCs w:val="18"/>
      </w:rPr>
      <w:t>Electronic Clinical Quality Measures</w:t>
    </w:r>
  </w:p>
  <w:p w14:paraId="000003A5" w14:textId="77777777" w:rsidR="00D67C8C" w:rsidRPr="00871419" w:rsidRDefault="00D67C8C" w:rsidP="00871419">
    <w:pPr>
      <w:pBdr>
        <w:top w:val="nil"/>
        <w:left w:val="nil"/>
        <w:bottom w:val="single" w:sz="4" w:space="1" w:color="000000"/>
        <w:right w:val="nil"/>
        <w:between w:val="nil"/>
      </w:pBdr>
      <w:tabs>
        <w:tab w:val="right" w:pos="9360"/>
      </w:tabs>
      <w:spacing w:after="240"/>
      <w:rPr>
        <w:rFonts w:ascii="Times New Roman" w:eastAsia="Arial Narrow" w:hAnsi="Times New Roman"/>
        <w:color w:val="000000"/>
        <w:sz w:val="22"/>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A6" w14:textId="46E91194" w:rsidR="00D67C8C" w:rsidRPr="002A3E6E" w:rsidRDefault="00000000" w:rsidP="002A3E6E">
    <w:pPr>
      <w:pStyle w:val="Header"/>
    </w:pPr>
    <w:r>
      <w:rPr>
        <w:noProof/>
      </w:rPr>
      <w:pict w14:anchorId="6EF4F85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127615" o:spid="_x0000_s1070" type="#_x0000_t136" style="position:absolute;margin-left:0;margin-top:0;width:412.4pt;height:247.45pt;rotation:315;z-index:-251644928;mso-position-horizontal:center;mso-position-horizontal-relative:margin;mso-position-vertical:center;mso-position-vertical-relative:margin" o:allowincell="f" fillcolor="#a5a5a5 [2092]" stroked="f">
          <v:textpath style="font-family:&quot;Segoe UI&quot;;font-size:1pt" string="DRAFT"/>
          <w10:wrap anchorx="margin" anchory="margin"/>
        </v:shape>
      </w:pict>
    </w:r>
    <w:r w:rsidR="00C80A11" w:rsidRPr="002A3E6E">
      <w:t>Centers for Medicare &amp; Medicaid Services</w:t>
    </w:r>
    <w:r w:rsidR="00B42D27">
      <w:tab/>
      <w:t>1. Introduction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0CE2A98E"/>
    <w:lvl w:ilvl="0">
      <w:start w:val="1"/>
      <w:numFmt w:val="decimal"/>
      <w:pStyle w:val="ListNumber5"/>
      <w:lvlText w:val="%1."/>
      <w:lvlJc w:val="left"/>
      <w:pPr>
        <w:tabs>
          <w:tab w:val="num" w:pos="1800"/>
        </w:tabs>
        <w:ind w:left="1800" w:hanging="360"/>
      </w:pPr>
      <w:rPr>
        <w:rFonts w:hint="default"/>
      </w:rPr>
    </w:lvl>
  </w:abstractNum>
  <w:abstractNum w:abstractNumId="1" w15:restartNumberingAfterBreak="0">
    <w:nsid w:val="FFFFFF7D"/>
    <w:multiLevelType w:val="singleLevel"/>
    <w:tmpl w:val="4CE2E99C"/>
    <w:lvl w:ilvl="0">
      <w:start w:val="1"/>
      <w:numFmt w:val="decimal"/>
      <w:pStyle w:val="ListNumber4"/>
      <w:lvlText w:val="%1."/>
      <w:lvlJc w:val="left"/>
      <w:pPr>
        <w:tabs>
          <w:tab w:val="num" w:pos="1440"/>
        </w:tabs>
        <w:ind w:left="1440" w:hanging="360"/>
      </w:pPr>
      <w:rPr>
        <w:rFonts w:hint="default"/>
      </w:rPr>
    </w:lvl>
  </w:abstractNum>
  <w:abstractNum w:abstractNumId="2" w15:restartNumberingAfterBreak="0">
    <w:nsid w:val="FFFFFF7E"/>
    <w:multiLevelType w:val="singleLevel"/>
    <w:tmpl w:val="C16609D6"/>
    <w:lvl w:ilvl="0">
      <w:start w:val="1"/>
      <w:numFmt w:val="decimal"/>
      <w:pStyle w:val="ListNumber3"/>
      <w:lvlText w:val="%1."/>
      <w:lvlJc w:val="left"/>
      <w:pPr>
        <w:tabs>
          <w:tab w:val="num" w:pos="1080"/>
        </w:tabs>
        <w:ind w:left="1080" w:hanging="360"/>
      </w:pPr>
      <w:rPr>
        <w:rFonts w:hint="default"/>
      </w:rPr>
    </w:lvl>
  </w:abstractNum>
  <w:abstractNum w:abstractNumId="3" w15:restartNumberingAfterBreak="0">
    <w:nsid w:val="FFFFFF7F"/>
    <w:multiLevelType w:val="singleLevel"/>
    <w:tmpl w:val="662E6778"/>
    <w:lvl w:ilvl="0">
      <w:start w:val="1"/>
      <w:numFmt w:val="decimal"/>
      <w:pStyle w:val="ListNumber2"/>
      <w:lvlText w:val="%1."/>
      <w:lvlJc w:val="left"/>
      <w:pPr>
        <w:tabs>
          <w:tab w:val="num" w:pos="720"/>
        </w:tabs>
        <w:ind w:left="720" w:hanging="360"/>
      </w:pPr>
      <w:rPr>
        <w:rFonts w:hint="default"/>
      </w:rPr>
    </w:lvl>
  </w:abstractNum>
  <w:abstractNum w:abstractNumId="4" w15:restartNumberingAfterBreak="0">
    <w:nsid w:val="FFFFFF80"/>
    <w:multiLevelType w:val="singleLevel"/>
    <w:tmpl w:val="02B2D40C"/>
    <w:lvl w:ilvl="0">
      <w:start w:val="1"/>
      <w:numFmt w:val="bullet"/>
      <w:pStyle w:val="ListBullet5"/>
      <w:lvlText w:val=""/>
      <w:lvlJc w:val="left"/>
      <w:pPr>
        <w:tabs>
          <w:tab w:val="num" w:pos="2160"/>
        </w:tabs>
        <w:ind w:left="2160" w:hanging="360"/>
      </w:pPr>
      <w:rPr>
        <w:rFonts w:ascii="Symbol" w:hAnsi="Symbol" w:hint="default"/>
      </w:rPr>
    </w:lvl>
  </w:abstractNum>
  <w:abstractNum w:abstractNumId="5" w15:restartNumberingAfterBreak="0">
    <w:nsid w:val="FFFFFF81"/>
    <w:multiLevelType w:val="singleLevel"/>
    <w:tmpl w:val="8AC05C86"/>
    <w:lvl w:ilvl="0">
      <w:start w:val="1"/>
      <w:numFmt w:val="bullet"/>
      <w:pStyle w:val="ListBullet4"/>
      <w:lvlText w:val=""/>
      <w:lvlJc w:val="left"/>
      <w:pPr>
        <w:tabs>
          <w:tab w:val="num" w:pos="1800"/>
        </w:tabs>
        <w:ind w:left="1800" w:hanging="360"/>
      </w:pPr>
      <w:rPr>
        <w:rFonts w:ascii="Symbol" w:hAnsi="Symbol" w:hint="default"/>
      </w:rPr>
    </w:lvl>
  </w:abstractNum>
  <w:abstractNum w:abstractNumId="6" w15:restartNumberingAfterBreak="0">
    <w:nsid w:val="FFFFFF82"/>
    <w:multiLevelType w:val="singleLevel"/>
    <w:tmpl w:val="176CDE68"/>
    <w:lvl w:ilvl="0">
      <w:start w:val="1"/>
      <w:numFmt w:val="bullet"/>
      <w:pStyle w:val="ListBullet3"/>
      <w:lvlText w:val="o"/>
      <w:lvlJc w:val="left"/>
      <w:pPr>
        <w:tabs>
          <w:tab w:val="num" w:pos="540"/>
        </w:tabs>
        <w:ind w:left="540" w:hanging="180"/>
      </w:pPr>
      <w:rPr>
        <w:rFonts w:ascii="Courier New" w:hAnsi="Courier New" w:hint="default"/>
      </w:rPr>
    </w:lvl>
  </w:abstractNum>
  <w:abstractNum w:abstractNumId="7" w15:restartNumberingAfterBreak="0">
    <w:nsid w:val="FFFFFF83"/>
    <w:multiLevelType w:val="singleLevel"/>
    <w:tmpl w:val="D51AC6B8"/>
    <w:lvl w:ilvl="0">
      <w:start w:val="1"/>
      <w:numFmt w:val="bullet"/>
      <w:pStyle w:val="ListBullet2"/>
      <w:lvlText w:val="o"/>
      <w:lvlJc w:val="left"/>
      <w:pPr>
        <w:ind w:left="547" w:hanging="360"/>
      </w:pPr>
      <w:rPr>
        <w:rFonts w:ascii="Courier New" w:hAnsi="Courier New" w:cs="Courier New" w:hint="default"/>
      </w:rPr>
    </w:lvl>
  </w:abstractNum>
  <w:abstractNum w:abstractNumId="8" w15:restartNumberingAfterBreak="0">
    <w:nsid w:val="FFFFFF88"/>
    <w:multiLevelType w:val="singleLevel"/>
    <w:tmpl w:val="A6FA73C8"/>
    <w:lvl w:ilvl="0">
      <w:start w:val="1"/>
      <w:numFmt w:val="decimal"/>
      <w:pStyle w:val="ListNumber"/>
      <w:lvlText w:val="%1."/>
      <w:lvlJc w:val="left"/>
      <w:pPr>
        <w:ind w:left="720" w:hanging="360"/>
      </w:pPr>
      <w:rPr>
        <w:rFonts w:ascii="Times New Roman" w:hAnsi="Times New Roman" w:hint="default"/>
        <w:b w:val="0"/>
        <w:i w:val="0"/>
        <w:color w:val="auto"/>
        <w:sz w:val="24"/>
      </w:rPr>
    </w:lvl>
  </w:abstractNum>
  <w:abstractNum w:abstractNumId="9" w15:restartNumberingAfterBreak="0">
    <w:nsid w:val="FFFFFF89"/>
    <w:multiLevelType w:val="singleLevel"/>
    <w:tmpl w:val="83D03ED8"/>
    <w:lvl w:ilvl="0">
      <w:start w:val="1"/>
      <w:numFmt w:val="bullet"/>
      <w:pStyle w:val="ListBullet"/>
      <w:lvlText w:val=""/>
      <w:lvlJc w:val="left"/>
      <w:pPr>
        <w:tabs>
          <w:tab w:val="num" w:pos="180"/>
        </w:tabs>
        <w:ind w:left="180" w:hanging="180"/>
      </w:pPr>
      <w:rPr>
        <w:rFonts w:ascii="Symbol" w:hAnsi="Symbol" w:hint="default"/>
        <w:color w:val="auto"/>
      </w:rPr>
    </w:lvl>
  </w:abstractNum>
  <w:abstractNum w:abstractNumId="10" w15:restartNumberingAfterBreak="0">
    <w:nsid w:val="03E50D66"/>
    <w:multiLevelType w:val="multilevel"/>
    <w:tmpl w:val="9D4AC124"/>
    <w:styleLink w:val="Feature2"/>
    <w:lvl w:ilvl="0">
      <w:start w:val="1"/>
      <w:numFmt w:val="decimal"/>
      <w:lvlText w:val="%1)"/>
      <w:lvlJc w:val="left"/>
      <w:pPr>
        <w:ind w:left="360" w:hanging="360"/>
      </w:pPr>
      <w:rPr>
        <w:b/>
        <w:color w:val="0B2949" w:themeColor="accent1"/>
        <w:sz w:val="20"/>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06477A71"/>
    <w:multiLevelType w:val="multilevel"/>
    <w:tmpl w:val="134EEA1A"/>
    <w:lvl w:ilvl="0">
      <w:start w:val="1"/>
      <w:numFmt w:val="bullet"/>
      <w:pStyle w:val="BulletListMultiple"/>
      <w:lvlText w:val="●"/>
      <w:lvlJc w:val="left"/>
      <w:pPr>
        <w:ind w:left="720" w:hanging="360"/>
      </w:pPr>
      <w:rPr>
        <w:rFonts w:ascii="Noto Sans Symbols" w:eastAsia="Noto Sans Symbols" w:hAnsi="Noto Sans Symbols" w:cs="Noto Sans Symbols"/>
        <w:b w:val="0"/>
        <w:i w:val="0"/>
        <w:sz w:val="24"/>
        <w:szCs w:val="24"/>
      </w:rPr>
    </w:lvl>
    <w:lvl w:ilvl="1">
      <w:start w:val="1"/>
      <w:numFmt w:val="bullet"/>
      <w:lvlText w:val="–"/>
      <w:lvlJc w:val="left"/>
      <w:pPr>
        <w:ind w:left="1080" w:hanging="360"/>
      </w:pPr>
      <w:rPr>
        <w:rFonts w:ascii="Arial" w:eastAsia="Arial" w:hAnsi="Arial" w:cs="Arial"/>
        <w:b w:val="0"/>
        <w:i w:val="0"/>
        <w:sz w:val="24"/>
        <w:szCs w:val="24"/>
      </w:rPr>
    </w:lvl>
    <w:lvl w:ilvl="2">
      <w:start w:val="1"/>
      <w:numFmt w:val="bullet"/>
      <w:lvlText w:val="♦"/>
      <w:lvlJc w:val="left"/>
      <w:pPr>
        <w:ind w:left="1440" w:hanging="360"/>
      </w:pPr>
      <w:rPr>
        <w:rFonts w:ascii="Noto Sans Symbols" w:eastAsia="Noto Sans Symbols" w:hAnsi="Noto Sans Symbols" w:cs="Noto Sans Symbols"/>
        <w:b w:val="0"/>
        <w:i w:val="0"/>
        <w:sz w:val="16"/>
        <w:szCs w:val="16"/>
      </w:rPr>
    </w:lvl>
    <w:lvl w:ilvl="3">
      <w:start w:val="1"/>
      <w:numFmt w:val="bullet"/>
      <w:lvlText w:val="●"/>
      <w:lvlJc w:val="left"/>
      <w:pPr>
        <w:ind w:left="360" w:hanging="360"/>
      </w:pPr>
      <w:rPr>
        <w:rFonts w:ascii="Noto Sans Symbols" w:eastAsia="Noto Sans Symbols" w:hAnsi="Noto Sans Symbols" w:cs="Noto Sans Symbols"/>
        <w:b w:val="0"/>
        <w:i w:val="0"/>
        <w:sz w:val="22"/>
        <w:szCs w:val="22"/>
      </w:rPr>
    </w:lvl>
    <w:lvl w:ilvl="4">
      <w:start w:val="1"/>
      <w:numFmt w:val="decimal"/>
      <w:lvlText w:val="●.–.♦.●.%5."/>
      <w:lvlJc w:val="left"/>
      <w:pPr>
        <w:ind w:left="3096" w:hanging="864"/>
      </w:pPr>
      <w:rPr>
        <w:rFonts w:ascii="Arial Narrow" w:eastAsia="Arial Narrow" w:hAnsi="Arial Narrow" w:cs="Arial Narrow"/>
        <w:b w:val="0"/>
        <w:i w:val="0"/>
        <w:sz w:val="24"/>
        <w:szCs w:val="24"/>
      </w:rPr>
    </w:lvl>
    <w:lvl w:ilvl="5">
      <w:start w:val="1"/>
      <w:numFmt w:val="decimal"/>
      <w:lvlText w:val="●.–.♦.●.%5.%6."/>
      <w:lvlJc w:val="left"/>
      <w:pPr>
        <w:ind w:left="4176" w:hanging="1080"/>
      </w:pPr>
      <w:rPr>
        <w:rFonts w:ascii="Arial Narrow" w:eastAsia="Arial Narrow" w:hAnsi="Arial Narrow" w:cs="Arial Narrow"/>
        <w:b w:val="0"/>
        <w:i w:val="0"/>
        <w:sz w:val="24"/>
        <w:szCs w:val="24"/>
      </w:rPr>
    </w:lvl>
    <w:lvl w:ilvl="6">
      <w:start w:val="1"/>
      <w:numFmt w:val="decimal"/>
      <w:lvlText w:val="●.–.♦.●.%5.%6.%7."/>
      <w:lvlJc w:val="left"/>
      <w:pPr>
        <w:ind w:left="5400" w:hanging="1224"/>
      </w:pPr>
      <w:rPr>
        <w:rFonts w:ascii="Arial Narrow" w:eastAsia="Arial Narrow" w:hAnsi="Arial Narrow" w:cs="Arial Narrow"/>
        <w:b w:val="0"/>
        <w:i w:val="0"/>
        <w:sz w:val="24"/>
        <w:szCs w:val="24"/>
      </w:rPr>
    </w:lvl>
    <w:lvl w:ilvl="7">
      <w:start w:val="1"/>
      <w:numFmt w:val="decimal"/>
      <w:lvlText w:val="●.–.♦.●.%5.%6.%7.%8."/>
      <w:lvlJc w:val="left"/>
      <w:pPr>
        <w:ind w:left="3744" w:hanging="1224"/>
      </w:pPr>
      <w:rPr>
        <w:rFonts w:ascii="Arial Narrow" w:eastAsia="Arial Narrow" w:hAnsi="Arial Narrow" w:cs="Arial Narrow"/>
        <w:b w:val="0"/>
        <w:i w:val="0"/>
        <w:sz w:val="18"/>
        <w:szCs w:val="18"/>
      </w:rPr>
    </w:lvl>
    <w:lvl w:ilvl="8">
      <w:start w:val="1"/>
      <w:numFmt w:val="decimal"/>
      <w:lvlText w:val="●.–.♦.●.%5.%6.%7.%8.%9."/>
      <w:lvlJc w:val="left"/>
      <w:pPr>
        <w:ind w:left="4320" w:hanging="1440"/>
      </w:pPr>
      <w:rPr>
        <w:rFonts w:ascii="Arial Narrow" w:eastAsia="Arial Narrow" w:hAnsi="Arial Narrow" w:cs="Arial Narrow"/>
        <w:b w:val="0"/>
        <w:i w:val="0"/>
        <w:sz w:val="18"/>
        <w:szCs w:val="18"/>
      </w:rPr>
    </w:lvl>
  </w:abstractNum>
  <w:abstractNum w:abstractNumId="12" w15:restartNumberingAfterBreak="0">
    <w:nsid w:val="07894E48"/>
    <w:multiLevelType w:val="hybridMultilevel"/>
    <w:tmpl w:val="7B26FD56"/>
    <w:lvl w:ilvl="0" w:tplc="5EFC5982">
      <w:start w:val="1"/>
      <w:numFmt w:val="bullet"/>
      <w:pStyle w:val="ListBullet1"/>
      <w:lvlText w:val="/"/>
      <w:lvlJc w:val="left"/>
      <w:pPr>
        <w:tabs>
          <w:tab w:val="num" w:pos="180"/>
        </w:tabs>
        <w:ind w:left="180" w:hanging="180"/>
      </w:pPr>
      <w:rPr>
        <w:rFonts w:ascii="Calibri" w:hAnsi="Calibri" w:hint="default"/>
        <w:b w:val="0"/>
        <w:i w:val="0"/>
        <w:color w:val="5B6771" w:themeColor="accent3"/>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8E56F9F"/>
    <w:multiLevelType w:val="hybridMultilevel"/>
    <w:tmpl w:val="AC1A0ACE"/>
    <w:lvl w:ilvl="0" w:tplc="E40402AC">
      <w:start w:val="1"/>
      <w:numFmt w:val="lowerLetter"/>
      <w:pStyle w:val="ListAlpha3"/>
      <w:lvlText w:val="%1."/>
      <w:lvlJc w:val="left"/>
      <w:pPr>
        <w:tabs>
          <w:tab w:val="num" w:pos="1080"/>
        </w:tabs>
        <w:ind w:left="1080" w:hanging="360"/>
      </w:pPr>
      <w:rPr>
        <w:rFonts w:asciiTheme="minorHAnsi" w:hAnsiTheme="minorHAnsi" w:cstheme="minorHAnsi" w:hint="default"/>
        <w:b w:val="0"/>
        <w:i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0FFF533D"/>
    <w:multiLevelType w:val="hybridMultilevel"/>
    <w:tmpl w:val="4508ACE0"/>
    <w:lvl w:ilvl="0" w:tplc="AF0E3784">
      <w:start w:val="1"/>
      <w:numFmt w:val="decimal"/>
      <w:pStyle w:val="TableListNumber2"/>
      <w:lvlText w:val="%1."/>
      <w:lvlJc w:val="left"/>
      <w:pPr>
        <w:tabs>
          <w:tab w:val="num" w:pos="432"/>
        </w:tabs>
        <w:ind w:left="432" w:hanging="216"/>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1D131E3"/>
    <w:multiLevelType w:val="hybridMultilevel"/>
    <w:tmpl w:val="427CE59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13ED3016"/>
    <w:multiLevelType w:val="hybridMultilevel"/>
    <w:tmpl w:val="37FAFE3C"/>
    <w:lvl w:ilvl="0" w:tplc="7228F856">
      <w:start w:val="1"/>
      <w:numFmt w:val="bullet"/>
      <w:pStyle w:val="TableListBullet"/>
      <w:lvlText w:val=""/>
      <w:lvlJc w:val="left"/>
      <w:pPr>
        <w:tabs>
          <w:tab w:val="num" w:pos="216"/>
        </w:tabs>
        <w:ind w:left="216" w:hanging="216"/>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6C53CFC"/>
    <w:multiLevelType w:val="hybridMultilevel"/>
    <w:tmpl w:val="5DBA44F8"/>
    <w:lvl w:ilvl="0" w:tplc="F154CD68">
      <w:start w:val="1"/>
      <w:numFmt w:val="decimal"/>
      <w:pStyle w:val="TableListNumber"/>
      <w:lvlText w:val="%1."/>
      <w:lvlJc w:val="left"/>
      <w:pPr>
        <w:tabs>
          <w:tab w:val="num" w:pos="216"/>
        </w:tabs>
        <w:ind w:left="216" w:hanging="216"/>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1C700F5"/>
    <w:multiLevelType w:val="hybridMultilevel"/>
    <w:tmpl w:val="C28ABA4C"/>
    <w:lvl w:ilvl="0" w:tplc="FCA6086A">
      <w:start w:val="1"/>
      <w:numFmt w:val="bullet"/>
      <w:pStyle w:val="ESListBullet"/>
      <w:lvlText w:val=""/>
      <w:lvlJc w:val="left"/>
      <w:pPr>
        <w:tabs>
          <w:tab w:val="num" w:pos="360"/>
        </w:tabs>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4074D03"/>
    <w:multiLevelType w:val="multilevel"/>
    <w:tmpl w:val="5A165630"/>
    <w:lvl w:ilvl="0">
      <w:start w:val="1"/>
      <w:numFmt w:val="bullet"/>
      <w:pStyle w:val="BulletListMultipleLast"/>
      <w:lvlText w:val="●"/>
      <w:lvlJc w:val="left"/>
      <w:pPr>
        <w:ind w:left="720" w:hanging="360"/>
      </w:pPr>
      <w:rPr>
        <w:rFonts w:ascii="Noto Sans Symbols" w:eastAsia="Noto Sans Symbols" w:hAnsi="Noto Sans Symbols" w:cs="Noto Sans Symbols"/>
      </w:rPr>
    </w:lvl>
    <w:lvl w:ilvl="1">
      <w:start w:val="1"/>
      <w:numFmt w:val="lowerLetter"/>
      <w:lvlText w:val="%2."/>
      <w:lvlJc w:val="left"/>
      <w:pPr>
        <w:ind w:left="1440" w:hanging="360"/>
      </w:pPr>
    </w:lvl>
    <w:lvl w:ilvl="2">
      <w:start w:val="5"/>
      <w:numFmt w:val="decimal"/>
      <w:lvlText w:val="%3)"/>
      <w:lvlJc w:val="left"/>
      <w:pPr>
        <w:ind w:left="2340" w:hanging="360"/>
      </w:pPr>
      <w:rPr>
        <w:color w:val="000000"/>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2D416409"/>
    <w:multiLevelType w:val="multilevel"/>
    <w:tmpl w:val="1D3A7F34"/>
    <w:lvl w:ilvl="0">
      <w:start w:val="1"/>
      <w:numFmt w:val="upperRoman"/>
      <w:pStyle w:val="List"/>
      <w:lvlText w:val="%1."/>
      <w:lvlJc w:val="left"/>
      <w:pPr>
        <w:ind w:left="720" w:hanging="720"/>
      </w:pPr>
      <w:rPr>
        <w:rFonts w:hint="default"/>
        <w:b/>
        <w:i w:val="0"/>
      </w:rPr>
    </w:lvl>
    <w:lvl w:ilvl="1">
      <w:start w:val="1"/>
      <w:numFmt w:val="upperLetter"/>
      <w:pStyle w:val="List2"/>
      <w:lvlText w:val="%2."/>
      <w:lvlJc w:val="left"/>
      <w:pPr>
        <w:tabs>
          <w:tab w:val="num" w:pos="720"/>
        </w:tabs>
        <w:ind w:left="1080" w:hanging="360"/>
      </w:pPr>
      <w:rPr>
        <w:rFonts w:hint="default"/>
      </w:rPr>
    </w:lvl>
    <w:lvl w:ilvl="2">
      <w:start w:val="1"/>
      <w:numFmt w:val="decimal"/>
      <w:pStyle w:val="List3"/>
      <w:lvlText w:val="%3."/>
      <w:lvlJc w:val="left"/>
      <w:pPr>
        <w:tabs>
          <w:tab w:val="num" w:pos="1080"/>
        </w:tabs>
        <w:ind w:left="1440" w:hanging="360"/>
      </w:pPr>
      <w:rPr>
        <w:rFonts w:hint="default"/>
      </w:rPr>
    </w:lvl>
    <w:lvl w:ilvl="3">
      <w:start w:val="1"/>
      <w:numFmt w:val="lowerLetter"/>
      <w:pStyle w:val="List4"/>
      <w:lvlText w:val="%4."/>
      <w:lvlJc w:val="left"/>
      <w:pPr>
        <w:tabs>
          <w:tab w:val="num" w:pos="1440"/>
        </w:tabs>
        <w:ind w:left="1800" w:hanging="360"/>
      </w:pPr>
      <w:rPr>
        <w:rFonts w:hint="default"/>
      </w:rPr>
    </w:lvl>
    <w:lvl w:ilvl="4">
      <w:start w:val="1"/>
      <w:numFmt w:val="lowerRoman"/>
      <w:pStyle w:val="List5"/>
      <w:lvlText w:val="%5."/>
      <w:lvlJc w:val="left"/>
      <w:pPr>
        <w:tabs>
          <w:tab w:val="num" w:pos="1800"/>
        </w:tabs>
        <w:ind w:left="2376" w:hanging="576"/>
      </w:pPr>
      <w:rPr>
        <w:rFonts w:hint="default"/>
      </w:rPr>
    </w:lvl>
    <w:lvl w:ilvl="5">
      <w:start w:val="1"/>
      <w:numFmt w:val="lowerRoman"/>
      <w:lvlText w:val="(%6)"/>
      <w:lvlJc w:val="left"/>
      <w:pPr>
        <w:ind w:left="1800" w:hanging="360"/>
      </w:pPr>
      <w:rPr>
        <w:rFonts w:hint="default"/>
      </w:rPr>
    </w:lvl>
    <w:lvl w:ilvl="6">
      <w:start w:val="1"/>
      <w:numFmt w:val="decimal"/>
      <w:lvlText w:val="%7."/>
      <w:lvlJc w:val="left"/>
      <w:pPr>
        <w:ind w:left="2160" w:hanging="360"/>
      </w:pPr>
      <w:rPr>
        <w:rFonts w:hint="default"/>
      </w:rPr>
    </w:lvl>
    <w:lvl w:ilvl="7">
      <w:start w:val="1"/>
      <w:numFmt w:val="lowerLetter"/>
      <w:lvlText w:val="%8."/>
      <w:lvlJc w:val="left"/>
      <w:pPr>
        <w:ind w:left="2520" w:hanging="360"/>
      </w:pPr>
      <w:rPr>
        <w:rFonts w:hint="default"/>
      </w:rPr>
    </w:lvl>
    <w:lvl w:ilvl="8">
      <w:start w:val="1"/>
      <w:numFmt w:val="lowerRoman"/>
      <w:lvlText w:val="%9."/>
      <w:lvlJc w:val="left"/>
      <w:pPr>
        <w:ind w:left="2880" w:hanging="360"/>
      </w:pPr>
      <w:rPr>
        <w:rFonts w:hint="default"/>
      </w:rPr>
    </w:lvl>
  </w:abstractNum>
  <w:abstractNum w:abstractNumId="21" w15:restartNumberingAfterBreak="0">
    <w:nsid w:val="2F256C52"/>
    <w:multiLevelType w:val="hybridMultilevel"/>
    <w:tmpl w:val="931ABC7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33AC03F4"/>
    <w:multiLevelType w:val="hybridMultilevel"/>
    <w:tmpl w:val="04FEDE68"/>
    <w:lvl w:ilvl="0" w:tplc="FC40B628">
      <w:start w:val="1"/>
      <w:numFmt w:val="bullet"/>
      <w:pStyle w:val="SidebarListBullet"/>
      <w:lvlText w:val=""/>
      <w:lvlJc w:val="left"/>
      <w:pPr>
        <w:tabs>
          <w:tab w:val="num" w:pos="288"/>
        </w:tabs>
        <w:ind w:left="288" w:hanging="288"/>
      </w:pPr>
      <w:rPr>
        <w:rFonts w:ascii="Symbol" w:hAnsi="Symbol" w:hint="default"/>
        <w:color w:val="5B6771" w:themeColor="accent3"/>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37655570"/>
    <w:multiLevelType w:val="hybridMultilevel"/>
    <w:tmpl w:val="0BBED9BE"/>
    <w:lvl w:ilvl="0" w:tplc="F4F02EBE">
      <w:start w:val="1"/>
      <w:numFmt w:val="bullet"/>
      <w:pStyle w:val="TableListBullet2"/>
      <w:lvlText w:val="–"/>
      <w:lvlJc w:val="left"/>
      <w:pPr>
        <w:tabs>
          <w:tab w:val="num" w:pos="432"/>
        </w:tabs>
        <w:ind w:left="432" w:hanging="216"/>
      </w:pPr>
    </w:lvl>
    <w:lvl w:ilvl="1" w:tplc="9ABE1BD8" w:tentative="1">
      <w:start w:val="1"/>
      <w:numFmt w:val="bullet"/>
      <w:lvlText w:val="o"/>
      <w:lvlJc w:val="left"/>
      <w:pPr>
        <w:ind w:left="1440" w:hanging="360"/>
      </w:pPr>
      <w:rPr>
        <w:rFonts w:ascii="Courier New" w:hAnsi="Courier New" w:hint="default"/>
      </w:rPr>
    </w:lvl>
    <w:lvl w:ilvl="2" w:tplc="B1F8FCF4" w:tentative="1">
      <w:start w:val="1"/>
      <w:numFmt w:val="bullet"/>
      <w:lvlText w:val=""/>
      <w:lvlJc w:val="left"/>
      <w:pPr>
        <w:ind w:left="2160" w:hanging="360"/>
      </w:pPr>
      <w:rPr>
        <w:rFonts w:ascii="Wingdings" w:hAnsi="Wingdings" w:hint="default"/>
      </w:rPr>
    </w:lvl>
    <w:lvl w:ilvl="3" w:tplc="D596536E" w:tentative="1">
      <w:start w:val="1"/>
      <w:numFmt w:val="bullet"/>
      <w:lvlText w:val=""/>
      <w:lvlJc w:val="left"/>
      <w:pPr>
        <w:ind w:left="2880" w:hanging="360"/>
      </w:pPr>
      <w:rPr>
        <w:rFonts w:ascii="Symbol" w:hAnsi="Symbol" w:hint="default"/>
      </w:rPr>
    </w:lvl>
    <w:lvl w:ilvl="4" w:tplc="323E026C" w:tentative="1">
      <w:start w:val="1"/>
      <w:numFmt w:val="bullet"/>
      <w:lvlText w:val="o"/>
      <w:lvlJc w:val="left"/>
      <w:pPr>
        <w:ind w:left="3600" w:hanging="360"/>
      </w:pPr>
      <w:rPr>
        <w:rFonts w:ascii="Courier New" w:hAnsi="Courier New" w:hint="default"/>
      </w:rPr>
    </w:lvl>
    <w:lvl w:ilvl="5" w:tplc="3E1E7924" w:tentative="1">
      <w:start w:val="1"/>
      <w:numFmt w:val="bullet"/>
      <w:lvlText w:val=""/>
      <w:lvlJc w:val="left"/>
      <w:pPr>
        <w:ind w:left="4320" w:hanging="360"/>
      </w:pPr>
      <w:rPr>
        <w:rFonts w:ascii="Wingdings" w:hAnsi="Wingdings" w:hint="default"/>
      </w:rPr>
    </w:lvl>
    <w:lvl w:ilvl="6" w:tplc="B9DCD844" w:tentative="1">
      <w:start w:val="1"/>
      <w:numFmt w:val="bullet"/>
      <w:lvlText w:val=""/>
      <w:lvlJc w:val="left"/>
      <w:pPr>
        <w:ind w:left="5040" w:hanging="360"/>
      </w:pPr>
      <w:rPr>
        <w:rFonts w:ascii="Symbol" w:hAnsi="Symbol" w:hint="default"/>
      </w:rPr>
    </w:lvl>
    <w:lvl w:ilvl="7" w:tplc="59C8A706" w:tentative="1">
      <w:start w:val="1"/>
      <w:numFmt w:val="bullet"/>
      <w:lvlText w:val="o"/>
      <w:lvlJc w:val="left"/>
      <w:pPr>
        <w:ind w:left="5760" w:hanging="360"/>
      </w:pPr>
      <w:rPr>
        <w:rFonts w:ascii="Courier New" w:hAnsi="Courier New" w:hint="default"/>
      </w:rPr>
    </w:lvl>
    <w:lvl w:ilvl="8" w:tplc="FB407354" w:tentative="1">
      <w:start w:val="1"/>
      <w:numFmt w:val="bullet"/>
      <w:lvlText w:val=""/>
      <w:lvlJc w:val="left"/>
      <w:pPr>
        <w:ind w:left="6480" w:hanging="360"/>
      </w:pPr>
      <w:rPr>
        <w:rFonts w:ascii="Wingdings" w:hAnsi="Wingdings" w:hint="default"/>
      </w:rPr>
    </w:lvl>
  </w:abstractNum>
  <w:abstractNum w:abstractNumId="24" w15:restartNumberingAfterBreak="0">
    <w:nsid w:val="3D16378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 w15:restartNumberingAfterBreak="0">
    <w:nsid w:val="41354FAD"/>
    <w:multiLevelType w:val="multilevel"/>
    <w:tmpl w:val="AC9EA6A8"/>
    <w:lvl w:ilvl="0">
      <w:start w:val="1"/>
      <w:numFmt w:val="decimal"/>
      <w:pStyle w:val="BulletSecondLeve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41F04643"/>
    <w:multiLevelType w:val="multilevel"/>
    <w:tmpl w:val="8998149A"/>
    <w:lvl w:ilvl="0">
      <w:start w:val="1"/>
      <w:numFmt w:val="decimal"/>
      <w:pStyle w:val="BulletThirdLevel"/>
      <w:lvlText w:val="%1."/>
      <w:lvlJc w:val="left"/>
      <w:pPr>
        <w:ind w:left="450" w:hanging="450"/>
      </w:pPr>
      <w:rPr>
        <w:rFonts w:ascii="Arial Narrow" w:hAnsi="Arial Narrow" w:hint="default"/>
        <w:b/>
        <w:bCs/>
        <w:sz w:val="36"/>
        <w:szCs w:val="36"/>
      </w:rPr>
    </w:lvl>
    <w:lvl w:ilvl="1">
      <w:start w:val="1"/>
      <w:numFmt w:val="decimal"/>
      <w:lvlText w:val="%1.%2."/>
      <w:lvlJc w:val="left"/>
      <w:pPr>
        <w:ind w:left="720" w:hanging="720"/>
      </w:pPr>
      <w:rPr>
        <w:rFonts w:ascii="Arial Narrow" w:hAnsi="Arial Narrow" w:hint="default"/>
        <w:b/>
        <w:bCs/>
        <w:sz w:val="32"/>
        <w:szCs w:val="32"/>
      </w:r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27" w15:restartNumberingAfterBreak="0">
    <w:nsid w:val="4268522A"/>
    <w:multiLevelType w:val="multilevel"/>
    <w:tmpl w:val="D7DE1CA4"/>
    <w:lvl w:ilvl="0">
      <w:start w:val="1"/>
      <w:numFmt w:val="decimal"/>
      <w:pStyle w:val="BulletListSingleLast"/>
      <w:lvlText w:val="%1."/>
      <w:lvlJc w:val="left"/>
      <w:pPr>
        <w:ind w:left="720" w:hanging="720"/>
      </w:pPr>
      <w:rPr>
        <w:rFonts w:ascii="Arial Narrow" w:eastAsia="Arial Narrow" w:hAnsi="Arial Narrow" w:cs="Arial Narrow"/>
        <w:b/>
        <w:i w:val="0"/>
        <w:sz w:val="36"/>
        <w:szCs w:val="36"/>
      </w:rPr>
    </w:lvl>
    <w:lvl w:ilvl="1">
      <w:start w:val="1"/>
      <w:numFmt w:val="decimal"/>
      <w:lvlText w:val="%1.%2"/>
      <w:lvlJc w:val="left"/>
      <w:pPr>
        <w:ind w:left="720" w:hanging="720"/>
      </w:pPr>
      <w:rPr>
        <w:rFonts w:ascii="Arial Narrow" w:eastAsia="Arial Narrow" w:hAnsi="Arial Narrow" w:cs="Arial Narrow"/>
        <w:b/>
        <w:i w:val="0"/>
        <w:sz w:val="32"/>
        <w:szCs w:val="32"/>
      </w:rPr>
    </w:lvl>
    <w:lvl w:ilvl="2">
      <w:start w:val="1"/>
      <w:numFmt w:val="decimal"/>
      <w:lvlText w:val="%1.%2.%3"/>
      <w:lvlJc w:val="left"/>
      <w:pPr>
        <w:ind w:left="2286" w:hanging="936"/>
      </w:pPr>
      <w:rPr>
        <w:rFonts w:ascii="Arial Narrow" w:eastAsia="Arial Narrow" w:hAnsi="Arial Narrow" w:cs="Arial Narrow"/>
        <w:b/>
        <w:i w:val="0"/>
        <w:sz w:val="28"/>
        <w:szCs w:val="28"/>
      </w:rPr>
    </w:lvl>
    <w:lvl w:ilvl="3">
      <w:start w:val="1"/>
      <w:numFmt w:val="decimal"/>
      <w:lvlText w:val="%1.%2.%3.%4"/>
      <w:lvlJc w:val="left"/>
      <w:pPr>
        <w:ind w:left="1008" w:hanging="1008"/>
      </w:pPr>
      <w:rPr>
        <w:rFonts w:ascii="Arial Narrow" w:eastAsia="Arial Narrow" w:hAnsi="Arial Narrow" w:cs="Arial Narrow"/>
        <w:b/>
        <w:i w:val="0"/>
        <w:smallCaps w:val="0"/>
        <w:strike w:val="0"/>
        <w:color w:val="000000"/>
        <w:sz w:val="26"/>
        <w:szCs w:val="26"/>
        <w:vertAlign w:val="baseline"/>
      </w:rPr>
    </w:lvl>
    <w:lvl w:ilvl="4">
      <w:start w:val="1"/>
      <w:numFmt w:val="decimal"/>
      <w:lvlText w:val="%1.%2.%3.%4.%5"/>
      <w:lvlJc w:val="left"/>
      <w:pPr>
        <w:ind w:left="1224" w:hanging="1224"/>
      </w:pPr>
      <w:rPr>
        <w:rFonts w:ascii="Arial Narrow" w:eastAsia="Arial Narrow" w:hAnsi="Arial Narrow" w:cs="Arial Narrow"/>
        <w:b w:val="0"/>
        <w:i/>
        <w:sz w:val="26"/>
        <w:szCs w:val="26"/>
      </w:rPr>
    </w:lvl>
    <w:lvl w:ilvl="5">
      <w:start w:val="1"/>
      <w:numFmt w:val="decimal"/>
      <w:lvlText w:val="%1.%2.%3.%4.%5.%6"/>
      <w:lvlJc w:val="left"/>
      <w:pPr>
        <w:ind w:left="1728" w:hanging="1152"/>
      </w:pPr>
      <w:rPr>
        <w:rFonts w:ascii="Arial Narrow" w:eastAsia="Arial Narrow" w:hAnsi="Arial Narrow" w:cs="Arial Narrow"/>
        <w:b w:val="0"/>
        <w:i/>
        <w:sz w:val="26"/>
        <w:szCs w:val="26"/>
      </w:rPr>
    </w:lvl>
    <w:lvl w:ilvl="6">
      <w:start w:val="1"/>
      <w:numFmt w:val="decimal"/>
      <w:lvlText w:val="%1.%2.%3.%4.%5.%6.%7"/>
      <w:lvlJc w:val="left"/>
      <w:pPr>
        <w:ind w:left="1872" w:hanging="1872"/>
      </w:pPr>
      <w:rPr>
        <w:rFonts w:ascii="Arial Narrow" w:eastAsia="Arial Narrow" w:hAnsi="Arial Narrow" w:cs="Arial Narrow"/>
        <w:b w:val="0"/>
        <w:i/>
        <w:sz w:val="24"/>
        <w:szCs w:val="24"/>
      </w:r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8" w15:restartNumberingAfterBreak="0">
    <w:nsid w:val="439D1990"/>
    <w:multiLevelType w:val="hybridMultilevel"/>
    <w:tmpl w:val="11C4FD16"/>
    <w:lvl w:ilvl="0" w:tplc="C214EA3A">
      <w:start w:val="1"/>
      <w:numFmt w:val="lowerLetter"/>
      <w:pStyle w:val="ListAlpha2"/>
      <w:lvlText w:val="%1."/>
      <w:lvlJc w:val="left"/>
      <w:pPr>
        <w:tabs>
          <w:tab w:val="num" w:pos="720"/>
        </w:tabs>
        <w:ind w:left="720" w:hanging="360"/>
      </w:pPr>
    </w:lvl>
    <w:lvl w:ilvl="1" w:tplc="E536F2EE" w:tentative="1">
      <w:start w:val="1"/>
      <w:numFmt w:val="lowerLetter"/>
      <w:lvlText w:val="%2."/>
      <w:lvlJc w:val="left"/>
      <w:pPr>
        <w:ind w:left="1800" w:hanging="360"/>
      </w:pPr>
    </w:lvl>
    <w:lvl w:ilvl="2" w:tplc="46C6B0FC" w:tentative="1">
      <w:start w:val="1"/>
      <w:numFmt w:val="lowerRoman"/>
      <w:lvlText w:val="%3."/>
      <w:lvlJc w:val="right"/>
      <w:pPr>
        <w:ind w:left="2520" w:hanging="180"/>
      </w:pPr>
    </w:lvl>
    <w:lvl w:ilvl="3" w:tplc="4FE0B10A" w:tentative="1">
      <w:start w:val="1"/>
      <w:numFmt w:val="decimal"/>
      <w:lvlText w:val="%4."/>
      <w:lvlJc w:val="left"/>
      <w:pPr>
        <w:ind w:left="3240" w:hanging="360"/>
      </w:pPr>
    </w:lvl>
    <w:lvl w:ilvl="4" w:tplc="6B32C604" w:tentative="1">
      <w:start w:val="1"/>
      <w:numFmt w:val="lowerLetter"/>
      <w:lvlText w:val="%5."/>
      <w:lvlJc w:val="left"/>
      <w:pPr>
        <w:ind w:left="3960" w:hanging="360"/>
      </w:pPr>
    </w:lvl>
    <w:lvl w:ilvl="5" w:tplc="3572A762" w:tentative="1">
      <w:start w:val="1"/>
      <w:numFmt w:val="lowerRoman"/>
      <w:lvlText w:val="%6."/>
      <w:lvlJc w:val="right"/>
      <w:pPr>
        <w:ind w:left="4680" w:hanging="180"/>
      </w:pPr>
    </w:lvl>
    <w:lvl w:ilvl="6" w:tplc="DE2014EA" w:tentative="1">
      <w:start w:val="1"/>
      <w:numFmt w:val="decimal"/>
      <w:lvlText w:val="%7."/>
      <w:lvlJc w:val="left"/>
      <w:pPr>
        <w:ind w:left="5400" w:hanging="360"/>
      </w:pPr>
    </w:lvl>
    <w:lvl w:ilvl="7" w:tplc="AB2C570C" w:tentative="1">
      <w:start w:val="1"/>
      <w:numFmt w:val="lowerLetter"/>
      <w:lvlText w:val="%8."/>
      <w:lvlJc w:val="left"/>
      <w:pPr>
        <w:ind w:left="6120" w:hanging="360"/>
      </w:pPr>
    </w:lvl>
    <w:lvl w:ilvl="8" w:tplc="FCEA6618" w:tentative="1">
      <w:start w:val="1"/>
      <w:numFmt w:val="lowerRoman"/>
      <w:lvlText w:val="%9."/>
      <w:lvlJc w:val="right"/>
      <w:pPr>
        <w:ind w:left="6840" w:hanging="180"/>
      </w:pPr>
    </w:lvl>
  </w:abstractNum>
  <w:abstractNum w:abstractNumId="29" w15:restartNumberingAfterBreak="0">
    <w:nsid w:val="4CB46582"/>
    <w:multiLevelType w:val="multilevel"/>
    <w:tmpl w:val="07C2E57A"/>
    <w:lvl w:ilvl="0">
      <w:start w:val="1"/>
      <w:numFmt w:val="upperLetter"/>
      <w:pStyle w:val="ListAlpha"/>
      <w:lvlText w:val="%1."/>
      <w:lvlJc w:val="left"/>
      <w:pPr>
        <w:ind w:left="360" w:hanging="360"/>
      </w:pPr>
    </w:lvl>
    <w:lvl w:ilvl="1">
      <w:start w:val="1"/>
      <w:numFmt w:val="upperLetter"/>
      <w:pStyle w:val="Heading2"/>
      <w:lvlText w:val="%2."/>
      <w:lvlJc w:val="left"/>
      <w:pPr>
        <w:ind w:left="720" w:firstLine="0"/>
      </w:pPr>
      <w:rPr>
        <w:rFonts w:hint="default"/>
      </w:rPr>
    </w:lvl>
    <w:lvl w:ilvl="2">
      <w:start w:val="1"/>
      <w:numFmt w:val="decimal"/>
      <w:pStyle w:val="Heading3"/>
      <w:lvlText w:val="%3."/>
      <w:lvlJc w:val="left"/>
      <w:pPr>
        <w:ind w:left="1440" w:firstLine="0"/>
      </w:pPr>
      <w:rPr>
        <w:rFonts w:hint="default"/>
      </w:rPr>
    </w:lvl>
    <w:lvl w:ilvl="3">
      <w:start w:val="1"/>
      <w:numFmt w:val="lowerLetter"/>
      <w:pStyle w:val="Heading4"/>
      <w:lvlText w:val="%4)"/>
      <w:lvlJc w:val="left"/>
      <w:pPr>
        <w:ind w:left="2160" w:firstLine="0"/>
      </w:pPr>
      <w:rPr>
        <w:rFonts w:hint="default"/>
      </w:rPr>
    </w:lvl>
    <w:lvl w:ilvl="4">
      <w:start w:val="1"/>
      <w:numFmt w:val="decimal"/>
      <w:pStyle w:val="Heading5"/>
      <w:lvlText w:val="(%5)"/>
      <w:lvlJc w:val="left"/>
      <w:pPr>
        <w:ind w:left="2880" w:firstLine="0"/>
      </w:pPr>
      <w:rPr>
        <w:rFonts w:hint="default"/>
      </w:rPr>
    </w:lvl>
    <w:lvl w:ilvl="5">
      <w:start w:val="1"/>
      <w:numFmt w:val="lowerLetter"/>
      <w:pStyle w:val="Heading6"/>
      <w:lvlText w:val="(%6)"/>
      <w:lvlJc w:val="left"/>
      <w:pPr>
        <w:ind w:left="3600" w:firstLine="0"/>
      </w:pPr>
      <w:rPr>
        <w:rFonts w:hint="default"/>
      </w:rPr>
    </w:lvl>
    <w:lvl w:ilvl="6">
      <w:start w:val="1"/>
      <w:numFmt w:val="lowerRoman"/>
      <w:pStyle w:val="Heading7"/>
      <w:lvlText w:val="(%7)"/>
      <w:lvlJc w:val="left"/>
      <w:pPr>
        <w:ind w:left="4320" w:firstLine="0"/>
      </w:pPr>
      <w:rPr>
        <w:rFonts w:hint="default"/>
      </w:rPr>
    </w:lvl>
    <w:lvl w:ilvl="7">
      <w:start w:val="1"/>
      <w:numFmt w:val="lowerLetter"/>
      <w:pStyle w:val="Heading8"/>
      <w:lvlText w:val="(%8)"/>
      <w:lvlJc w:val="left"/>
      <w:pPr>
        <w:ind w:left="5040" w:firstLine="0"/>
      </w:pPr>
      <w:rPr>
        <w:rFonts w:hint="default"/>
      </w:rPr>
    </w:lvl>
    <w:lvl w:ilvl="8">
      <w:start w:val="1"/>
      <w:numFmt w:val="lowerRoman"/>
      <w:pStyle w:val="Heading9"/>
      <w:lvlText w:val="(%9)"/>
      <w:lvlJc w:val="left"/>
      <w:pPr>
        <w:ind w:left="5760" w:firstLine="0"/>
      </w:pPr>
      <w:rPr>
        <w:rFonts w:hint="default"/>
      </w:rPr>
    </w:lvl>
  </w:abstractNum>
  <w:abstractNum w:abstractNumId="30" w15:restartNumberingAfterBreak="0">
    <w:nsid w:val="4E2F2ADC"/>
    <w:multiLevelType w:val="multilevel"/>
    <w:tmpl w:val="CA3E43B8"/>
    <w:lvl w:ilvl="0">
      <w:start w:val="1"/>
      <w:numFmt w:val="bullet"/>
      <w:lvlText w:val="●"/>
      <w:lvlJc w:val="left"/>
      <w:pPr>
        <w:ind w:left="720" w:hanging="360"/>
      </w:pPr>
      <w:rPr>
        <w:rFonts w:ascii="Noto Sans Symbols" w:eastAsia="Noto Sans Symbols" w:hAnsi="Noto Sans Symbols" w:cs="Noto Sans Symbols"/>
        <w:b w:val="0"/>
        <w:i w:val="0"/>
        <w:color w:val="000000"/>
        <w:sz w:val="24"/>
        <w:szCs w:val="24"/>
      </w:rPr>
    </w:lvl>
    <w:lvl w:ilvl="1">
      <w:start w:val="1"/>
      <w:numFmt w:val="bullet"/>
      <w:lvlText w:val="–"/>
      <w:lvlJc w:val="left"/>
      <w:pPr>
        <w:ind w:left="1080" w:hanging="360"/>
      </w:pPr>
      <w:rPr>
        <w:rFonts w:ascii="Arial" w:eastAsia="Arial" w:hAnsi="Arial" w:cs="Arial"/>
        <w:b w:val="0"/>
        <w:i w:val="0"/>
        <w:sz w:val="24"/>
        <w:szCs w:val="24"/>
      </w:rPr>
    </w:lvl>
    <w:lvl w:ilvl="2">
      <w:start w:val="1"/>
      <w:numFmt w:val="bullet"/>
      <w:pStyle w:val="BulletListMultipleInd3"/>
      <w:lvlText w:val="♦"/>
      <w:lvlJc w:val="left"/>
      <w:pPr>
        <w:ind w:left="1440" w:hanging="360"/>
      </w:pPr>
      <w:rPr>
        <w:rFonts w:ascii="Noto Sans Symbols" w:eastAsia="Noto Sans Symbols" w:hAnsi="Noto Sans Symbols" w:cs="Noto Sans Symbols"/>
        <w:b w:val="0"/>
        <w:i w:val="0"/>
        <w:sz w:val="16"/>
        <w:szCs w:val="16"/>
      </w:rPr>
    </w:lvl>
    <w:lvl w:ilvl="3">
      <w:start w:val="1"/>
      <w:numFmt w:val="bullet"/>
      <w:lvlText w:val="●"/>
      <w:lvlJc w:val="left"/>
      <w:pPr>
        <w:ind w:left="360" w:hanging="360"/>
      </w:pPr>
      <w:rPr>
        <w:rFonts w:ascii="Noto Sans Symbols" w:eastAsia="Noto Sans Symbols" w:hAnsi="Noto Sans Symbols" w:cs="Noto Sans Symbols"/>
        <w:b w:val="0"/>
        <w:i w:val="0"/>
        <w:sz w:val="22"/>
        <w:szCs w:val="22"/>
      </w:rPr>
    </w:lvl>
    <w:lvl w:ilvl="4">
      <w:start w:val="1"/>
      <w:numFmt w:val="decimal"/>
      <w:lvlText w:val="●.–.♦.●.%5."/>
      <w:lvlJc w:val="left"/>
      <w:pPr>
        <w:ind w:left="3096" w:hanging="864"/>
      </w:pPr>
      <w:rPr>
        <w:rFonts w:ascii="Arial Narrow" w:eastAsia="Arial Narrow" w:hAnsi="Arial Narrow" w:cs="Arial Narrow"/>
        <w:b w:val="0"/>
        <w:i w:val="0"/>
        <w:sz w:val="24"/>
        <w:szCs w:val="24"/>
      </w:rPr>
    </w:lvl>
    <w:lvl w:ilvl="5">
      <w:start w:val="1"/>
      <w:numFmt w:val="decimal"/>
      <w:lvlText w:val="●.–.♦.●.%5.%6."/>
      <w:lvlJc w:val="left"/>
      <w:pPr>
        <w:ind w:left="4176" w:hanging="1080"/>
      </w:pPr>
      <w:rPr>
        <w:rFonts w:ascii="Arial Narrow" w:eastAsia="Arial Narrow" w:hAnsi="Arial Narrow" w:cs="Arial Narrow"/>
        <w:b w:val="0"/>
        <w:i w:val="0"/>
        <w:sz w:val="24"/>
        <w:szCs w:val="24"/>
      </w:rPr>
    </w:lvl>
    <w:lvl w:ilvl="6">
      <w:start w:val="1"/>
      <w:numFmt w:val="decimal"/>
      <w:lvlText w:val="●.–.♦.●.%5.%6.%7."/>
      <w:lvlJc w:val="left"/>
      <w:pPr>
        <w:ind w:left="5400" w:hanging="1224"/>
      </w:pPr>
      <w:rPr>
        <w:rFonts w:ascii="Arial Narrow" w:eastAsia="Arial Narrow" w:hAnsi="Arial Narrow" w:cs="Arial Narrow"/>
        <w:b w:val="0"/>
        <w:i w:val="0"/>
        <w:sz w:val="24"/>
        <w:szCs w:val="24"/>
      </w:rPr>
    </w:lvl>
    <w:lvl w:ilvl="7">
      <w:start w:val="1"/>
      <w:numFmt w:val="decimal"/>
      <w:lvlText w:val="●.–.♦.●.%5.%6.%7.%8."/>
      <w:lvlJc w:val="left"/>
      <w:pPr>
        <w:ind w:left="3744" w:hanging="1224"/>
      </w:pPr>
      <w:rPr>
        <w:rFonts w:ascii="Arial Narrow" w:eastAsia="Arial Narrow" w:hAnsi="Arial Narrow" w:cs="Arial Narrow"/>
        <w:b w:val="0"/>
        <w:i w:val="0"/>
        <w:sz w:val="18"/>
        <w:szCs w:val="18"/>
      </w:rPr>
    </w:lvl>
    <w:lvl w:ilvl="8">
      <w:start w:val="1"/>
      <w:numFmt w:val="decimal"/>
      <w:lvlText w:val="●.–.♦.●.%5.%6.%7.%8.%9."/>
      <w:lvlJc w:val="left"/>
      <w:pPr>
        <w:ind w:left="4320" w:hanging="1440"/>
      </w:pPr>
      <w:rPr>
        <w:rFonts w:ascii="Arial Narrow" w:eastAsia="Arial Narrow" w:hAnsi="Arial Narrow" w:cs="Arial Narrow"/>
        <w:b w:val="0"/>
        <w:i w:val="0"/>
        <w:sz w:val="18"/>
        <w:szCs w:val="18"/>
      </w:rPr>
    </w:lvl>
  </w:abstractNum>
  <w:abstractNum w:abstractNumId="31" w15:restartNumberingAfterBreak="0">
    <w:nsid w:val="51A6124B"/>
    <w:multiLevelType w:val="multilevel"/>
    <w:tmpl w:val="04090023"/>
    <w:styleLink w:val="ArticleSection"/>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32" w15:restartNumberingAfterBreak="0">
    <w:nsid w:val="532B5A8D"/>
    <w:multiLevelType w:val="multilevel"/>
    <w:tmpl w:val="499A04FE"/>
    <w:lvl w:ilvl="0">
      <w:start w:val="1"/>
      <w:numFmt w:val="bullet"/>
      <w:pStyle w:val="ESHeading1"/>
      <w:lvlText w:val="●"/>
      <w:lvlJc w:val="left"/>
      <w:pPr>
        <w:ind w:left="720" w:hanging="360"/>
      </w:pPr>
      <w:rPr>
        <w:rFonts w:ascii="Noto Sans Symbols" w:eastAsia="Noto Sans Symbols" w:hAnsi="Noto Sans Symbols" w:cs="Noto Sans Symbols"/>
        <w:b w:val="0"/>
        <w:i w:val="0"/>
        <w:color w:val="000000"/>
        <w:sz w:val="24"/>
        <w:szCs w:val="24"/>
      </w:rPr>
    </w:lvl>
    <w:lvl w:ilvl="1">
      <w:start w:val="1"/>
      <w:numFmt w:val="bullet"/>
      <w:pStyle w:val="ESHeading2"/>
      <w:lvlText w:val="o"/>
      <w:lvlJc w:val="left"/>
      <w:pPr>
        <w:ind w:left="1080" w:hanging="360"/>
      </w:pPr>
      <w:rPr>
        <w:rFonts w:ascii="Courier New" w:eastAsia="Courier New" w:hAnsi="Courier New" w:cs="Courier New"/>
      </w:rPr>
    </w:lvl>
    <w:lvl w:ilvl="2">
      <w:start w:val="1"/>
      <w:numFmt w:val="bullet"/>
      <w:pStyle w:val="ESHeading3"/>
      <w:lvlText w:val="♦"/>
      <w:lvlJc w:val="left"/>
      <w:pPr>
        <w:ind w:left="1440" w:hanging="360"/>
      </w:pPr>
      <w:rPr>
        <w:rFonts w:ascii="Noto Sans Symbols" w:eastAsia="Noto Sans Symbols" w:hAnsi="Noto Sans Symbols" w:cs="Noto Sans Symbols"/>
        <w:b w:val="0"/>
        <w:i w:val="0"/>
        <w:sz w:val="16"/>
        <w:szCs w:val="16"/>
      </w:rPr>
    </w:lvl>
    <w:lvl w:ilvl="3">
      <w:start w:val="1"/>
      <w:numFmt w:val="bullet"/>
      <w:pStyle w:val="ESHeading4"/>
      <w:lvlText w:val="●"/>
      <w:lvlJc w:val="left"/>
      <w:pPr>
        <w:ind w:left="360" w:hanging="360"/>
      </w:pPr>
      <w:rPr>
        <w:rFonts w:ascii="Noto Sans Symbols" w:eastAsia="Noto Sans Symbols" w:hAnsi="Noto Sans Symbols" w:cs="Noto Sans Symbols"/>
        <w:b w:val="0"/>
        <w:i w:val="0"/>
        <w:sz w:val="22"/>
        <w:szCs w:val="22"/>
      </w:rPr>
    </w:lvl>
    <w:lvl w:ilvl="4">
      <w:start w:val="1"/>
      <w:numFmt w:val="decimal"/>
      <w:pStyle w:val="ESHeading5"/>
      <w:lvlText w:val="●.o.♦.●.%5."/>
      <w:lvlJc w:val="left"/>
      <w:pPr>
        <w:ind w:left="3096" w:hanging="864"/>
      </w:pPr>
      <w:rPr>
        <w:rFonts w:ascii="Arial Narrow" w:eastAsia="Arial Narrow" w:hAnsi="Arial Narrow" w:cs="Arial Narrow"/>
        <w:b w:val="0"/>
        <w:i w:val="0"/>
        <w:sz w:val="24"/>
        <w:szCs w:val="24"/>
      </w:rPr>
    </w:lvl>
    <w:lvl w:ilvl="5">
      <w:start w:val="1"/>
      <w:numFmt w:val="decimal"/>
      <w:pStyle w:val="ESHeading6"/>
      <w:lvlText w:val="●.o.♦.●.%5.%6."/>
      <w:lvlJc w:val="left"/>
      <w:pPr>
        <w:ind w:left="4176" w:hanging="1080"/>
      </w:pPr>
      <w:rPr>
        <w:rFonts w:ascii="Arial Narrow" w:eastAsia="Arial Narrow" w:hAnsi="Arial Narrow" w:cs="Arial Narrow"/>
        <w:b w:val="0"/>
        <w:i w:val="0"/>
        <w:sz w:val="24"/>
        <w:szCs w:val="24"/>
      </w:rPr>
    </w:lvl>
    <w:lvl w:ilvl="6">
      <w:start w:val="1"/>
      <w:numFmt w:val="decimal"/>
      <w:pStyle w:val="ESHeading7"/>
      <w:lvlText w:val="●.o.♦.●.%5.%6.%7."/>
      <w:lvlJc w:val="left"/>
      <w:pPr>
        <w:ind w:left="5400" w:hanging="1224"/>
      </w:pPr>
      <w:rPr>
        <w:rFonts w:ascii="Arial Narrow" w:eastAsia="Arial Narrow" w:hAnsi="Arial Narrow" w:cs="Arial Narrow"/>
        <w:b w:val="0"/>
        <w:i w:val="0"/>
        <w:sz w:val="24"/>
        <w:szCs w:val="24"/>
      </w:rPr>
    </w:lvl>
    <w:lvl w:ilvl="7">
      <w:start w:val="1"/>
      <w:numFmt w:val="decimal"/>
      <w:lvlText w:val="●.o.♦.●.%5.%6.%7.%8."/>
      <w:lvlJc w:val="left"/>
      <w:pPr>
        <w:ind w:left="3744" w:hanging="1224"/>
      </w:pPr>
      <w:rPr>
        <w:rFonts w:ascii="Arial Narrow" w:eastAsia="Arial Narrow" w:hAnsi="Arial Narrow" w:cs="Arial Narrow"/>
        <w:b w:val="0"/>
        <w:i w:val="0"/>
        <w:sz w:val="18"/>
        <w:szCs w:val="18"/>
      </w:rPr>
    </w:lvl>
    <w:lvl w:ilvl="8">
      <w:start w:val="1"/>
      <w:numFmt w:val="decimal"/>
      <w:lvlText w:val="●.o.♦.●.%5.%6.%7.%8.%9."/>
      <w:lvlJc w:val="left"/>
      <w:pPr>
        <w:ind w:left="4320" w:hanging="1440"/>
      </w:pPr>
      <w:rPr>
        <w:rFonts w:ascii="Arial Narrow" w:eastAsia="Arial Narrow" w:hAnsi="Arial Narrow" w:cs="Arial Narrow"/>
        <w:b w:val="0"/>
        <w:i w:val="0"/>
        <w:sz w:val="18"/>
        <w:szCs w:val="18"/>
      </w:rPr>
    </w:lvl>
  </w:abstractNum>
  <w:abstractNum w:abstractNumId="33" w15:restartNumberingAfterBreak="0">
    <w:nsid w:val="542A0870"/>
    <w:multiLevelType w:val="multilevel"/>
    <w:tmpl w:val="A53C9DD4"/>
    <w:lvl w:ilvl="0">
      <w:start w:val="1"/>
      <w:numFmt w:val="bullet"/>
      <w:pStyle w:val="NumberedList2bulleted"/>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4" w15:restartNumberingAfterBreak="0">
    <w:nsid w:val="55387DC8"/>
    <w:multiLevelType w:val="multilevel"/>
    <w:tmpl w:val="0CDA77FC"/>
    <w:lvl w:ilvl="0">
      <w:start w:val="1"/>
      <w:numFmt w:val="upperRoman"/>
      <w:lvlText w:val="%1"/>
      <w:lvlJc w:val="left"/>
      <w:pPr>
        <w:tabs>
          <w:tab w:val="num" w:pos="720"/>
        </w:tabs>
        <w:ind w:left="720" w:hanging="360"/>
      </w:pPr>
      <w:rPr>
        <w:rFonts w:hint="default"/>
      </w:rPr>
    </w:lvl>
    <w:lvl w:ilvl="1">
      <w:start w:val="1"/>
      <w:numFmt w:val="upperLetter"/>
      <w:pStyle w:val="Outline2"/>
      <w:lvlText w:val="%2."/>
      <w:lvlJc w:val="left"/>
      <w:pPr>
        <w:tabs>
          <w:tab w:val="num" w:pos="1080"/>
        </w:tabs>
        <w:ind w:left="1080" w:hanging="360"/>
      </w:pPr>
      <w:rPr>
        <w:rFonts w:hint="default"/>
      </w:rPr>
    </w:lvl>
    <w:lvl w:ilvl="2">
      <w:start w:val="1"/>
      <w:numFmt w:val="decimal"/>
      <w:pStyle w:val="Outline3"/>
      <w:lvlText w:val="%3."/>
      <w:lvlJc w:val="left"/>
      <w:pPr>
        <w:tabs>
          <w:tab w:val="num" w:pos="1440"/>
        </w:tabs>
        <w:ind w:left="1440" w:hanging="360"/>
      </w:pPr>
      <w:rPr>
        <w:rFonts w:hint="default"/>
      </w:rPr>
    </w:lvl>
    <w:lvl w:ilvl="3">
      <w:start w:val="1"/>
      <w:numFmt w:val="lowerLetter"/>
      <w:lvlText w:val="%4."/>
      <w:lvlJc w:val="left"/>
      <w:pPr>
        <w:tabs>
          <w:tab w:val="num" w:pos="1800"/>
        </w:tabs>
        <w:ind w:left="1800" w:hanging="360"/>
      </w:pPr>
      <w:rPr>
        <w:rFonts w:hint="default"/>
      </w:rPr>
    </w:lvl>
    <w:lvl w:ilvl="4">
      <w:start w:val="1"/>
      <w:numFmt w:val="lowerRoman"/>
      <w:lvlText w:val="%5."/>
      <w:lvlJc w:val="left"/>
      <w:pPr>
        <w:tabs>
          <w:tab w:val="num" w:pos="2160"/>
        </w:tabs>
        <w:ind w:left="216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5" w15:restartNumberingAfterBreak="0">
    <w:nsid w:val="55D64DC3"/>
    <w:multiLevelType w:val="multilevel"/>
    <w:tmpl w:val="D54447EE"/>
    <w:lvl w:ilvl="0">
      <w:start w:val="1"/>
      <w:numFmt w:val="bullet"/>
      <w:pStyle w:val="TableBullet"/>
      <w:lvlText w:val="●"/>
      <w:lvlJc w:val="left"/>
      <w:pPr>
        <w:ind w:left="720" w:hanging="360"/>
      </w:pPr>
      <w:rPr>
        <w:rFonts w:ascii="Noto Sans Symbols" w:eastAsia="Noto Sans Symbols" w:hAnsi="Noto Sans Symbols" w:cs="Noto Sans Symbols"/>
        <w:b w:val="0"/>
        <w:i w:val="0"/>
        <w:sz w:val="24"/>
        <w:szCs w:val="24"/>
      </w:rPr>
    </w:lvl>
    <w:lvl w:ilvl="1">
      <w:start w:val="1"/>
      <w:numFmt w:val="bullet"/>
      <w:lvlText w:val="–"/>
      <w:lvlJc w:val="left"/>
      <w:pPr>
        <w:ind w:left="1080" w:hanging="360"/>
      </w:pPr>
      <w:rPr>
        <w:rFonts w:ascii="Arial" w:eastAsia="Arial" w:hAnsi="Arial" w:cs="Arial"/>
        <w:b w:val="0"/>
        <w:i w:val="0"/>
        <w:sz w:val="24"/>
        <w:szCs w:val="24"/>
      </w:rPr>
    </w:lvl>
    <w:lvl w:ilvl="2">
      <w:start w:val="1"/>
      <w:numFmt w:val="bullet"/>
      <w:lvlText w:val="♦"/>
      <w:lvlJc w:val="left"/>
      <w:pPr>
        <w:ind w:left="1440" w:hanging="360"/>
      </w:pPr>
      <w:rPr>
        <w:rFonts w:ascii="Noto Sans Symbols" w:eastAsia="Noto Sans Symbols" w:hAnsi="Noto Sans Symbols" w:cs="Noto Sans Symbols"/>
        <w:b w:val="0"/>
        <w:i w:val="0"/>
        <w:sz w:val="16"/>
        <w:szCs w:val="16"/>
      </w:rPr>
    </w:lvl>
    <w:lvl w:ilvl="3">
      <w:start w:val="1"/>
      <w:numFmt w:val="bullet"/>
      <w:lvlText w:val="●"/>
      <w:lvlJc w:val="left"/>
      <w:pPr>
        <w:ind w:left="360" w:hanging="360"/>
      </w:pPr>
      <w:rPr>
        <w:rFonts w:ascii="Noto Sans Symbols" w:eastAsia="Noto Sans Symbols" w:hAnsi="Noto Sans Symbols" w:cs="Noto Sans Symbols"/>
        <w:b w:val="0"/>
        <w:i w:val="0"/>
        <w:sz w:val="22"/>
        <w:szCs w:val="22"/>
      </w:rPr>
    </w:lvl>
    <w:lvl w:ilvl="4">
      <w:start w:val="1"/>
      <w:numFmt w:val="decimal"/>
      <w:lvlText w:val="●.–.♦.●.%5."/>
      <w:lvlJc w:val="left"/>
      <w:pPr>
        <w:ind w:left="3096" w:hanging="864"/>
      </w:pPr>
      <w:rPr>
        <w:rFonts w:ascii="Arial Narrow" w:eastAsia="Arial Narrow" w:hAnsi="Arial Narrow" w:cs="Arial Narrow"/>
        <w:b w:val="0"/>
        <w:i w:val="0"/>
        <w:sz w:val="24"/>
        <w:szCs w:val="24"/>
      </w:rPr>
    </w:lvl>
    <w:lvl w:ilvl="5">
      <w:start w:val="1"/>
      <w:numFmt w:val="decimal"/>
      <w:lvlText w:val="●.–.♦.●.%5.%6."/>
      <w:lvlJc w:val="left"/>
      <w:pPr>
        <w:ind w:left="4176" w:hanging="1080"/>
      </w:pPr>
      <w:rPr>
        <w:rFonts w:ascii="Arial Narrow" w:eastAsia="Arial Narrow" w:hAnsi="Arial Narrow" w:cs="Arial Narrow"/>
        <w:b w:val="0"/>
        <w:i w:val="0"/>
        <w:sz w:val="24"/>
        <w:szCs w:val="24"/>
      </w:rPr>
    </w:lvl>
    <w:lvl w:ilvl="6">
      <w:start w:val="1"/>
      <w:numFmt w:val="decimal"/>
      <w:lvlText w:val="●.–.♦.●.%5.%6.%7."/>
      <w:lvlJc w:val="left"/>
      <w:pPr>
        <w:ind w:left="5400" w:hanging="1224"/>
      </w:pPr>
      <w:rPr>
        <w:rFonts w:ascii="Arial Narrow" w:eastAsia="Arial Narrow" w:hAnsi="Arial Narrow" w:cs="Arial Narrow"/>
        <w:b w:val="0"/>
        <w:i w:val="0"/>
        <w:sz w:val="24"/>
        <w:szCs w:val="24"/>
      </w:rPr>
    </w:lvl>
    <w:lvl w:ilvl="7">
      <w:start w:val="1"/>
      <w:numFmt w:val="decimal"/>
      <w:lvlText w:val="●.–.♦.●.%5.%6.%7.%8."/>
      <w:lvlJc w:val="left"/>
      <w:pPr>
        <w:ind w:left="3744" w:hanging="1224"/>
      </w:pPr>
      <w:rPr>
        <w:rFonts w:ascii="Arial Narrow" w:eastAsia="Arial Narrow" w:hAnsi="Arial Narrow" w:cs="Arial Narrow"/>
        <w:b w:val="0"/>
        <w:i w:val="0"/>
        <w:sz w:val="18"/>
        <w:szCs w:val="18"/>
      </w:rPr>
    </w:lvl>
    <w:lvl w:ilvl="8">
      <w:start w:val="1"/>
      <w:numFmt w:val="decimal"/>
      <w:lvlText w:val="●.–.♦.●.%5.%6.%7.%8.%9."/>
      <w:lvlJc w:val="left"/>
      <w:pPr>
        <w:ind w:left="4320" w:hanging="1440"/>
      </w:pPr>
      <w:rPr>
        <w:rFonts w:ascii="Arial Narrow" w:eastAsia="Arial Narrow" w:hAnsi="Arial Narrow" w:cs="Arial Narrow"/>
        <w:b w:val="0"/>
        <w:i w:val="0"/>
        <w:sz w:val="18"/>
        <w:szCs w:val="18"/>
      </w:rPr>
    </w:lvl>
  </w:abstractNum>
  <w:abstractNum w:abstractNumId="36" w15:restartNumberingAfterBreak="0">
    <w:nsid w:val="569E3FB1"/>
    <w:multiLevelType w:val="hybridMultilevel"/>
    <w:tmpl w:val="6F8E05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947468E"/>
    <w:multiLevelType w:val="hybridMultilevel"/>
    <w:tmpl w:val="121872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CBE3338"/>
    <w:multiLevelType w:val="multilevel"/>
    <w:tmpl w:val="477E22FA"/>
    <w:lvl w:ilvl="0">
      <w:start w:val="1"/>
      <w:numFmt w:val="bullet"/>
      <w:pStyle w:val="BulletList-SecondLevel"/>
      <w:lvlText w:val="●"/>
      <w:lvlJc w:val="left"/>
      <w:pPr>
        <w:ind w:left="720" w:hanging="360"/>
      </w:pPr>
      <w:rPr>
        <w:rFonts w:ascii="Noto Sans Symbols" w:eastAsia="Noto Sans Symbols" w:hAnsi="Noto Sans Symbols" w:cs="Noto Sans Symbols"/>
        <w:color w:val="00000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9" w15:restartNumberingAfterBreak="0">
    <w:nsid w:val="5CD47F9F"/>
    <w:multiLevelType w:val="hybridMultilevel"/>
    <w:tmpl w:val="79644D94"/>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15:restartNumberingAfterBreak="0">
    <w:nsid w:val="5E4D71C9"/>
    <w:multiLevelType w:val="multilevel"/>
    <w:tmpl w:val="FBD23AE8"/>
    <w:lvl w:ilvl="0">
      <w:start w:val="1"/>
      <w:numFmt w:val="bullet"/>
      <w:pStyle w:val="BulletList"/>
      <w:lvlText w:val="●"/>
      <w:lvlJc w:val="left"/>
      <w:pPr>
        <w:ind w:left="720" w:hanging="360"/>
      </w:pPr>
      <w:rPr>
        <w:rFonts w:ascii="Noto Sans Symbols" w:eastAsia="Noto Sans Symbols" w:hAnsi="Noto Sans Symbols" w:cs="Noto Sans Symbols"/>
        <w:b w:val="0"/>
        <w:i w:val="0"/>
        <w:sz w:val="24"/>
        <w:szCs w:val="24"/>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440" w:hanging="360"/>
      </w:pPr>
      <w:rPr>
        <w:rFonts w:ascii="Noto Sans Symbols" w:eastAsia="Noto Sans Symbols" w:hAnsi="Noto Sans Symbols" w:cs="Noto Sans Symbols"/>
        <w:b w:val="0"/>
        <w:i w:val="0"/>
        <w:sz w:val="16"/>
        <w:szCs w:val="16"/>
      </w:rPr>
    </w:lvl>
    <w:lvl w:ilvl="3">
      <w:start w:val="1"/>
      <w:numFmt w:val="bullet"/>
      <w:lvlText w:val="●"/>
      <w:lvlJc w:val="left"/>
      <w:pPr>
        <w:ind w:left="360" w:hanging="360"/>
      </w:pPr>
      <w:rPr>
        <w:rFonts w:ascii="Noto Sans Symbols" w:eastAsia="Noto Sans Symbols" w:hAnsi="Noto Sans Symbols" w:cs="Noto Sans Symbols"/>
        <w:b w:val="0"/>
        <w:i w:val="0"/>
        <w:sz w:val="22"/>
        <w:szCs w:val="22"/>
      </w:rPr>
    </w:lvl>
    <w:lvl w:ilvl="4">
      <w:start w:val="1"/>
      <w:numFmt w:val="decimal"/>
      <w:lvlText w:val="●.o.♦.●.%5."/>
      <w:lvlJc w:val="left"/>
      <w:pPr>
        <w:ind w:left="3096" w:hanging="864"/>
      </w:pPr>
      <w:rPr>
        <w:rFonts w:ascii="Arial Narrow" w:eastAsia="Arial Narrow" w:hAnsi="Arial Narrow" w:cs="Arial Narrow"/>
        <w:b w:val="0"/>
        <w:i w:val="0"/>
        <w:sz w:val="24"/>
        <w:szCs w:val="24"/>
      </w:rPr>
    </w:lvl>
    <w:lvl w:ilvl="5">
      <w:start w:val="1"/>
      <w:numFmt w:val="decimal"/>
      <w:lvlText w:val="●.o.♦.●.%5.%6."/>
      <w:lvlJc w:val="left"/>
      <w:pPr>
        <w:ind w:left="4176" w:hanging="1080"/>
      </w:pPr>
      <w:rPr>
        <w:rFonts w:ascii="Arial Narrow" w:eastAsia="Arial Narrow" w:hAnsi="Arial Narrow" w:cs="Arial Narrow"/>
        <w:b w:val="0"/>
        <w:i w:val="0"/>
        <w:sz w:val="24"/>
        <w:szCs w:val="24"/>
      </w:rPr>
    </w:lvl>
    <w:lvl w:ilvl="6">
      <w:start w:val="1"/>
      <w:numFmt w:val="decimal"/>
      <w:lvlText w:val="●.o.♦.●.%5.%6.%7."/>
      <w:lvlJc w:val="left"/>
      <w:pPr>
        <w:ind w:left="5400" w:hanging="1224"/>
      </w:pPr>
      <w:rPr>
        <w:rFonts w:ascii="Arial Narrow" w:eastAsia="Arial Narrow" w:hAnsi="Arial Narrow" w:cs="Arial Narrow"/>
        <w:b w:val="0"/>
        <w:i w:val="0"/>
        <w:sz w:val="24"/>
        <w:szCs w:val="24"/>
      </w:rPr>
    </w:lvl>
    <w:lvl w:ilvl="7">
      <w:start w:val="1"/>
      <w:numFmt w:val="decimal"/>
      <w:lvlText w:val="●.o.♦.●.%5.%6.%7.%8."/>
      <w:lvlJc w:val="left"/>
      <w:pPr>
        <w:ind w:left="3744" w:hanging="1224"/>
      </w:pPr>
      <w:rPr>
        <w:rFonts w:ascii="Arial Narrow" w:eastAsia="Arial Narrow" w:hAnsi="Arial Narrow" w:cs="Arial Narrow"/>
        <w:b w:val="0"/>
        <w:i w:val="0"/>
        <w:sz w:val="18"/>
        <w:szCs w:val="18"/>
      </w:rPr>
    </w:lvl>
    <w:lvl w:ilvl="8">
      <w:start w:val="1"/>
      <w:numFmt w:val="decimal"/>
      <w:lvlText w:val="●.o.♦.●.%5.%6.%7.%8.%9."/>
      <w:lvlJc w:val="left"/>
      <w:pPr>
        <w:ind w:left="4320" w:hanging="1440"/>
      </w:pPr>
      <w:rPr>
        <w:rFonts w:ascii="Arial Narrow" w:eastAsia="Arial Narrow" w:hAnsi="Arial Narrow" w:cs="Arial Narrow"/>
        <w:b w:val="0"/>
        <w:i w:val="0"/>
        <w:sz w:val="18"/>
        <w:szCs w:val="18"/>
      </w:rPr>
    </w:lvl>
  </w:abstractNum>
  <w:abstractNum w:abstractNumId="41" w15:restartNumberingAfterBreak="0">
    <w:nsid w:val="5EE36962"/>
    <w:multiLevelType w:val="hybridMultilevel"/>
    <w:tmpl w:val="980A3E10"/>
    <w:lvl w:ilvl="0" w:tplc="8A1271EE">
      <w:start w:val="1"/>
      <w:numFmt w:val="decimal"/>
      <w:pStyle w:val="ESListNumber"/>
      <w:lvlText w:val="%1."/>
      <w:lvlJc w:val="left"/>
      <w:pPr>
        <w:tabs>
          <w:tab w:val="num" w:pos="360"/>
        </w:tabs>
        <w:ind w:left="360" w:hanging="360"/>
      </w:pPr>
      <w:rPr>
        <w:rFonts w:hint="default"/>
        <w:b/>
        <w:i w:val="0"/>
      </w:rPr>
    </w:lvl>
    <w:lvl w:ilvl="1" w:tplc="E6FE4D78" w:tentative="1">
      <w:start w:val="1"/>
      <w:numFmt w:val="lowerLetter"/>
      <w:lvlText w:val="%2."/>
      <w:lvlJc w:val="left"/>
      <w:pPr>
        <w:ind w:left="1440" w:hanging="360"/>
      </w:pPr>
    </w:lvl>
    <w:lvl w:ilvl="2" w:tplc="6052B4A2" w:tentative="1">
      <w:start w:val="1"/>
      <w:numFmt w:val="lowerRoman"/>
      <w:lvlText w:val="%3."/>
      <w:lvlJc w:val="right"/>
      <w:pPr>
        <w:ind w:left="2160" w:hanging="180"/>
      </w:pPr>
    </w:lvl>
    <w:lvl w:ilvl="3" w:tplc="2BBAC2D4" w:tentative="1">
      <w:start w:val="1"/>
      <w:numFmt w:val="decimal"/>
      <w:lvlText w:val="%4."/>
      <w:lvlJc w:val="left"/>
      <w:pPr>
        <w:ind w:left="2880" w:hanging="360"/>
      </w:pPr>
    </w:lvl>
    <w:lvl w:ilvl="4" w:tplc="C5248704" w:tentative="1">
      <w:start w:val="1"/>
      <w:numFmt w:val="lowerLetter"/>
      <w:lvlText w:val="%5."/>
      <w:lvlJc w:val="left"/>
      <w:pPr>
        <w:ind w:left="3600" w:hanging="360"/>
      </w:pPr>
    </w:lvl>
    <w:lvl w:ilvl="5" w:tplc="3690B6B2" w:tentative="1">
      <w:start w:val="1"/>
      <w:numFmt w:val="lowerRoman"/>
      <w:lvlText w:val="%6."/>
      <w:lvlJc w:val="right"/>
      <w:pPr>
        <w:ind w:left="4320" w:hanging="180"/>
      </w:pPr>
    </w:lvl>
    <w:lvl w:ilvl="6" w:tplc="780E26F6" w:tentative="1">
      <w:start w:val="1"/>
      <w:numFmt w:val="decimal"/>
      <w:lvlText w:val="%7."/>
      <w:lvlJc w:val="left"/>
      <w:pPr>
        <w:ind w:left="5040" w:hanging="360"/>
      </w:pPr>
    </w:lvl>
    <w:lvl w:ilvl="7" w:tplc="046E580C" w:tentative="1">
      <w:start w:val="1"/>
      <w:numFmt w:val="lowerLetter"/>
      <w:lvlText w:val="%8."/>
      <w:lvlJc w:val="left"/>
      <w:pPr>
        <w:ind w:left="5760" w:hanging="360"/>
      </w:pPr>
    </w:lvl>
    <w:lvl w:ilvl="8" w:tplc="40382734" w:tentative="1">
      <w:start w:val="1"/>
      <w:numFmt w:val="lowerRoman"/>
      <w:lvlText w:val="%9."/>
      <w:lvlJc w:val="right"/>
      <w:pPr>
        <w:ind w:left="6480" w:hanging="180"/>
      </w:pPr>
    </w:lvl>
  </w:abstractNum>
  <w:abstractNum w:abstractNumId="42" w15:restartNumberingAfterBreak="0">
    <w:nsid w:val="5F1C0E01"/>
    <w:multiLevelType w:val="hybridMultilevel"/>
    <w:tmpl w:val="DA4C2316"/>
    <w:lvl w:ilvl="0" w:tplc="EC367472">
      <w:start w:val="1"/>
      <w:numFmt w:val="bullet"/>
      <w:lvlText w:val="-"/>
      <w:lvlJc w:val="left"/>
      <w:pPr>
        <w:ind w:left="360" w:hanging="360"/>
      </w:pPr>
      <w:rPr>
        <w:rFonts w:ascii="Verdana" w:eastAsia="Verdana" w:hAnsi="Verdana" w:cs="Verdana"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3" w15:restartNumberingAfterBreak="0">
    <w:nsid w:val="654A0A4F"/>
    <w:multiLevelType w:val="multilevel"/>
    <w:tmpl w:val="4D287FEE"/>
    <w:lvl w:ilvl="0">
      <w:start w:val="1"/>
      <w:numFmt w:val="bullet"/>
      <w:pStyle w:val="Numberedlist"/>
      <w:lvlText w:val="●"/>
      <w:lvlJc w:val="left"/>
      <w:pPr>
        <w:ind w:left="720" w:hanging="360"/>
      </w:pPr>
      <w:rPr>
        <w:rFonts w:ascii="Noto Sans Symbols" w:eastAsia="Noto Sans Symbols" w:hAnsi="Noto Sans Symbols" w:cs="Noto Sans Symbols"/>
      </w:rPr>
    </w:lvl>
    <w:lvl w:ilvl="1">
      <w:start w:val="1"/>
      <w:numFmt w:val="lowerLetter"/>
      <w:lvlText w:val="%2."/>
      <w:lvlJc w:val="left"/>
      <w:pPr>
        <w:ind w:left="1440" w:hanging="360"/>
      </w:pPr>
    </w:lvl>
    <w:lvl w:ilvl="2">
      <w:start w:val="5"/>
      <w:numFmt w:val="decimal"/>
      <w:lvlText w:val="%3)"/>
      <w:lvlJc w:val="left"/>
      <w:pPr>
        <w:ind w:left="2340" w:hanging="360"/>
      </w:pPr>
      <w:rPr>
        <w:color w:val="000000"/>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15:restartNumberingAfterBreak="0">
    <w:nsid w:val="670C07F0"/>
    <w:multiLevelType w:val="multilevel"/>
    <w:tmpl w:val="730AD512"/>
    <w:lvl w:ilvl="0">
      <w:start w:val="1"/>
      <w:numFmt w:val="bullet"/>
      <w:pStyle w:val="AppHeading1"/>
      <w:lvlText w:val="●"/>
      <w:lvlJc w:val="left"/>
      <w:pPr>
        <w:ind w:left="720" w:hanging="360"/>
      </w:pPr>
      <w:rPr>
        <w:rFonts w:ascii="Noto Sans Symbols" w:eastAsia="Noto Sans Symbols" w:hAnsi="Noto Sans Symbols" w:cs="Noto Sans Symbols"/>
        <w:b w:val="0"/>
        <w:i w:val="0"/>
        <w:color w:val="000000"/>
        <w:sz w:val="24"/>
        <w:szCs w:val="24"/>
      </w:rPr>
    </w:lvl>
    <w:lvl w:ilvl="1">
      <w:start w:val="1"/>
      <w:numFmt w:val="bullet"/>
      <w:pStyle w:val="AppHeading2"/>
      <w:lvlText w:val="o"/>
      <w:lvlJc w:val="left"/>
      <w:pPr>
        <w:ind w:left="1080" w:hanging="360"/>
      </w:pPr>
      <w:rPr>
        <w:rFonts w:ascii="Courier New" w:eastAsia="Courier New" w:hAnsi="Courier New" w:cs="Courier New"/>
      </w:rPr>
    </w:lvl>
    <w:lvl w:ilvl="2">
      <w:start w:val="1"/>
      <w:numFmt w:val="bullet"/>
      <w:pStyle w:val="AppHeading3"/>
      <w:lvlText w:val="♦"/>
      <w:lvlJc w:val="left"/>
      <w:pPr>
        <w:ind w:left="1440" w:hanging="360"/>
      </w:pPr>
      <w:rPr>
        <w:rFonts w:ascii="Noto Sans Symbols" w:eastAsia="Noto Sans Symbols" w:hAnsi="Noto Sans Symbols" w:cs="Noto Sans Symbols"/>
        <w:b w:val="0"/>
        <w:i w:val="0"/>
        <w:sz w:val="16"/>
        <w:szCs w:val="16"/>
      </w:rPr>
    </w:lvl>
    <w:lvl w:ilvl="3">
      <w:start w:val="1"/>
      <w:numFmt w:val="bullet"/>
      <w:pStyle w:val="AppHeading4"/>
      <w:lvlText w:val="●"/>
      <w:lvlJc w:val="left"/>
      <w:pPr>
        <w:ind w:left="360" w:hanging="360"/>
      </w:pPr>
      <w:rPr>
        <w:rFonts w:ascii="Noto Sans Symbols" w:eastAsia="Noto Sans Symbols" w:hAnsi="Noto Sans Symbols" w:cs="Noto Sans Symbols"/>
        <w:b w:val="0"/>
        <w:i w:val="0"/>
        <w:sz w:val="22"/>
        <w:szCs w:val="22"/>
      </w:rPr>
    </w:lvl>
    <w:lvl w:ilvl="4">
      <w:start w:val="1"/>
      <w:numFmt w:val="decimal"/>
      <w:lvlText w:val="●.o.♦.●.%5."/>
      <w:lvlJc w:val="left"/>
      <w:pPr>
        <w:ind w:left="3096" w:hanging="864"/>
      </w:pPr>
      <w:rPr>
        <w:rFonts w:ascii="Arial Narrow" w:eastAsia="Arial Narrow" w:hAnsi="Arial Narrow" w:cs="Arial Narrow"/>
        <w:b w:val="0"/>
        <w:i w:val="0"/>
        <w:sz w:val="24"/>
        <w:szCs w:val="24"/>
      </w:rPr>
    </w:lvl>
    <w:lvl w:ilvl="5">
      <w:start w:val="1"/>
      <w:numFmt w:val="decimal"/>
      <w:lvlText w:val="●.o.♦.●.%5.%6."/>
      <w:lvlJc w:val="left"/>
      <w:pPr>
        <w:ind w:left="4176" w:hanging="1080"/>
      </w:pPr>
      <w:rPr>
        <w:rFonts w:ascii="Arial Narrow" w:eastAsia="Arial Narrow" w:hAnsi="Arial Narrow" w:cs="Arial Narrow"/>
        <w:b w:val="0"/>
        <w:i w:val="0"/>
        <w:sz w:val="24"/>
        <w:szCs w:val="24"/>
      </w:rPr>
    </w:lvl>
    <w:lvl w:ilvl="6">
      <w:start w:val="1"/>
      <w:numFmt w:val="decimal"/>
      <w:lvlText w:val="●.o.♦.●.%5.%6.%7."/>
      <w:lvlJc w:val="left"/>
      <w:pPr>
        <w:ind w:left="5400" w:hanging="1224"/>
      </w:pPr>
      <w:rPr>
        <w:rFonts w:ascii="Arial Narrow" w:eastAsia="Arial Narrow" w:hAnsi="Arial Narrow" w:cs="Arial Narrow"/>
        <w:b w:val="0"/>
        <w:i w:val="0"/>
        <w:sz w:val="24"/>
        <w:szCs w:val="24"/>
      </w:rPr>
    </w:lvl>
    <w:lvl w:ilvl="7">
      <w:start w:val="1"/>
      <w:numFmt w:val="decimal"/>
      <w:lvlText w:val="●.o.♦.●.%5.%6.%7.%8."/>
      <w:lvlJc w:val="left"/>
      <w:pPr>
        <w:ind w:left="3744" w:hanging="1224"/>
      </w:pPr>
      <w:rPr>
        <w:rFonts w:ascii="Arial Narrow" w:eastAsia="Arial Narrow" w:hAnsi="Arial Narrow" w:cs="Arial Narrow"/>
        <w:b w:val="0"/>
        <w:i w:val="0"/>
        <w:sz w:val="18"/>
        <w:szCs w:val="18"/>
      </w:rPr>
    </w:lvl>
    <w:lvl w:ilvl="8">
      <w:start w:val="1"/>
      <w:numFmt w:val="decimal"/>
      <w:lvlText w:val="●.o.♦.●.%5.%6.%7.%8.%9."/>
      <w:lvlJc w:val="left"/>
      <w:pPr>
        <w:ind w:left="4320" w:hanging="1440"/>
      </w:pPr>
      <w:rPr>
        <w:rFonts w:ascii="Arial Narrow" w:eastAsia="Arial Narrow" w:hAnsi="Arial Narrow" w:cs="Arial Narrow"/>
        <w:b w:val="0"/>
        <w:i w:val="0"/>
        <w:sz w:val="18"/>
        <w:szCs w:val="18"/>
      </w:rPr>
    </w:lvl>
  </w:abstractNum>
  <w:abstractNum w:abstractNumId="45" w15:restartNumberingAfterBreak="0">
    <w:nsid w:val="68880320"/>
    <w:multiLevelType w:val="multilevel"/>
    <w:tmpl w:val="4440A442"/>
    <w:lvl w:ilvl="0">
      <w:start w:val="1"/>
      <w:numFmt w:val="decimal"/>
      <w:pStyle w:val="Numberedlist2"/>
      <w:lvlText w:val="%1."/>
      <w:lvlJc w:val="left"/>
      <w:pPr>
        <w:ind w:left="810" w:hanging="360"/>
      </w:p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15:restartNumberingAfterBreak="0">
    <w:nsid w:val="6A1A31F9"/>
    <w:multiLevelType w:val="singleLevel"/>
    <w:tmpl w:val="2AA6940E"/>
    <w:lvl w:ilvl="0">
      <w:start w:val="1"/>
      <w:numFmt w:val="decimal"/>
      <w:pStyle w:val="SidebarListNumber"/>
      <w:lvlText w:val="%1."/>
      <w:lvlJc w:val="left"/>
      <w:pPr>
        <w:tabs>
          <w:tab w:val="num" w:pos="576"/>
        </w:tabs>
        <w:ind w:left="576" w:hanging="288"/>
      </w:pPr>
      <w:rPr>
        <w:rFonts w:hint="default"/>
        <w:color w:val="5B6771" w:themeColor="accent3"/>
      </w:rPr>
    </w:lvl>
  </w:abstractNum>
  <w:abstractNum w:abstractNumId="47" w15:restartNumberingAfterBreak="0">
    <w:nsid w:val="6FBF4DBA"/>
    <w:multiLevelType w:val="multilevel"/>
    <w:tmpl w:val="233E8AAA"/>
    <w:lvl w:ilvl="0">
      <w:start w:val="1"/>
      <w:numFmt w:val="bullet"/>
      <w:pStyle w:val="NumberedList0"/>
      <w:lvlText w:val="●"/>
      <w:lvlJc w:val="left"/>
      <w:pPr>
        <w:ind w:left="216" w:hanging="216"/>
      </w:pPr>
      <w:rPr>
        <w:rFonts w:ascii="Noto Sans Symbols" w:eastAsia="Noto Sans Symbols" w:hAnsi="Noto Sans Symbols" w:cs="Noto Sans Symbols"/>
        <w:b/>
        <w:i w:val="0"/>
        <w:sz w:val="20"/>
        <w:szCs w:val="20"/>
      </w:rPr>
    </w:lvl>
    <w:lvl w:ilvl="1">
      <w:start w:val="1"/>
      <w:numFmt w:val="bullet"/>
      <w:lvlText w:val="–"/>
      <w:lvlJc w:val="left"/>
      <w:pPr>
        <w:ind w:left="720" w:hanging="360"/>
      </w:pPr>
      <w:rPr>
        <w:rFonts w:ascii="Times New Roman" w:eastAsia="Times New Roman" w:hAnsi="Times New Roman" w:cs="Times New Roman"/>
        <w:b/>
        <w:i w:val="0"/>
        <w:sz w:val="22"/>
        <w:szCs w:val="22"/>
      </w:rPr>
    </w:lvl>
    <w:lvl w:ilvl="2">
      <w:start w:val="1"/>
      <w:numFmt w:val="bullet"/>
      <w:lvlText w:val="♦"/>
      <w:lvlJc w:val="left"/>
      <w:pPr>
        <w:ind w:left="1080" w:hanging="360"/>
      </w:pPr>
      <w:rPr>
        <w:rFonts w:ascii="Noto Sans Symbols" w:eastAsia="Noto Sans Symbols" w:hAnsi="Noto Sans Symbols" w:cs="Noto Sans Symbols"/>
        <w:b w:val="0"/>
        <w:i w:val="0"/>
        <w:sz w:val="16"/>
        <w:szCs w:val="16"/>
      </w:rPr>
    </w:lvl>
    <w:lvl w:ilvl="3">
      <w:start w:val="1"/>
      <w:numFmt w:val="decimal"/>
      <w:lvlText w:val="●.–.♦.%4."/>
      <w:lvlJc w:val="left"/>
      <w:pPr>
        <w:ind w:left="2088" w:hanging="1007"/>
      </w:pPr>
      <w:rPr>
        <w:rFonts w:ascii="Arial Narrow" w:eastAsia="Arial Narrow" w:hAnsi="Arial Narrow" w:cs="Arial Narrow"/>
        <w:b w:val="0"/>
        <w:i w:val="0"/>
        <w:sz w:val="22"/>
        <w:szCs w:val="22"/>
      </w:rPr>
    </w:lvl>
    <w:lvl w:ilvl="4">
      <w:start w:val="1"/>
      <w:numFmt w:val="decimal"/>
      <w:lvlText w:val="●.–.♦.%4.%5."/>
      <w:lvlJc w:val="left"/>
      <w:pPr>
        <w:ind w:left="1872" w:hanging="792"/>
      </w:pPr>
      <w:rPr>
        <w:rFonts w:ascii="Arial Narrow" w:eastAsia="Arial Narrow" w:hAnsi="Arial Narrow" w:cs="Arial Narrow"/>
        <w:b w:val="0"/>
        <w:i w:val="0"/>
        <w:sz w:val="20"/>
        <w:szCs w:val="20"/>
      </w:rPr>
    </w:lvl>
    <w:lvl w:ilvl="5">
      <w:start w:val="1"/>
      <w:numFmt w:val="decimal"/>
      <w:lvlText w:val="●.–.♦.%4.%5.%6."/>
      <w:lvlJc w:val="left"/>
      <w:pPr>
        <w:ind w:left="2376" w:hanging="936"/>
      </w:pPr>
      <w:rPr>
        <w:rFonts w:ascii="Arial Narrow" w:eastAsia="Arial Narrow" w:hAnsi="Arial Narrow" w:cs="Arial Narrow"/>
        <w:b w:val="0"/>
        <w:i/>
        <w:sz w:val="20"/>
        <w:szCs w:val="20"/>
      </w:rPr>
    </w:lvl>
    <w:lvl w:ilvl="6">
      <w:start w:val="1"/>
      <w:numFmt w:val="decimal"/>
      <w:lvlText w:val="●.–.♦.%4.%5.%6.%7."/>
      <w:lvlJc w:val="left"/>
      <w:pPr>
        <w:ind w:left="2880" w:hanging="1080"/>
      </w:pPr>
      <w:rPr>
        <w:rFonts w:ascii="Arial Narrow" w:eastAsia="Arial Narrow" w:hAnsi="Arial Narrow" w:cs="Arial Narrow"/>
        <w:b w:val="0"/>
        <w:i/>
        <w:sz w:val="20"/>
        <w:szCs w:val="20"/>
      </w:rPr>
    </w:lvl>
    <w:lvl w:ilvl="7">
      <w:start w:val="1"/>
      <w:numFmt w:val="decimal"/>
      <w:lvlText w:val="●.–.♦.%4.%5.%6.%7.%8."/>
      <w:lvlJc w:val="left"/>
      <w:pPr>
        <w:ind w:left="3384" w:hanging="1224"/>
      </w:pPr>
      <w:rPr>
        <w:rFonts w:ascii="Arial Narrow" w:eastAsia="Arial Narrow" w:hAnsi="Arial Narrow" w:cs="Arial Narrow"/>
        <w:b w:val="0"/>
        <w:i w:val="0"/>
        <w:sz w:val="18"/>
        <w:szCs w:val="18"/>
      </w:rPr>
    </w:lvl>
    <w:lvl w:ilvl="8">
      <w:start w:val="1"/>
      <w:numFmt w:val="decimal"/>
      <w:lvlText w:val="●.–.♦.%4.%5.%6.%7.%8.%9."/>
      <w:lvlJc w:val="left"/>
      <w:pPr>
        <w:ind w:left="3960" w:hanging="1440"/>
      </w:pPr>
      <w:rPr>
        <w:rFonts w:ascii="Arial Narrow" w:eastAsia="Arial Narrow" w:hAnsi="Arial Narrow" w:cs="Arial Narrow"/>
        <w:b w:val="0"/>
        <w:i w:val="0"/>
        <w:sz w:val="18"/>
        <w:szCs w:val="18"/>
      </w:rPr>
    </w:lvl>
  </w:abstractNum>
  <w:abstractNum w:abstractNumId="48" w15:restartNumberingAfterBreak="0">
    <w:nsid w:val="6FF43418"/>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7171419C"/>
    <w:multiLevelType w:val="multilevel"/>
    <w:tmpl w:val="A3C2D6AA"/>
    <w:lvl w:ilvl="0">
      <w:start w:val="1"/>
      <w:numFmt w:val="bullet"/>
      <w:pStyle w:val="BulletListSingle"/>
      <w:lvlText w:val="●"/>
      <w:lvlJc w:val="left"/>
      <w:pPr>
        <w:ind w:left="720" w:hanging="360"/>
      </w:pPr>
      <w:rPr>
        <w:rFonts w:ascii="Noto Sans Symbols" w:eastAsia="Noto Sans Symbols" w:hAnsi="Noto Sans Symbols" w:cs="Noto Sans Symbols"/>
      </w:rPr>
    </w:lvl>
    <w:lvl w:ilvl="1">
      <w:start w:val="1"/>
      <w:numFmt w:val="lowerLetter"/>
      <w:lvlText w:val="%2."/>
      <w:lvlJc w:val="left"/>
      <w:pPr>
        <w:ind w:left="1440" w:hanging="360"/>
      </w:pPr>
    </w:lvl>
    <w:lvl w:ilvl="2">
      <w:start w:val="5"/>
      <w:numFmt w:val="decimal"/>
      <w:lvlText w:val="%3)"/>
      <w:lvlJc w:val="left"/>
      <w:pPr>
        <w:ind w:left="2340" w:hanging="360"/>
      </w:pPr>
      <w:rPr>
        <w:color w:val="000000"/>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0" w15:restartNumberingAfterBreak="0">
    <w:nsid w:val="7A0D1F2D"/>
    <w:multiLevelType w:val="multilevel"/>
    <w:tmpl w:val="67440146"/>
    <w:lvl w:ilvl="0">
      <w:start w:val="1"/>
      <w:numFmt w:val="bullet"/>
      <w:pStyle w:val="TableBulletSmaller"/>
      <w:lvlText w:val="●"/>
      <w:lvlJc w:val="left"/>
      <w:pPr>
        <w:ind w:left="720" w:hanging="360"/>
      </w:pPr>
      <w:rPr>
        <w:rFonts w:ascii="Noto Sans Symbols" w:eastAsia="Noto Sans Symbols" w:hAnsi="Noto Sans Symbols" w:cs="Noto Sans Symbols"/>
        <w:b w:val="0"/>
        <w:i w:val="0"/>
        <w:sz w:val="24"/>
        <w:szCs w:val="24"/>
      </w:rPr>
    </w:lvl>
    <w:lvl w:ilvl="1">
      <w:start w:val="1"/>
      <w:numFmt w:val="bullet"/>
      <w:lvlText w:val="–"/>
      <w:lvlJc w:val="left"/>
      <w:pPr>
        <w:ind w:left="1080" w:hanging="360"/>
      </w:pPr>
      <w:rPr>
        <w:rFonts w:ascii="Arial" w:eastAsia="Arial" w:hAnsi="Arial" w:cs="Arial"/>
        <w:b w:val="0"/>
        <w:i w:val="0"/>
        <w:sz w:val="24"/>
        <w:szCs w:val="24"/>
      </w:rPr>
    </w:lvl>
    <w:lvl w:ilvl="2">
      <w:start w:val="1"/>
      <w:numFmt w:val="bullet"/>
      <w:lvlText w:val="♦"/>
      <w:lvlJc w:val="left"/>
      <w:pPr>
        <w:ind w:left="1440" w:hanging="360"/>
      </w:pPr>
      <w:rPr>
        <w:rFonts w:ascii="Noto Sans Symbols" w:eastAsia="Noto Sans Symbols" w:hAnsi="Noto Sans Symbols" w:cs="Noto Sans Symbols"/>
        <w:b w:val="0"/>
        <w:i w:val="0"/>
        <w:sz w:val="16"/>
        <w:szCs w:val="16"/>
      </w:rPr>
    </w:lvl>
    <w:lvl w:ilvl="3">
      <w:start w:val="1"/>
      <w:numFmt w:val="bullet"/>
      <w:lvlText w:val="●"/>
      <w:lvlJc w:val="left"/>
      <w:pPr>
        <w:ind w:left="360" w:hanging="360"/>
      </w:pPr>
      <w:rPr>
        <w:rFonts w:ascii="Noto Sans Symbols" w:eastAsia="Noto Sans Symbols" w:hAnsi="Noto Sans Symbols" w:cs="Noto Sans Symbols"/>
        <w:b w:val="0"/>
        <w:i w:val="0"/>
        <w:sz w:val="22"/>
        <w:szCs w:val="22"/>
      </w:rPr>
    </w:lvl>
    <w:lvl w:ilvl="4">
      <w:start w:val="1"/>
      <w:numFmt w:val="decimal"/>
      <w:lvlText w:val="●.–.♦.●.%5."/>
      <w:lvlJc w:val="left"/>
      <w:pPr>
        <w:ind w:left="3096" w:hanging="864"/>
      </w:pPr>
      <w:rPr>
        <w:rFonts w:ascii="Arial Narrow" w:eastAsia="Arial Narrow" w:hAnsi="Arial Narrow" w:cs="Arial Narrow"/>
        <w:b w:val="0"/>
        <w:i w:val="0"/>
        <w:sz w:val="24"/>
        <w:szCs w:val="24"/>
      </w:rPr>
    </w:lvl>
    <w:lvl w:ilvl="5">
      <w:start w:val="1"/>
      <w:numFmt w:val="decimal"/>
      <w:lvlText w:val="●.–.♦.●.%5.%6."/>
      <w:lvlJc w:val="left"/>
      <w:pPr>
        <w:ind w:left="4176" w:hanging="1080"/>
      </w:pPr>
      <w:rPr>
        <w:rFonts w:ascii="Arial Narrow" w:eastAsia="Arial Narrow" w:hAnsi="Arial Narrow" w:cs="Arial Narrow"/>
        <w:b w:val="0"/>
        <w:i w:val="0"/>
        <w:sz w:val="24"/>
        <w:szCs w:val="24"/>
      </w:rPr>
    </w:lvl>
    <w:lvl w:ilvl="6">
      <w:start w:val="1"/>
      <w:numFmt w:val="decimal"/>
      <w:lvlText w:val="●.–.♦.●.%5.%6.%7."/>
      <w:lvlJc w:val="left"/>
      <w:pPr>
        <w:ind w:left="5400" w:hanging="1224"/>
      </w:pPr>
      <w:rPr>
        <w:rFonts w:ascii="Arial Narrow" w:eastAsia="Arial Narrow" w:hAnsi="Arial Narrow" w:cs="Arial Narrow"/>
        <w:b w:val="0"/>
        <w:i w:val="0"/>
        <w:sz w:val="24"/>
        <w:szCs w:val="24"/>
      </w:rPr>
    </w:lvl>
    <w:lvl w:ilvl="7">
      <w:start w:val="1"/>
      <w:numFmt w:val="decimal"/>
      <w:lvlText w:val="●.–.♦.●.%5.%6.%7.%8."/>
      <w:lvlJc w:val="left"/>
      <w:pPr>
        <w:ind w:left="3744" w:hanging="1224"/>
      </w:pPr>
      <w:rPr>
        <w:rFonts w:ascii="Arial Narrow" w:eastAsia="Arial Narrow" w:hAnsi="Arial Narrow" w:cs="Arial Narrow"/>
        <w:b w:val="0"/>
        <w:i w:val="0"/>
        <w:sz w:val="18"/>
        <w:szCs w:val="18"/>
      </w:rPr>
    </w:lvl>
    <w:lvl w:ilvl="8">
      <w:start w:val="1"/>
      <w:numFmt w:val="decimal"/>
      <w:lvlText w:val="●.–.♦.●.%5.%6.%7.%8.%9."/>
      <w:lvlJc w:val="left"/>
      <w:pPr>
        <w:ind w:left="4320" w:hanging="1440"/>
      </w:pPr>
      <w:rPr>
        <w:rFonts w:ascii="Arial Narrow" w:eastAsia="Arial Narrow" w:hAnsi="Arial Narrow" w:cs="Arial Narrow"/>
        <w:b w:val="0"/>
        <w:i w:val="0"/>
        <w:sz w:val="18"/>
        <w:szCs w:val="18"/>
      </w:rPr>
    </w:lvl>
  </w:abstractNum>
  <w:abstractNum w:abstractNumId="51" w15:restartNumberingAfterBreak="0">
    <w:nsid w:val="7F2D47C4"/>
    <w:multiLevelType w:val="multilevel"/>
    <w:tmpl w:val="D68C6F66"/>
    <w:lvl w:ilvl="0">
      <w:start w:val="1"/>
      <w:numFmt w:val="bullet"/>
      <w:pStyle w:val="TableBulletIndented"/>
      <w:lvlText w:val="●"/>
      <w:lvlJc w:val="left"/>
      <w:pPr>
        <w:ind w:left="720" w:hanging="360"/>
      </w:pPr>
      <w:rPr>
        <w:rFonts w:ascii="Noto Sans Symbols" w:eastAsia="Noto Sans Symbols" w:hAnsi="Noto Sans Symbols" w:cs="Noto Sans Symbols"/>
      </w:rPr>
    </w:lvl>
    <w:lvl w:ilvl="1">
      <w:start w:val="1"/>
      <w:numFmt w:val="lowerLetter"/>
      <w:lvlText w:val="%2."/>
      <w:lvlJc w:val="left"/>
      <w:pPr>
        <w:ind w:left="1440" w:hanging="360"/>
      </w:pPr>
    </w:lvl>
    <w:lvl w:ilvl="2">
      <w:start w:val="5"/>
      <w:numFmt w:val="decimal"/>
      <w:lvlText w:val="%3)"/>
      <w:lvlJc w:val="left"/>
      <w:pPr>
        <w:ind w:left="2340" w:hanging="360"/>
      </w:pPr>
      <w:rPr>
        <w:color w:val="000000"/>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569263581">
    <w:abstractNumId w:val="11"/>
  </w:num>
  <w:num w:numId="2" w16cid:durableId="1928340458">
    <w:abstractNumId w:val="19"/>
  </w:num>
  <w:num w:numId="3" w16cid:durableId="291328217">
    <w:abstractNumId w:val="49"/>
  </w:num>
  <w:num w:numId="4" w16cid:durableId="1334067964">
    <w:abstractNumId w:val="27"/>
  </w:num>
  <w:num w:numId="5" w16cid:durableId="1728530688">
    <w:abstractNumId w:val="38"/>
  </w:num>
  <w:num w:numId="6" w16cid:durableId="1503348848">
    <w:abstractNumId w:val="35"/>
  </w:num>
  <w:num w:numId="7" w16cid:durableId="1928152072">
    <w:abstractNumId w:val="50"/>
  </w:num>
  <w:num w:numId="8" w16cid:durableId="1869760280">
    <w:abstractNumId w:val="47"/>
  </w:num>
  <w:num w:numId="9" w16cid:durableId="185139892">
    <w:abstractNumId w:val="33"/>
  </w:num>
  <w:num w:numId="10" w16cid:durableId="335614200">
    <w:abstractNumId w:val="51"/>
  </w:num>
  <w:num w:numId="11" w16cid:durableId="311757276">
    <w:abstractNumId w:val="30"/>
  </w:num>
  <w:num w:numId="12" w16cid:durableId="1058821544">
    <w:abstractNumId w:val="43"/>
  </w:num>
  <w:num w:numId="13" w16cid:durableId="1213738372">
    <w:abstractNumId w:val="45"/>
  </w:num>
  <w:num w:numId="14" w16cid:durableId="2121216131">
    <w:abstractNumId w:val="25"/>
  </w:num>
  <w:num w:numId="15" w16cid:durableId="234433507">
    <w:abstractNumId w:val="26"/>
  </w:num>
  <w:num w:numId="16" w16cid:durableId="145317950">
    <w:abstractNumId w:val="44"/>
  </w:num>
  <w:num w:numId="17" w16cid:durableId="148793156">
    <w:abstractNumId w:val="32"/>
  </w:num>
  <w:num w:numId="18" w16cid:durableId="817846980">
    <w:abstractNumId w:val="40"/>
  </w:num>
  <w:num w:numId="19" w16cid:durableId="2103524893">
    <w:abstractNumId w:val="10"/>
  </w:num>
  <w:num w:numId="20" w16cid:durableId="458693862">
    <w:abstractNumId w:val="48"/>
  </w:num>
  <w:num w:numId="21" w16cid:durableId="904294637">
    <w:abstractNumId w:val="24"/>
  </w:num>
  <w:num w:numId="22" w16cid:durableId="2063164409">
    <w:abstractNumId w:val="31"/>
  </w:num>
  <w:num w:numId="23" w16cid:durableId="1004285544">
    <w:abstractNumId w:val="9"/>
  </w:num>
  <w:num w:numId="24" w16cid:durableId="1871411524">
    <w:abstractNumId w:val="8"/>
  </w:num>
  <w:num w:numId="25" w16cid:durableId="1963805252">
    <w:abstractNumId w:val="20"/>
  </w:num>
  <w:num w:numId="26" w16cid:durableId="845023676">
    <w:abstractNumId w:val="7"/>
  </w:num>
  <w:num w:numId="27" w16cid:durableId="1815681797">
    <w:abstractNumId w:val="6"/>
  </w:num>
  <w:num w:numId="28" w16cid:durableId="369456832">
    <w:abstractNumId w:val="5"/>
  </w:num>
  <w:num w:numId="29" w16cid:durableId="512572406">
    <w:abstractNumId w:val="4"/>
  </w:num>
  <w:num w:numId="30" w16cid:durableId="2100054984">
    <w:abstractNumId w:val="3"/>
  </w:num>
  <w:num w:numId="31" w16cid:durableId="1400254172">
    <w:abstractNumId w:val="2"/>
  </w:num>
  <w:num w:numId="32" w16cid:durableId="204221278">
    <w:abstractNumId w:val="1"/>
  </w:num>
  <w:num w:numId="33" w16cid:durableId="1063210555">
    <w:abstractNumId w:val="0"/>
  </w:num>
  <w:num w:numId="34" w16cid:durableId="401100817">
    <w:abstractNumId w:val="18"/>
  </w:num>
  <w:num w:numId="35" w16cid:durableId="154497235">
    <w:abstractNumId w:val="41"/>
  </w:num>
  <w:num w:numId="36" w16cid:durableId="552617016">
    <w:abstractNumId w:val="17"/>
  </w:num>
  <w:num w:numId="37" w16cid:durableId="1631743707">
    <w:abstractNumId w:val="16"/>
  </w:num>
  <w:num w:numId="38" w16cid:durableId="1965039050">
    <w:abstractNumId w:val="29"/>
  </w:num>
  <w:num w:numId="39" w16cid:durableId="238909924">
    <w:abstractNumId w:val="28"/>
  </w:num>
  <w:num w:numId="40" w16cid:durableId="255018379">
    <w:abstractNumId w:val="13"/>
  </w:num>
  <w:num w:numId="41" w16cid:durableId="742291920">
    <w:abstractNumId w:val="34"/>
  </w:num>
  <w:num w:numId="42" w16cid:durableId="1191334729">
    <w:abstractNumId w:val="46"/>
  </w:num>
  <w:num w:numId="43" w16cid:durableId="363486531">
    <w:abstractNumId w:val="23"/>
  </w:num>
  <w:num w:numId="44" w16cid:durableId="2056729964">
    <w:abstractNumId w:val="14"/>
  </w:num>
  <w:num w:numId="45" w16cid:durableId="713038560">
    <w:abstractNumId w:val="12"/>
  </w:num>
  <w:num w:numId="46" w16cid:durableId="1330525296">
    <w:abstractNumId w:val="22"/>
  </w:num>
  <w:num w:numId="47" w16cid:durableId="1184124775">
    <w:abstractNumId w:val="37"/>
  </w:num>
  <w:num w:numId="48" w16cid:durableId="493958559">
    <w:abstractNumId w:val="8"/>
    <w:lvlOverride w:ilvl="0">
      <w:startOverride w:val="1"/>
    </w:lvlOverride>
  </w:num>
  <w:num w:numId="49" w16cid:durableId="934485476">
    <w:abstractNumId w:val="42"/>
  </w:num>
  <w:num w:numId="50" w16cid:durableId="1895580888">
    <w:abstractNumId w:val="36"/>
  </w:num>
  <w:num w:numId="51" w16cid:durableId="1413966852">
    <w:abstractNumId w:val="15"/>
  </w:num>
  <w:num w:numId="52" w16cid:durableId="752317379">
    <w:abstractNumId w:val="39"/>
  </w:num>
  <w:num w:numId="53" w16cid:durableId="83113457">
    <w:abstractNumId w:val="21"/>
  </w:num>
  <w:numIdMacAtCleanup w:val="5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oriah Bauman - Mathematica">
    <w15:presenceInfo w15:providerId="AD" w15:userId="S::MBauman@mathematica-mpr.com::184dae4a-1974-48b4-aa0d-7d23b7005f6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2"/>
  <w:proofState w:spelling="clean" w:grammar="clean"/>
  <w:attachedTemplate r:id="rId1"/>
  <w:stylePaneSortMethod w:val="0000"/>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ui" w:val="5"/>
  </w:docVars>
  <w:rsids>
    <w:rsidRoot w:val="00D67C8C"/>
    <w:rsid w:val="00000B44"/>
    <w:rsid w:val="00000CED"/>
    <w:rsid w:val="00000EAE"/>
    <w:rsid w:val="000017F9"/>
    <w:rsid w:val="000022B5"/>
    <w:rsid w:val="0000357C"/>
    <w:rsid w:val="00003A52"/>
    <w:rsid w:val="00003AAA"/>
    <w:rsid w:val="00003CDE"/>
    <w:rsid w:val="0000407C"/>
    <w:rsid w:val="00004A01"/>
    <w:rsid w:val="00004C98"/>
    <w:rsid w:val="00004E3A"/>
    <w:rsid w:val="000054DF"/>
    <w:rsid w:val="000058FF"/>
    <w:rsid w:val="00005D8A"/>
    <w:rsid w:val="000079C8"/>
    <w:rsid w:val="00007E87"/>
    <w:rsid w:val="00010ADB"/>
    <w:rsid w:val="00010F8A"/>
    <w:rsid w:val="0001107A"/>
    <w:rsid w:val="00011583"/>
    <w:rsid w:val="00011E1B"/>
    <w:rsid w:val="000129E7"/>
    <w:rsid w:val="00014774"/>
    <w:rsid w:val="0001494E"/>
    <w:rsid w:val="00014A7C"/>
    <w:rsid w:val="000153C0"/>
    <w:rsid w:val="000167A6"/>
    <w:rsid w:val="000167AB"/>
    <w:rsid w:val="00016A8C"/>
    <w:rsid w:val="00016FBB"/>
    <w:rsid w:val="000171A8"/>
    <w:rsid w:val="000201FB"/>
    <w:rsid w:val="00020576"/>
    <w:rsid w:val="000214B8"/>
    <w:rsid w:val="000216C2"/>
    <w:rsid w:val="0002191E"/>
    <w:rsid w:val="00022A36"/>
    <w:rsid w:val="00022E7D"/>
    <w:rsid w:val="000230AA"/>
    <w:rsid w:val="00023FDB"/>
    <w:rsid w:val="00024BFC"/>
    <w:rsid w:val="000258AA"/>
    <w:rsid w:val="000258E1"/>
    <w:rsid w:val="00025E7A"/>
    <w:rsid w:val="00026423"/>
    <w:rsid w:val="00026AC8"/>
    <w:rsid w:val="00027B7A"/>
    <w:rsid w:val="00027F17"/>
    <w:rsid w:val="00030383"/>
    <w:rsid w:val="00031154"/>
    <w:rsid w:val="000318CF"/>
    <w:rsid w:val="00032F73"/>
    <w:rsid w:val="000334AE"/>
    <w:rsid w:val="000348D0"/>
    <w:rsid w:val="00034F11"/>
    <w:rsid w:val="00034F34"/>
    <w:rsid w:val="00035544"/>
    <w:rsid w:val="0003611A"/>
    <w:rsid w:val="000371DD"/>
    <w:rsid w:val="00037218"/>
    <w:rsid w:val="00037587"/>
    <w:rsid w:val="000403A2"/>
    <w:rsid w:val="0004097A"/>
    <w:rsid w:val="00040A8D"/>
    <w:rsid w:val="00040FC6"/>
    <w:rsid w:val="00041A73"/>
    <w:rsid w:val="00042323"/>
    <w:rsid w:val="00042579"/>
    <w:rsid w:val="00043062"/>
    <w:rsid w:val="000437AE"/>
    <w:rsid w:val="00043BB3"/>
    <w:rsid w:val="000441BB"/>
    <w:rsid w:val="000442CC"/>
    <w:rsid w:val="00044DC6"/>
    <w:rsid w:val="00044F4A"/>
    <w:rsid w:val="00046225"/>
    <w:rsid w:val="000462ED"/>
    <w:rsid w:val="000464B1"/>
    <w:rsid w:val="00047011"/>
    <w:rsid w:val="000477DF"/>
    <w:rsid w:val="00047A89"/>
    <w:rsid w:val="0005055A"/>
    <w:rsid w:val="000508AC"/>
    <w:rsid w:val="000509F9"/>
    <w:rsid w:val="00050F91"/>
    <w:rsid w:val="000510B6"/>
    <w:rsid w:val="000510F2"/>
    <w:rsid w:val="000511F1"/>
    <w:rsid w:val="00052593"/>
    <w:rsid w:val="00052B8C"/>
    <w:rsid w:val="00052CBD"/>
    <w:rsid w:val="000537AA"/>
    <w:rsid w:val="00054464"/>
    <w:rsid w:val="000544BB"/>
    <w:rsid w:val="000549A2"/>
    <w:rsid w:val="00054D7B"/>
    <w:rsid w:val="0005568C"/>
    <w:rsid w:val="000569BE"/>
    <w:rsid w:val="000573EB"/>
    <w:rsid w:val="0005768B"/>
    <w:rsid w:val="0005775D"/>
    <w:rsid w:val="0006016B"/>
    <w:rsid w:val="000601E7"/>
    <w:rsid w:val="00062189"/>
    <w:rsid w:val="00062C47"/>
    <w:rsid w:val="00063527"/>
    <w:rsid w:val="0006353A"/>
    <w:rsid w:val="000635F4"/>
    <w:rsid w:val="0006432A"/>
    <w:rsid w:val="000644CA"/>
    <w:rsid w:val="00064ECC"/>
    <w:rsid w:val="00065488"/>
    <w:rsid w:val="00065D9F"/>
    <w:rsid w:val="000665C0"/>
    <w:rsid w:val="00066A8E"/>
    <w:rsid w:val="00067B2A"/>
    <w:rsid w:val="000708F8"/>
    <w:rsid w:val="000719C5"/>
    <w:rsid w:val="00071DB6"/>
    <w:rsid w:val="00072246"/>
    <w:rsid w:val="000734CF"/>
    <w:rsid w:val="000737A6"/>
    <w:rsid w:val="000739C9"/>
    <w:rsid w:val="00073E15"/>
    <w:rsid w:val="000749C9"/>
    <w:rsid w:val="0007502D"/>
    <w:rsid w:val="00075225"/>
    <w:rsid w:val="00075325"/>
    <w:rsid w:val="00075613"/>
    <w:rsid w:val="000760A4"/>
    <w:rsid w:val="00076EB1"/>
    <w:rsid w:val="00076EBA"/>
    <w:rsid w:val="00076F05"/>
    <w:rsid w:val="0007738A"/>
    <w:rsid w:val="00077D8C"/>
    <w:rsid w:val="00080202"/>
    <w:rsid w:val="0008022E"/>
    <w:rsid w:val="0008027C"/>
    <w:rsid w:val="000804B6"/>
    <w:rsid w:val="00080A87"/>
    <w:rsid w:val="00080BA5"/>
    <w:rsid w:val="00080C9B"/>
    <w:rsid w:val="00080D3A"/>
    <w:rsid w:val="00081DE0"/>
    <w:rsid w:val="00082219"/>
    <w:rsid w:val="0008260F"/>
    <w:rsid w:val="000833BD"/>
    <w:rsid w:val="0008373B"/>
    <w:rsid w:val="00083990"/>
    <w:rsid w:val="0008441E"/>
    <w:rsid w:val="000850B7"/>
    <w:rsid w:val="000853E2"/>
    <w:rsid w:val="00086320"/>
    <w:rsid w:val="00086AE1"/>
    <w:rsid w:val="00086B01"/>
    <w:rsid w:val="00086C85"/>
    <w:rsid w:val="000874B8"/>
    <w:rsid w:val="00087C49"/>
    <w:rsid w:val="000903EE"/>
    <w:rsid w:val="0009075F"/>
    <w:rsid w:val="000909FC"/>
    <w:rsid w:val="00090B0F"/>
    <w:rsid w:val="00090FFD"/>
    <w:rsid w:val="0009276F"/>
    <w:rsid w:val="00092D0A"/>
    <w:rsid w:val="00093261"/>
    <w:rsid w:val="0009334D"/>
    <w:rsid w:val="00093BDA"/>
    <w:rsid w:val="00093CAF"/>
    <w:rsid w:val="00093F97"/>
    <w:rsid w:val="00094248"/>
    <w:rsid w:val="000945FD"/>
    <w:rsid w:val="000950B6"/>
    <w:rsid w:val="00095845"/>
    <w:rsid w:val="00096103"/>
    <w:rsid w:val="000963EF"/>
    <w:rsid w:val="0009654A"/>
    <w:rsid w:val="00096DBE"/>
    <w:rsid w:val="000A0297"/>
    <w:rsid w:val="000A0DFF"/>
    <w:rsid w:val="000A0F82"/>
    <w:rsid w:val="000A12E7"/>
    <w:rsid w:val="000A1607"/>
    <w:rsid w:val="000A1796"/>
    <w:rsid w:val="000A1822"/>
    <w:rsid w:val="000A22BF"/>
    <w:rsid w:val="000A3581"/>
    <w:rsid w:val="000A3650"/>
    <w:rsid w:val="000A4034"/>
    <w:rsid w:val="000A5106"/>
    <w:rsid w:val="000A5193"/>
    <w:rsid w:val="000A5557"/>
    <w:rsid w:val="000A56F8"/>
    <w:rsid w:val="000A57A6"/>
    <w:rsid w:val="000A5D13"/>
    <w:rsid w:val="000A6181"/>
    <w:rsid w:val="000A6BB6"/>
    <w:rsid w:val="000A7343"/>
    <w:rsid w:val="000A7E36"/>
    <w:rsid w:val="000B016B"/>
    <w:rsid w:val="000B0CA9"/>
    <w:rsid w:val="000B157F"/>
    <w:rsid w:val="000B1C6B"/>
    <w:rsid w:val="000B1E4B"/>
    <w:rsid w:val="000B24BC"/>
    <w:rsid w:val="000B271C"/>
    <w:rsid w:val="000B2860"/>
    <w:rsid w:val="000B3A42"/>
    <w:rsid w:val="000B3AF8"/>
    <w:rsid w:val="000B3AFB"/>
    <w:rsid w:val="000B4DAD"/>
    <w:rsid w:val="000B4E91"/>
    <w:rsid w:val="000B52E8"/>
    <w:rsid w:val="000B5335"/>
    <w:rsid w:val="000B54CA"/>
    <w:rsid w:val="000B6608"/>
    <w:rsid w:val="000B6A4A"/>
    <w:rsid w:val="000B71E8"/>
    <w:rsid w:val="000C06AA"/>
    <w:rsid w:val="000C08CC"/>
    <w:rsid w:val="000C1580"/>
    <w:rsid w:val="000C1B1F"/>
    <w:rsid w:val="000C1C8A"/>
    <w:rsid w:val="000C2F38"/>
    <w:rsid w:val="000C478A"/>
    <w:rsid w:val="000C482A"/>
    <w:rsid w:val="000C48E6"/>
    <w:rsid w:val="000C514F"/>
    <w:rsid w:val="000C522B"/>
    <w:rsid w:val="000C534E"/>
    <w:rsid w:val="000C663E"/>
    <w:rsid w:val="000C6863"/>
    <w:rsid w:val="000C68D8"/>
    <w:rsid w:val="000C6DDB"/>
    <w:rsid w:val="000D0D7E"/>
    <w:rsid w:val="000D13B8"/>
    <w:rsid w:val="000D27E5"/>
    <w:rsid w:val="000D2A25"/>
    <w:rsid w:val="000D3089"/>
    <w:rsid w:val="000D354C"/>
    <w:rsid w:val="000D3DFD"/>
    <w:rsid w:val="000D4114"/>
    <w:rsid w:val="000D41B7"/>
    <w:rsid w:val="000D515E"/>
    <w:rsid w:val="000D5908"/>
    <w:rsid w:val="000D6A51"/>
    <w:rsid w:val="000D6FE6"/>
    <w:rsid w:val="000D7688"/>
    <w:rsid w:val="000D796D"/>
    <w:rsid w:val="000D7BF1"/>
    <w:rsid w:val="000E13B4"/>
    <w:rsid w:val="000E1658"/>
    <w:rsid w:val="000E1675"/>
    <w:rsid w:val="000E2694"/>
    <w:rsid w:val="000E2718"/>
    <w:rsid w:val="000E3358"/>
    <w:rsid w:val="000E343F"/>
    <w:rsid w:val="000E3AC7"/>
    <w:rsid w:val="000E4B70"/>
    <w:rsid w:val="000E5B95"/>
    <w:rsid w:val="000E5E63"/>
    <w:rsid w:val="000E7111"/>
    <w:rsid w:val="000E713C"/>
    <w:rsid w:val="000E754F"/>
    <w:rsid w:val="000F08B8"/>
    <w:rsid w:val="000F0C41"/>
    <w:rsid w:val="000F1003"/>
    <w:rsid w:val="000F195C"/>
    <w:rsid w:val="000F3A63"/>
    <w:rsid w:val="000F4019"/>
    <w:rsid w:val="000F44DE"/>
    <w:rsid w:val="000F4681"/>
    <w:rsid w:val="000F49CB"/>
    <w:rsid w:val="000F59D1"/>
    <w:rsid w:val="000F5B07"/>
    <w:rsid w:val="000F62B9"/>
    <w:rsid w:val="000F78A3"/>
    <w:rsid w:val="000F7D35"/>
    <w:rsid w:val="000F7DF2"/>
    <w:rsid w:val="0010073D"/>
    <w:rsid w:val="00100C5C"/>
    <w:rsid w:val="001012BA"/>
    <w:rsid w:val="00102CE8"/>
    <w:rsid w:val="00103250"/>
    <w:rsid w:val="0010359C"/>
    <w:rsid w:val="00103DB8"/>
    <w:rsid w:val="00104924"/>
    <w:rsid w:val="00104B3A"/>
    <w:rsid w:val="0010529F"/>
    <w:rsid w:val="0010556B"/>
    <w:rsid w:val="001055F4"/>
    <w:rsid w:val="00105D57"/>
    <w:rsid w:val="00105E05"/>
    <w:rsid w:val="0010602E"/>
    <w:rsid w:val="001060A1"/>
    <w:rsid w:val="00106642"/>
    <w:rsid w:val="0010728B"/>
    <w:rsid w:val="00107942"/>
    <w:rsid w:val="00107990"/>
    <w:rsid w:val="00107D59"/>
    <w:rsid w:val="00110696"/>
    <w:rsid w:val="00110F8A"/>
    <w:rsid w:val="0011169E"/>
    <w:rsid w:val="00111E3E"/>
    <w:rsid w:val="001126BC"/>
    <w:rsid w:val="00112914"/>
    <w:rsid w:val="00112A58"/>
    <w:rsid w:val="001135CA"/>
    <w:rsid w:val="00114208"/>
    <w:rsid w:val="0011460D"/>
    <w:rsid w:val="0011482F"/>
    <w:rsid w:val="00114F52"/>
    <w:rsid w:val="00114FB5"/>
    <w:rsid w:val="00116423"/>
    <w:rsid w:val="00116E91"/>
    <w:rsid w:val="00116ED3"/>
    <w:rsid w:val="001170C3"/>
    <w:rsid w:val="00117111"/>
    <w:rsid w:val="00117165"/>
    <w:rsid w:val="0011749E"/>
    <w:rsid w:val="00117659"/>
    <w:rsid w:val="00120F7F"/>
    <w:rsid w:val="001219B7"/>
    <w:rsid w:val="00121BB5"/>
    <w:rsid w:val="00121D4B"/>
    <w:rsid w:val="0012208D"/>
    <w:rsid w:val="00122B73"/>
    <w:rsid w:val="00122DE2"/>
    <w:rsid w:val="00122E48"/>
    <w:rsid w:val="00123530"/>
    <w:rsid w:val="00123BB7"/>
    <w:rsid w:val="001242DC"/>
    <w:rsid w:val="00125421"/>
    <w:rsid w:val="00125432"/>
    <w:rsid w:val="0012577F"/>
    <w:rsid w:val="00125A7C"/>
    <w:rsid w:val="00125F47"/>
    <w:rsid w:val="00126382"/>
    <w:rsid w:val="001266B7"/>
    <w:rsid w:val="00126D00"/>
    <w:rsid w:val="00127A5E"/>
    <w:rsid w:val="00130376"/>
    <w:rsid w:val="00130437"/>
    <w:rsid w:val="0013099E"/>
    <w:rsid w:val="00130A3C"/>
    <w:rsid w:val="0013147B"/>
    <w:rsid w:val="00132096"/>
    <w:rsid w:val="001321CE"/>
    <w:rsid w:val="00133475"/>
    <w:rsid w:val="0013443D"/>
    <w:rsid w:val="00134590"/>
    <w:rsid w:val="001349EB"/>
    <w:rsid w:val="00134A1A"/>
    <w:rsid w:val="001352C9"/>
    <w:rsid w:val="00135B95"/>
    <w:rsid w:val="001368E8"/>
    <w:rsid w:val="001369FE"/>
    <w:rsid w:val="00136DAF"/>
    <w:rsid w:val="00137425"/>
    <w:rsid w:val="00137499"/>
    <w:rsid w:val="001374DA"/>
    <w:rsid w:val="001377C6"/>
    <w:rsid w:val="00137913"/>
    <w:rsid w:val="00140980"/>
    <w:rsid w:val="00140D3A"/>
    <w:rsid w:val="001413C4"/>
    <w:rsid w:val="001414F6"/>
    <w:rsid w:val="001436F8"/>
    <w:rsid w:val="001448B0"/>
    <w:rsid w:val="00145619"/>
    <w:rsid w:val="00145E9F"/>
    <w:rsid w:val="00145EC5"/>
    <w:rsid w:val="0014609C"/>
    <w:rsid w:val="0014625F"/>
    <w:rsid w:val="00146FB2"/>
    <w:rsid w:val="001472E9"/>
    <w:rsid w:val="0014771A"/>
    <w:rsid w:val="00147EF0"/>
    <w:rsid w:val="00150407"/>
    <w:rsid w:val="00150FED"/>
    <w:rsid w:val="001511EC"/>
    <w:rsid w:val="001512E4"/>
    <w:rsid w:val="00151E1E"/>
    <w:rsid w:val="00152C76"/>
    <w:rsid w:val="001539E9"/>
    <w:rsid w:val="001542AB"/>
    <w:rsid w:val="00154AF4"/>
    <w:rsid w:val="0015539F"/>
    <w:rsid w:val="001554C0"/>
    <w:rsid w:val="001555FD"/>
    <w:rsid w:val="001556E5"/>
    <w:rsid w:val="001565C8"/>
    <w:rsid w:val="001566EB"/>
    <w:rsid w:val="001568A6"/>
    <w:rsid w:val="00157680"/>
    <w:rsid w:val="001578A4"/>
    <w:rsid w:val="00157AF9"/>
    <w:rsid w:val="00160EAC"/>
    <w:rsid w:val="00161264"/>
    <w:rsid w:val="00161530"/>
    <w:rsid w:val="0016160B"/>
    <w:rsid w:val="00162058"/>
    <w:rsid w:val="0016238B"/>
    <w:rsid w:val="001638F1"/>
    <w:rsid w:val="00163B38"/>
    <w:rsid w:val="001646A9"/>
    <w:rsid w:val="00164966"/>
    <w:rsid w:val="00164C93"/>
    <w:rsid w:val="00164CCA"/>
    <w:rsid w:val="001651A7"/>
    <w:rsid w:val="00165F98"/>
    <w:rsid w:val="00165FE0"/>
    <w:rsid w:val="0016725A"/>
    <w:rsid w:val="00167CD6"/>
    <w:rsid w:val="00167DC4"/>
    <w:rsid w:val="0017030F"/>
    <w:rsid w:val="0017057F"/>
    <w:rsid w:val="001706E6"/>
    <w:rsid w:val="00170916"/>
    <w:rsid w:val="00171AB1"/>
    <w:rsid w:val="00172074"/>
    <w:rsid w:val="001722AD"/>
    <w:rsid w:val="001726AE"/>
    <w:rsid w:val="00172EF3"/>
    <w:rsid w:val="00173A39"/>
    <w:rsid w:val="00174B2C"/>
    <w:rsid w:val="00174B96"/>
    <w:rsid w:val="001752AA"/>
    <w:rsid w:val="00176290"/>
    <w:rsid w:val="00176669"/>
    <w:rsid w:val="001768E1"/>
    <w:rsid w:val="00176C5D"/>
    <w:rsid w:val="00176E47"/>
    <w:rsid w:val="00177BA6"/>
    <w:rsid w:val="001802F8"/>
    <w:rsid w:val="00180653"/>
    <w:rsid w:val="00181123"/>
    <w:rsid w:val="00181391"/>
    <w:rsid w:val="00181D48"/>
    <w:rsid w:val="00181F99"/>
    <w:rsid w:val="0018268C"/>
    <w:rsid w:val="0018325C"/>
    <w:rsid w:val="00183590"/>
    <w:rsid w:val="0018366A"/>
    <w:rsid w:val="00184596"/>
    <w:rsid w:val="00184F6E"/>
    <w:rsid w:val="00185142"/>
    <w:rsid w:val="0018662B"/>
    <w:rsid w:val="001869C6"/>
    <w:rsid w:val="00186AD7"/>
    <w:rsid w:val="001870AE"/>
    <w:rsid w:val="00187106"/>
    <w:rsid w:val="001878C3"/>
    <w:rsid w:val="0018795A"/>
    <w:rsid w:val="001901F8"/>
    <w:rsid w:val="00190BA1"/>
    <w:rsid w:val="00191107"/>
    <w:rsid w:val="00192758"/>
    <w:rsid w:val="00192A5D"/>
    <w:rsid w:val="00192DB2"/>
    <w:rsid w:val="001932E5"/>
    <w:rsid w:val="00193679"/>
    <w:rsid w:val="00193FFA"/>
    <w:rsid w:val="00194109"/>
    <w:rsid w:val="0019478D"/>
    <w:rsid w:val="001948FC"/>
    <w:rsid w:val="001952C0"/>
    <w:rsid w:val="001965DD"/>
    <w:rsid w:val="0019698F"/>
    <w:rsid w:val="00196EF2"/>
    <w:rsid w:val="00197089"/>
    <w:rsid w:val="00197AB8"/>
    <w:rsid w:val="00197B39"/>
    <w:rsid w:val="001A00D4"/>
    <w:rsid w:val="001A07D8"/>
    <w:rsid w:val="001A0895"/>
    <w:rsid w:val="001A0A8B"/>
    <w:rsid w:val="001A0B39"/>
    <w:rsid w:val="001A1477"/>
    <w:rsid w:val="001A3100"/>
    <w:rsid w:val="001A3CCB"/>
    <w:rsid w:val="001A4AE4"/>
    <w:rsid w:val="001A4FC0"/>
    <w:rsid w:val="001A5221"/>
    <w:rsid w:val="001A57F5"/>
    <w:rsid w:val="001A5B30"/>
    <w:rsid w:val="001A6387"/>
    <w:rsid w:val="001A645C"/>
    <w:rsid w:val="001A674A"/>
    <w:rsid w:val="001A683D"/>
    <w:rsid w:val="001A6A2C"/>
    <w:rsid w:val="001A7D94"/>
    <w:rsid w:val="001B0CAA"/>
    <w:rsid w:val="001B128F"/>
    <w:rsid w:val="001B1EE1"/>
    <w:rsid w:val="001B1EFC"/>
    <w:rsid w:val="001B2499"/>
    <w:rsid w:val="001B260E"/>
    <w:rsid w:val="001B273C"/>
    <w:rsid w:val="001B29EA"/>
    <w:rsid w:val="001B39D2"/>
    <w:rsid w:val="001B42C6"/>
    <w:rsid w:val="001B4770"/>
    <w:rsid w:val="001B493E"/>
    <w:rsid w:val="001B5894"/>
    <w:rsid w:val="001B69C6"/>
    <w:rsid w:val="001B7137"/>
    <w:rsid w:val="001C0073"/>
    <w:rsid w:val="001C05D3"/>
    <w:rsid w:val="001C068F"/>
    <w:rsid w:val="001C18E7"/>
    <w:rsid w:val="001C19B1"/>
    <w:rsid w:val="001C1EE0"/>
    <w:rsid w:val="001C250F"/>
    <w:rsid w:val="001C2806"/>
    <w:rsid w:val="001C28F5"/>
    <w:rsid w:val="001C2BCB"/>
    <w:rsid w:val="001C2C11"/>
    <w:rsid w:val="001C2C56"/>
    <w:rsid w:val="001C2F1F"/>
    <w:rsid w:val="001C3873"/>
    <w:rsid w:val="001C38D5"/>
    <w:rsid w:val="001C3B15"/>
    <w:rsid w:val="001C3B20"/>
    <w:rsid w:val="001C3BD7"/>
    <w:rsid w:val="001C3C63"/>
    <w:rsid w:val="001C4B2A"/>
    <w:rsid w:val="001C4BC4"/>
    <w:rsid w:val="001C4EA2"/>
    <w:rsid w:val="001C552A"/>
    <w:rsid w:val="001C5B03"/>
    <w:rsid w:val="001C5B8F"/>
    <w:rsid w:val="001C5C6D"/>
    <w:rsid w:val="001C60C8"/>
    <w:rsid w:val="001C679D"/>
    <w:rsid w:val="001C7A2F"/>
    <w:rsid w:val="001C7FC5"/>
    <w:rsid w:val="001D06EC"/>
    <w:rsid w:val="001D0C07"/>
    <w:rsid w:val="001D1657"/>
    <w:rsid w:val="001D1B31"/>
    <w:rsid w:val="001D1CB1"/>
    <w:rsid w:val="001D263C"/>
    <w:rsid w:val="001D292B"/>
    <w:rsid w:val="001D2985"/>
    <w:rsid w:val="001D2B40"/>
    <w:rsid w:val="001D2B97"/>
    <w:rsid w:val="001D2C61"/>
    <w:rsid w:val="001D2D73"/>
    <w:rsid w:val="001D397C"/>
    <w:rsid w:val="001D3DA7"/>
    <w:rsid w:val="001D4060"/>
    <w:rsid w:val="001D41F7"/>
    <w:rsid w:val="001D440F"/>
    <w:rsid w:val="001D4BB7"/>
    <w:rsid w:val="001D5E36"/>
    <w:rsid w:val="001D645D"/>
    <w:rsid w:val="001D6F45"/>
    <w:rsid w:val="001E0C1C"/>
    <w:rsid w:val="001E0D4B"/>
    <w:rsid w:val="001E1749"/>
    <w:rsid w:val="001E18E1"/>
    <w:rsid w:val="001E20FF"/>
    <w:rsid w:val="001E294E"/>
    <w:rsid w:val="001E30A1"/>
    <w:rsid w:val="001E36FC"/>
    <w:rsid w:val="001E3B20"/>
    <w:rsid w:val="001E4112"/>
    <w:rsid w:val="001E43AE"/>
    <w:rsid w:val="001E4441"/>
    <w:rsid w:val="001E4ADC"/>
    <w:rsid w:val="001E4C9A"/>
    <w:rsid w:val="001E4D15"/>
    <w:rsid w:val="001E4E40"/>
    <w:rsid w:val="001E4F11"/>
    <w:rsid w:val="001E6BD5"/>
    <w:rsid w:val="001E6FCB"/>
    <w:rsid w:val="001E74F6"/>
    <w:rsid w:val="001F0215"/>
    <w:rsid w:val="001F045C"/>
    <w:rsid w:val="001F0E20"/>
    <w:rsid w:val="001F18BB"/>
    <w:rsid w:val="001F1B26"/>
    <w:rsid w:val="001F1BFE"/>
    <w:rsid w:val="001F31F9"/>
    <w:rsid w:val="001F3C63"/>
    <w:rsid w:val="001F3F98"/>
    <w:rsid w:val="001F4A66"/>
    <w:rsid w:val="001F5005"/>
    <w:rsid w:val="001F51DB"/>
    <w:rsid w:val="001F5872"/>
    <w:rsid w:val="001F6107"/>
    <w:rsid w:val="001F632B"/>
    <w:rsid w:val="001F6CD5"/>
    <w:rsid w:val="001F785B"/>
    <w:rsid w:val="00200149"/>
    <w:rsid w:val="0020018D"/>
    <w:rsid w:val="002001FE"/>
    <w:rsid w:val="00200235"/>
    <w:rsid w:val="0020032C"/>
    <w:rsid w:val="002008A7"/>
    <w:rsid w:val="002019A0"/>
    <w:rsid w:val="00202057"/>
    <w:rsid w:val="0020253D"/>
    <w:rsid w:val="002029C9"/>
    <w:rsid w:val="00202E10"/>
    <w:rsid w:val="00203760"/>
    <w:rsid w:val="002037C5"/>
    <w:rsid w:val="00203A48"/>
    <w:rsid w:val="00203BC2"/>
    <w:rsid w:val="002057AC"/>
    <w:rsid w:val="0020676E"/>
    <w:rsid w:val="002069F0"/>
    <w:rsid w:val="00206D17"/>
    <w:rsid w:val="00206F73"/>
    <w:rsid w:val="00207213"/>
    <w:rsid w:val="0020772E"/>
    <w:rsid w:val="002100C2"/>
    <w:rsid w:val="0021031C"/>
    <w:rsid w:val="002118C5"/>
    <w:rsid w:val="00211C3F"/>
    <w:rsid w:val="00212524"/>
    <w:rsid w:val="0021274C"/>
    <w:rsid w:val="00212DDD"/>
    <w:rsid w:val="0021320E"/>
    <w:rsid w:val="00213681"/>
    <w:rsid w:val="002147A2"/>
    <w:rsid w:val="00214877"/>
    <w:rsid w:val="00214F50"/>
    <w:rsid w:val="002155A8"/>
    <w:rsid w:val="00215711"/>
    <w:rsid w:val="002162E5"/>
    <w:rsid w:val="002165D6"/>
    <w:rsid w:val="00216EB4"/>
    <w:rsid w:val="00217B45"/>
    <w:rsid w:val="00217EFB"/>
    <w:rsid w:val="00217F67"/>
    <w:rsid w:val="00220E80"/>
    <w:rsid w:val="00220F25"/>
    <w:rsid w:val="002234F9"/>
    <w:rsid w:val="0022353A"/>
    <w:rsid w:val="0022383D"/>
    <w:rsid w:val="002239E8"/>
    <w:rsid w:val="00223CC1"/>
    <w:rsid w:val="002249E2"/>
    <w:rsid w:val="00224BDD"/>
    <w:rsid w:val="0022519F"/>
    <w:rsid w:val="002257B4"/>
    <w:rsid w:val="00225B58"/>
    <w:rsid w:val="00226209"/>
    <w:rsid w:val="00226458"/>
    <w:rsid w:val="00226598"/>
    <w:rsid w:val="002266A4"/>
    <w:rsid w:val="002266FC"/>
    <w:rsid w:val="00227057"/>
    <w:rsid w:val="0022735F"/>
    <w:rsid w:val="002279E9"/>
    <w:rsid w:val="00230129"/>
    <w:rsid w:val="002301FC"/>
    <w:rsid w:val="002306CC"/>
    <w:rsid w:val="00230BCA"/>
    <w:rsid w:val="00231798"/>
    <w:rsid w:val="002321CC"/>
    <w:rsid w:val="00232D76"/>
    <w:rsid w:val="002332C5"/>
    <w:rsid w:val="00233459"/>
    <w:rsid w:val="002341D1"/>
    <w:rsid w:val="0023473B"/>
    <w:rsid w:val="00234B95"/>
    <w:rsid w:val="00234C70"/>
    <w:rsid w:val="00234E60"/>
    <w:rsid w:val="002357E9"/>
    <w:rsid w:val="00235F05"/>
    <w:rsid w:val="00236896"/>
    <w:rsid w:val="002369B9"/>
    <w:rsid w:val="00237A4E"/>
    <w:rsid w:val="00240D75"/>
    <w:rsid w:val="002415A7"/>
    <w:rsid w:val="00241B1A"/>
    <w:rsid w:val="0024214A"/>
    <w:rsid w:val="00242395"/>
    <w:rsid w:val="00242594"/>
    <w:rsid w:val="00242AEA"/>
    <w:rsid w:val="00242CDA"/>
    <w:rsid w:val="00242E65"/>
    <w:rsid w:val="0024440E"/>
    <w:rsid w:val="002448B4"/>
    <w:rsid w:val="00245468"/>
    <w:rsid w:val="002466B7"/>
    <w:rsid w:val="002473BA"/>
    <w:rsid w:val="002476B9"/>
    <w:rsid w:val="00247719"/>
    <w:rsid w:val="00247782"/>
    <w:rsid w:val="0024791A"/>
    <w:rsid w:val="00247E8A"/>
    <w:rsid w:val="002503A4"/>
    <w:rsid w:val="002504D1"/>
    <w:rsid w:val="00250BCD"/>
    <w:rsid w:val="00250BE7"/>
    <w:rsid w:val="00250DF4"/>
    <w:rsid w:val="00251116"/>
    <w:rsid w:val="00251702"/>
    <w:rsid w:val="00253676"/>
    <w:rsid w:val="00253E2E"/>
    <w:rsid w:val="00254298"/>
    <w:rsid w:val="002559A0"/>
    <w:rsid w:val="00255CD4"/>
    <w:rsid w:val="002570DB"/>
    <w:rsid w:val="0025749C"/>
    <w:rsid w:val="00257C0D"/>
    <w:rsid w:val="00260E62"/>
    <w:rsid w:val="00261863"/>
    <w:rsid w:val="00262359"/>
    <w:rsid w:val="0026268B"/>
    <w:rsid w:val="002626B9"/>
    <w:rsid w:val="00262786"/>
    <w:rsid w:val="002628FC"/>
    <w:rsid w:val="00262A8E"/>
    <w:rsid w:val="00262E4F"/>
    <w:rsid w:val="00265A4A"/>
    <w:rsid w:val="00265A7B"/>
    <w:rsid w:val="00265E01"/>
    <w:rsid w:val="00265FE9"/>
    <w:rsid w:val="00266156"/>
    <w:rsid w:val="0026738C"/>
    <w:rsid w:val="00267AB1"/>
    <w:rsid w:val="00270199"/>
    <w:rsid w:val="00270211"/>
    <w:rsid w:val="00271041"/>
    <w:rsid w:val="002711D4"/>
    <w:rsid w:val="00271E9F"/>
    <w:rsid w:val="00272ACF"/>
    <w:rsid w:val="00274125"/>
    <w:rsid w:val="00274A61"/>
    <w:rsid w:val="002759BA"/>
    <w:rsid w:val="00275BBC"/>
    <w:rsid w:val="002765EF"/>
    <w:rsid w:val="00276C77"/>
    <w:rsid w:val="00276CE8"/>
    <w:rsid w:val="00276CF1"/>
    <w:rsid w:val="00276D5A"/>
    <w:rsid w:val="00276E54"/>
    <w:rsid w:val="002773F6"/>
    <w:rsid w:val="0027755B"/>
    <w:rsid w:val="0028073D"/>
    <w:rsid w:val="00280F8D"/>
    <w:rsid w:val="0028120A"/>
    <w:rsid w:val="00281479"/>
    <w:rsid w:val="0028160E"/>
    <w:rsid w:val="00281631"/>
    <w:rsid w:val="00281EA0"/>
    <w:rsid w:val="002823F9"/>
    <w:rsid w:val="00282EA1"/>
    <w:rsid w:val="00282EEF"/>
    <w:rsid w:val="002835F2"/>
    <w:rsid w:val="002853B3"/>
    <w:rsid w:val="002856BF"/>
    <w:rsid w:val="002865A5"/>
    <w:rsid w:val="0028727A"/>
    <w:rsid w:val="002907AB"/>
    <w:rsid w:val="002909E4"/>
    <w:rsid w:val="00290A87"/>
    <w:rsid w:val="0029286B"/>
    <w:rsid w:val="002930E7"/>
    <w:rsid w:val="0029370E"/>
    <w:rsid w:val="00293974"/>
    <w:rsid w:val="002943E2"/>
    <w:rsid w:val="0029452B"/>
    <w:rsid w:val="00294876"/>
    <w:rsid w:val="002951B5"/>
    <w:rsid w:val="002955FD"/>
    <w:rsid w:val="00295BCF"/>
    <w:rsid w:val="002966AF"/>
    <w:rsid w:val="002968EF"/>
    <w:rsid w:val="00296C2C"/>
    <w:rsid w:val="00296D81"/>
    <w:rsid w:val="00297992"/>
    <w:rsid w:val="00297D17"/>
    <w:rsid w:val="002A0DB6"/>
    <w:rsid w:val="002A1603"/>
    <w:rsid w:val="002A1843"/>
    <w:rsid w:val="002A20D5"/>
    <w:rsid w:val="002A2590"/>
    <w:rsid w:val="002A26B7"/>
    <w:rsid w:val="002A2B42"/>
    <w:rsid w:val="002A2BF5"/>
    <w:rsid w:val="002A2F21"/>
    <w:rsid w:val="002A3439"/>
    <w:rsid w:val="002A37E8"/>
    <w:rsid w:val="002A3964"/>
    <w:rsid w:val="002A3E6E"/>
    <w:rsid w:val="002A41EB"/>
    <w:rsid w:val="002A448F"/>
    <w:rsid w:val="002A4A97"/>
    <w:rsid w:val="002A5745"/>
    <w:rsid w:val="002A6298"/>
    <w:rsid w:val="002A6FA8"/>
    <w:rsid w:val="002A7160"/>
    <w:rsid w:val="002A7BF5"/>
    <w:rsid w:val="002B0394"/>
    <w:rsid w:val="002B1334"/>
    <w:rsid w:val="002B1969"/>
    <w:rsid w:val="002B1987"/>
    <w:rsid w:val="002B1A67"/>
    <w:rsid w:val="002B1B56"/>
    <w:rsid w:val="002B2635"/>
    <w:rsid w:val="002B2C59"/>
    <w:rsid w:val="002B3E0E"/>
    <w:rsid w:val="002B3F88"/>
    <w:rsid w:val="002B4125"/>
    <w:rsid w:val="002B44C4"/>
    <w:rsid w:val="002B474F"/>
    <w:rsid w:val="002B79B2"/>
    <w:rsid w:val="002B7BE2"/>
    <w:rsid w:val="002C02CB"/>
    <w:rsid w:val="002C03E2"/>
    <w:rsid w:val="002C0D50"/>
    <w:rsid w:val="002C2591"/>
    <w:rsid w:val="002C27E1"/>
    <w:rsid w:val="002C3308"/>
    <w:rsid w:val="002C390D"/>
    <w:rsid w:val="002C3AC5"/>
    <w:rsid w:val="002C4371"/>
    <w:rsid w:val="002C43F0"/>
    <w:rsid w:val="002C4924"/>
    <w:rsid w:val="002C4948"/>
    <w:rsid w:val="002C5787"/>
    <w:rsid w:val="002C633A"/>
    <w:rsid w:val="002C64A4"/>
    <w:rsid w:val="002C716F"/>
    <w:rsid w:val="002C7A3E"/>
    <w:rsid w:val="002C7DF8"/>
    <w:rsid w:val="002D0329"/>
    <w:rsid w:val="002D08DE"/>
    <w:rsid w:val="002D0A84"/>
    <w:rsid w:val="002D22E5"/>
    <w:rsid w:val="002D2856"/>
    <w:rsid w:val="002D286A"/>
    <w:rsid w:val="002D2B04"/>
    <w:rsid w:val="002D33A6"/>
    <w:rsid w:val="002D38DE"/>
    <w:rsid w:val="002D4461"/>
    <w:rsid w:val="002D4520"/>
    <w:rsid w:val="002D45BC"/>
    <w:rsid w:val="002D493C"/>
    <w:rsid w:val="002D4B54"/>
    <w:rsid w:val="002D5321"/>
    <w:rsid w:val="002D56F6"/>
    <w:rsid w:val="002D58CD"/>
    <w:rsid w:val="002D63C4"/>
    <w:rsid w:val="002D7150"/>
    <w:rsid w:val="002D74F5"/>
    <w:rsid w:val="002D75F1"/>
    <w:rsid w:val="002E067C"/>
    <w:rsid w:val="002E089A"/>
    <w:rsid w:val="002E098A"/>
    <w:rsid w:val="002E0BA7"/>
    <w:rsid w:val="002E0E3D"/>
    <w:rsid w:val="002E26CB"/>
    <w:rsid w:val="002E2CCA"/>
    <w:rsid w:val="002E3176"/>
    <w:rsid w:val="002E3B5B"/>
    <w:rsid w:val="002E3C75"/>
    <w:rsid w:val="002E3D1C"/>
    <w:rsid w:val="002E3DB1"/>
    <w:rsid w:val="002E4070"/>
    <w:rsid w:val="002E4BFC"/>
    <w:rsid w:val="002E551C"/>
    <w:rsid w:val="002E56F0"/>
    <w:rsid w:val="002E5AED"/>
    <w:rsid w:val="002E6832"/>
    <w:rsid w:val="002E6A1D"/>
    <w:rsid w:val="002E6D6C"/>
    <w:rsid w:val="002E7732"/>
    <w:rsid w:val="002F036D"/>
    <w:rsid w:val="002F0928"/>
    <w:rsid w:val="002F0ABA"/>
    <w:rsid w:val="002F1AB3"/>
    <w:rsid w:val="002F211A"/>
    <w:rsid w:val="002F236D"/>
    <w:rsid w:val="002F23D7"/>
    <w:rsid w:val="002F2BB4"/>
    <w:rsid w:val="002F3703"/>
    <w:rsid w:val="002F394D"/>
    <w:rsid w:val="002F3A0C"/>
    <w:rsid w:val="002F3F5F"/>
    <w:rsid w:val="002F3FE8"/>
    <w:rsid w:val="002F48A6"/>
    <w:rsid w:val="002F4FE0"/>
    <w:rsid w:val="002F5004"/>
    <w:rsid w:val="002F6287"/>
    <w:rsid w:val="002F62B8"/>
    <w:rsid w:val="002F631F"/>
    <w:rsid w:val="002F6937"/>
    <w:rsid w:val="002F6D1F"/>
    <w:rsid w:val="002F7A6A"/>
    <w:rsid w:val="0030009C"/>
    <w:rsid w:val="0030011A"/>
    <w:rsid w:val="00300AC6"/>
    <w:rsid w:val="00302D34"/>
    <w:rsid w:val="00303CA5"/>
    <w:rsid w:val="003049DC"/>
    <w:rsid w:val="00305713"/>
    <w:rsid w:val="0030582C"/>
    <w:rsid w:val="00305F2B"/>
    <w:rsid w:val="00305FF1"/>
    <w:rsid w:val="00306423"/>
    <w:rsid w:val="0030662A"/>
    <w:rsid w:val="003068E1"/>
    <w:rsid w:val="00306A51"/>
    <w:rsid w:val="00307889"/>
    <w:rsid w:val="00307B5B"/>
    <w:rsid w:val="00307F1B"/>
    <w:rsid w:val="003111F4"/>
    <w:rsid w:val="00311784"/>
    <w:rsid w:val="00312364"/>
    <w:rsid w:val="003128FD"/>
    <w:rsid w:val="00312E5D"/>
    <w:rsid w:val="00313788"/>
    <w:rsid w:val="003140F7"/>
    <w:rsid w:val="00314624"/>
    <w:rsid w:val="00314FC8"/>
    <w:rsid w:val="0031525D"/>
    <w:rsid w:val="00315C88"/>
    <w:rsid w:val="00317CC5"/>
    <w:rsid w:val="00320541"/>
    <w:rsid w:val="0032088B"/>
    <w:rsid w:val="00321BA1"/>
    <w:rsid w:val="00321EEC"/>
    <w:rsid w:val="0032222E"/>
    <w:rsid w:val="003223E2"/>
    <w:rsid w:val="0032275E"/>
    <w:rsid w:val="0032379B"/>
    <w:rsid w:val="003243D4"/>
    <w:rsid w:val="00325200"/>
    <w:rsid w:val="00325B17"/>
    <w:rsid w:val="00327AC4"/>
    <w:rsid w:val="00330E83"/>
    <w:rsid w:val="003314C8"/>
    <w:rsid w:val="003314E2"/>
    <w:rsid w:val="003317DD"/>
    <w:rsid w:val="0033194D"/>
    <w:rsid w:val="00331D52"/>
    <w:rsid w:val="00332191"/>
    <w:rsid w:val="00332CAC"/>
    <w:rsid w:val="003348D5"/>
    <w:rsid w:val="00334C13"/>
    <w:rsid w:val="00334EFE"/>
    <w:rsid w:val="00334F9A"/>
    <w:rsid w:val="0033526A"/>
    <w:rsid w:val="003355CE"/>
    <w:rsid w:val="00335D9A"/>
    <w:rsid w:val="00340C47"/>
    <w:rsid w:val="00341181"/>
    <w:rsid w:val="00341253"/>
    <w:rsid w:val="003416E3"/>
    <w:rsid w:val="003425A1"/>
    <w:rsid w:val="003427D5"/>
    <w:rsid w:val="003428A9"/>
    <w:rsid w:val="003429B3"/>
    <w:rsid w:val="003429EE"/>
    <w:rsid w:val="00342F73"/>
    <w:rsid w:val="00343C6A"/>
    <w:rsid w:val="003459D6"/>
    <w:rsid w:val="00346A75"/>
    <w:rsid w:val="00346FFB"/>
    <w:rsid w:val="00347299"/>
    <w:rsid w:val="0034771A"/>
    <w:rsid w:val="00350A22"/>
    <w:rsid w:val="00350D00"/>
    <w:rsid w:val="003515D3"/>
    <w:rsid w:val="003518F2"/>
    <w:rsid w:val="003521D8"/>
    <w:rsid w:val="003524EB"/>
    <w:rsid w:val="0035261D"/>
    <w:rsid w:val="00352D35"/>
    <w:rsid w:val="00352EF9"/>
    <w:rsid w:val="00354624"/>
    <w:rsid w:val="003550FD"/>
    <w:rsid w:val="003554C2"/>
    <w:rsid w:val="00355927"/>
    <w:rsid w:val="00356026"/>
    <w:rsid w:val="00356387"/>
    <w:rsid w:val="003565ED"/>
    <w:rsid w:val="00356A81"/>
    <w:rsid w:val="0035700A"/>
    <w:rsid w:val="00357077"/>
    <w:rsid w:val="003575E8"/>
    <w:rsid w:val="00360586"/>
    <w:rsid w:val="003619A4"/>
    <w:rsid w:val="00361B4F"/>
    <w:rsid w:val="00361C59"/>
    <w:rsid w:val="00362342"/>
    <w:rsid w:val="00362522"/>
    <w:rsid w:val="00362773"/>
    <w:rsid w:val="0036295F"/>
    <w:rsid w:val="00362C45"/>
    <w:rsid w:val="00363829"/>
    <w:rsid w:val="00363CC7"/>
    <w:rsid w:val="003642BC"/>
    <w:rsid w:val="00364650"/>
    <w:rsid w:val="0036466C"/>
    <w:rsid w:val="00364731"/>
    <w:rsid w:val="003648C7"/>
    <w:rsid w:val="00364D84"/>
    <w:rsid w:val="003653B9"/>
    <w:rsid w:val="00365CEF"/>
    <w:rsid w:val="003662FC"/>
    <w:rsid w:val="003668CF"/>
    <w:rsid w:val="00366B26"/>
    <w:rsid w:val="00366E21"/>
    <w:rsid w:val="0036753D"/>
    <w:rsid w:val="00370071"/>
    <w:rsid w:val="003701B7"/>
    <w:rsid w:val="00370F51"/>
    <w:rsid w:val="00372628"/>
    <w:rsid w:val="0037262F"/>
    <w:rsid w:val="0037436E"/>
    <w:rsid w:val="0037474B"/>
    <w:rsid w:val="00374E47"/>
    <w:rsid w:val="00375279"/>
    <w:rsid w:val="003756CE"/>
    <w:rsid w:val="00376613"/>
    <w:rsid w:val="003769AB"/>
    <w:rsid w:val="0037710D"/>
    <w:rsid w:val="00380701"/>
    <w:rsid w:val="00380A55"/>
    <w:rsid w:val="00380E1B"/>
    <w:rsid w:val="00380E92"/>
    <w:rsid w:val="00381154"/>
    <w:rsid w:val="00381D9A"/>
    <w:rsid w:val="00382009"/>
    <w:rsid w:val="00382211"/>
    <w:rsid w:val="003837DE"/>
    <w:rsid w:val="00383C1A"/>
    <w:rsid w:val="00384655"/>
    <w:rsid w:val="00384656"/>
    <w:rsid w:val="0038468C"/>
    <w:rsid w:val="00385A1D"/>
    <w:rsid w:val="00386502"/>
    <w:rsid w:val="003876F5"/>
    <w:rsid w:val="00387CAE"/>
    <w:rsid w:val="0039074E"/>
    <w:rsid w:val="0039079A"/>
    <w:rsid w:val="00390EC4"/>
    <w:rsid w:val="00391AC4"/>
    <w:rsid w:val="00391FC1"/>
    <w:rsid w:val="0039290A"/>
    <w:rsid w:val="00392A6C"/>
    <w:rsid w:val="00392F1E"/>
    <w:rsid w:val="00392F27"/>
    <w:rsid w:val="003943ED"/>
    <w:rsid w:val="00394A99"/>
    <w:rsid w:val="00394DDC"/>
    <w:rsid w:val="00394E1C"/>
    <w:rsid w:val="0039530A"/>
    <w:rsid w:val="00395AC1"/>
    <w:rsid w:val="00395B34"/>
    <w:rsid w:val="00396A1A"/>
    <w:rsid w:val="003A06AF"/>
    <w:rsid w:val="003A090F"/>
    <w:rsid w:val="003A0F3E"/>
    <w:rsid w:val="003A1059"/>
    <w:rsid w:val="003A1588"/>
    <w:rsid w:val="003A1B3A"/>
    <w:rsid w:val="003A1DB1"/>
    <w:rsid w:val="003A34B6"/>
    <w:rsid w:val="003A398F"/>
    <w:rsid w:val="003A4675"/>
    <w:rsid w:val="003A5AB5"/>
    <w:rsid w:val="003A5F6F"/>
    <w:rsid w:val="003A63F4"/>
    <w:rsid w:val="003A72FD"/>
    <w:rsid w:val="003A77E0"/>
    <w:rsid w:val="003A7C05"/>
    <w:rsid w:val="003A7DC5"/>
    <w:rsid w:val="003B013B"/>
    <w:rsid w:val="003B0353"/>
    <w:rsid w:val="003B0B51"/>
    <w:rsid w:val="003B1A1B"/>
    <w:rsid w:val="003B20FD"/>
    <w:rsid w:val="003B2161"/>
    <w:rsid w:val="003B2570"/>
    <w:rsid w:val="003B27EF"/>
    <w:rsid w:val="003B2B93"/>
    <w:rsid w:val="003B3524"/>
    <w:rsid w:val="003B46FD"/>
    <w:rsid w:val="003B4AF5"/>
    <w:rsid w:val="003B4BC6"/>
    <w:rsid w:val="003B4DD3"/>
    <w:rsid w:val="003B511B"/>
    <w:rsid w:val="003B7195"/>
    <w:rsid w:val="003B7360"/>
    <w:rsid w:val="003B7F63"/>
    <w:rsid w:val="003C08CA"/>
    <w:rsid w:val="003C0FB0"/>
    <w:rsid w:val="003C1224"/>
    <w:rsid w:val="003C17A8"/>
    <w:rsid w:val="003C1BB7"/>
    <w:rsid w:val="003C1D89"/>
    <w:rsid w:val="003C1F3A"/>
    <w:rsid w:val="003C2234"/>
    <w:rsid w:val="003C2B13"/>
    <w:rsid w:val="003C2C6F"/>
    <w:rsid w:val="003C2DE3"/>
    <w:rsid w:val="003C369A"/>
    <w:rsid w:val="003C3D1B"/>
    <w:rsid w:val="003C448C"/>
    <w:rsid w:val="003C5BD2"/>
    <w:rsid w:val="003C61C2"/>
    <w:rsid w:val="003C6660"/>
    <w:rsid w:val="003C7086"/>
    <w:rsid w:val="003C7280"/>
    <w:rsid w:val="003D06F6"/>
    <w:rsid w:val="003D0955"/>
    <w:rsid w:val="003D0F77"/>
    <w:rsid w:val="003D16EA"/>
    <w:rsid w:val="003D16FF"/>
    <w:rsid w:val="003D184F"/>
    <w:rsid w:val="003D1BCF"/>
    <w:rsid w:val="003D2499"/>
    <w:rsid w:val="003D357B"/>
    <w:rsid w:val="003D4D6B"/>
    <w:rsid w:val="003D5847"/>
    <w:rsid w:val="003D5F5F"/>
    <w:rsid w:val="003D6011"/>
    <w:rsid w:val="003D65BF"/>
    <w:rsid w:val="003D6708"/>
    <w:rsid w:val="003D6770"/>
    <w:rsid w:val="003D6EA7"/>
    <w:rsid w:val="003D7D73"/>
    <w:rsid w:val="003E104B"/>
    <w:rsid w:val="003E10AF"/>
    <w:rsid w:val="003E1A46"/>
    <w:rsid w:val="003E1B2E"/>
    <w:rsid w:val="003E1B95"/>
    <w:rsid w:val="003E281F"/>
    <w:rsid w:val="003E3059"/>
    <w:rsid w:val="003E34B9"/>
    <w:rsid w:val="003E354D"/>
    <w:rsid w:val="003E3DB7"/>
    <w:rsid w:val="003E4EF7"/>
    <w:rsid w:val="003E5D5F"/>
    <w:rsid w:val="003E5D89"/>
    <w:rsid w:val="003E6414"/>
    <w:rsid w:val="003F0668"/>
    <w:rsid w:val="003F0B91"/>
    <w:rsid w:val="003F0E1A"/>
    <w:rsid w:val="003F26B6"/>
    <w:rsid w:val="003F2720"/>
    <w:rsid w:val="003F2727"/>
    <w:rsid w:val="003F3203"/>
    <w:rsid w:val="003F3375"/>
    <w:rsid w:val="003F4716"/>
    <w:rsid w:val="003F4A9C"/>
    <w:rsid w:val="003F542D"/>
    <w:rsid w:val="003F57DA"/>
    <w:rsid w:val="003F617A"/>
    <w:rsid w:val="003F64E9"/>
    <w:rsid w:val="003F717A"/>
    <w:rsid w:val="003F74A6"/>
    <w:rsid w:val="003F76F4"/>
    <w:rsid w:val="003F7D5A"/>
    <w:rsid w:val="00400BC0"/>
    <w:rsid w:val="0040143D"/>
    <w:rsid w:val="00401627"/>
    <w:rsid w:val="00402BE0"/>
    <w:rsid w:val="00403471"/>
    <w:rsid w:val="004034B5"/>
    <w:rsid w:val="004034C6"/>
    <w:rsid w:val="004036D3"/>
    <w:rsid w:val="00403A91"/>
    <w:rsid w:val="004048E2"/>
    <w:rsid w:val="00405584"/>
    <w:rsid w:val="00405603"/>
    <w:rsid w:val="00406538"/>
    <w:rsid w:val="00406CA0"/>
    <w:rsid w:val="00406D07"/>
    <w:rsid w:val="00410267"/>
    <w:rsid w:val="00410DF2"/>
    <w:rsid w:val="0041118E"/>
    <w:rsid w:val="00411D1D"/>
    <w:rsid w:val="00412CA6"/>
    <w:rsid w:val="00413563"/>
    <w:rsid w:val="00413612"/>
    <w:rsid w:val="0041405B"/>
    <w:rsid w:val="004146E1"/>
    <w:rsid w:val="00414FA6"/>
    <w:rsid w:val="004151BC"/>
    <w:rsid w:val="00415519"/>
    <w:rsid w:val="004157AE"/>
    <w:rsid w:val="004159B9"/>
    <w:rsid w:val="00415ECB"/>
    <w:rsid w:val="004162AA"/>
    <w:rsid w:val="00416BCA"/>
    <w:rsid w:val="00416E10"/>
    <w:rsid w:val="004175A8"/>
    <w:rsid w:val="00417CB9"/>
    <w:rsid w:val="00420150"/>
    <w:rsid w:val="00420508"/>
    <w:rsid w:val="004206F9"/>
    <w:rsid w:val="00420DE5"/>
    <w:rsid w:val="0042198C"/>
    <w:rsid w:val="00421B8F"/>
    <w:rsid w:val="00422FA1"/>
    <w:rsid w:val="004232F0"/>
    <w:rsid w:val="00423AD3"/>
    <w:rsid w:val="00423B20"/>
    <w:rsid w:val="00423E4F"/>
    <w:rsid w:val="00423E74"/>
    <w:rsid w:val="00424B53"/>
    <w:rsid w:val="00424C18"/>
    <w:rsid w:val="004255C7"/>
    <w:rsid w:val="00426126"/>
    <w:rsid w:val="00426899"/>
    <w:rsid w:val="00426AC3"/>
    <w:rsid w:val="00426CDE"/>
    <w:rsid w:val="00426E95"/>
    <w:rsid w:val="00427189"/>
    <w:rsid w:val="004303F0"/>
    <w:rsid w:val="0043099A"/>
    <w:rsid w:val="00430DDE"/>
    <w:rsid w:val="00430F94"/>
    <w:rsid w:val="0043106D"/>
    <w:rsid w:val="004319D6"/>
    <w:rsid w:val="004348A9"/>
    <w:rsid w:val="00434FC1"/>
    <w:rsid w:val="00435AEF"/>
    <w:rsid w:val="004360B6"/>
    <w:rsid w:val="004366E3"/>
    <w:rsid w:val="00436C2B"/>
    <w:rsid w:val="00437D2C"/>
    <w:rsid w:val="004405B0"/>
    <w:rsid w:val="00441EEF"/>
    <w:rsid w:val="004422B6"/>
    <w:rsid w:val="00442396"/>
    <w:rsid w:val="00442C0E"/>
    <w:rsid w:val="00442C71"/>
    <w:rsid w:val="004430DA"/>
    <w:rsid w:val="00443213"/>
    <w:rsid w:val="004444F4"/>
    <w:rsid w:val="0044505D"/>
    <w:rsid w:val="004450A1"/>
    <w:rsid w:val="004467C1"/>
    <w:rsid w:val="004473F3"/>
    <w:rsid w:val="00447734"/>
    <w:rsid w:val="00447C6F"/>
    <w:rsid w:val="004505C8"/>
    <w:rsid w:val="00450A79"/>
    <w:rsid w:val="00450D66"/>
    <w:rsid w:val="00451133"/>
    <w:rsid w:val="00451D9A"/>
    <w:rsid w:val="004522FD"/>
    <w:rsid w:val="00452715"/>
    <w:rsid w:val="00452D80"/>
    <w:rsid w:val="00452DA8"/>
    <w:rsid w:val="00454470"/>
    <w:rsid w:val="00454B88"/>
    <w:rsid w:val="00454B92"/>
    <w:rsid w:val="00454FF6"/>
    <w:rsid w:val="00455A67"/>
    <w:rsid w:val="00456195"/>
    <w:rsid w:val="004561C9"/>
    <w:rsid w:val="00457345"/>
    <w:rsid w:val="00457514"/>
    <w:rsid w:val="0045780E"/>
    <w:rsid w:val="004578C2"/>
    <w:rsid w:val="004578EC"/>
    <w:rsid w:val="00457E58"/>
    <w:rsid w:val="00457EEA"/>
    <w:rsid w:val="004600F0"/>
    <w:rsid w:val="0046037C"/>
    <w:rsid w:val="004603D3"/>
    <w:rsid w:val="00460549"/>
    <w:rsid w:val="00460907"/>
    <w:rsid w:val="004612B3"/>
    <w:rsid w:val="0046166F"/>
    <w:rsid w:val="00461A32"/>
    <w:rsid w:val="00462353"/>
    <w:rsid w:val="004623CD"/>
    <w:rsid w:val="00463261"/>
    <w:rsid w:val="0046372C"/>
    <w:rsid w:val="0046396E"/>
    <w:rsid w:val="004647E7"/>
    <w:rsid w:val="004653F2"/>
    <w:rsid w:val="004658EE"/>
    <w:rsid w:val="00465F75"/>
    <w:rsid w:val="00467495"/>
    <w:rsid w:val="0047141D"/>
    <w:rsid w:val="004723B9"/>
    <w:rsid w:val="004727B0"/>
    <w:rsid w:val="0047345F"/>
    <w:rsid w:val="00474BD8"/>
    <w:rsid w:val="00475535"/>
    <w:rsid w:val="00475894"/>
    <w:rsid w:val="004759FD"/>
    <w:rsid w:val="00476044"/>
    <w:rsid w:val="004766A4"/>
    <w:rsid w:val="0048011C"/>
    <w:rsid w:val="00480857"/>
    <w:rsid w:val="004808FD"/>
    <w:rsid w:val="00480DF7"/>
    <w:rsid w:val="00481AA9"/>
    <w:rsid w:val="00481BA9"/>
    <w:rsid w:val="00482207"/>
    <w:rsid w:val="0048482E"/>
    <w:rsid w:val="004848B1"/>
    <w:rsid w:val="00484933"/>
    <w:rsid w:val="00484CFA"/>
    <w:rsid w:val="00484D1E"/>
    <w:rsid w:val="004852F1"/>
    <w:rsid w:val="00485738"/>
    <w:rsid w:val="00485837"/>
    <w:rsid w:val="00485CE1"/>
    <w:rsid w:val="004860DE"/>
    <w:rsid w:val="00486394"/>
    <w:rsid w:val="00486514"/>
    <w:rsid w:val="00486B42"/>
    <w:rsid w:val="00486BBC"/>
    <w:rsid w:val="00486E42"/>
    <w:rsid w:val="00487160"/>
    <w:rsid w:val="00487803"/>
    <w:rsid w:val="004908B4"/>
    <w:rsid w:val="00490D94"/>
    <w:rsid w:val="00490DD9"/>
    <w:rsid w:val="0049155D"/>
    <w:rsid w:val="00493C91"/>
    <w:rsid w:val="004943F5"/>
    <w:rsid w:val="00494677"/>
    <w:rsid w:val="004947FA"/>
    <w:rsid w:val="00494B56"/>
    <w:rsid w:val="00495462"/>
    <w:rsid w:val="0049553A"/>
    <w:rsid w:val="00496022"/>
    <w:rsid w:val="004963EC"/>
    <w:rsid w:val="00496DBF"/>
    <w:rsid w:val="00497AD7"/>
    <w:rsid w:val="00497C83"/>
    <w:rsid w:val="004A1164"/>
    <w:rsid w:val="004A2155"/>
    <w:rsid w:val="004A2158"/>
    <w:rsid w:val="004A304B"/>
    <w:rsid w:val="004A312F"/>
    <w:rsid w:val="004A32DA"/>
    <w:rsid w:val="004A3DC8"/>
    <w:rsid w:val="004A4243"/>
    <w:rsid w:val="004A4388"/>
    <w:rsid w:val="004A4E3E"/>
    <w:rsid w:val="004A584E"/>
    <w:rsid w:val="004A5954"/>
    <w:rsid w:val="004A5B95"/>
    <w:rsid w:val="004A632B"/>
    <w:rsid w:val="004A63FD"/>
    <w:rsid w:val="004A6606"/>
    <w:rsid w:val="004A6BBA"/>
    <w:rsid w:val="004A6DB9"/>
    <w:rsid w:val="004A713A"/>
    <w:rsid w:val="004A73C6"/>
    <w:rsid w:val="004A7732"/>
    <w:rsid w:val="004A78FC"/>
    <w:rsid w:val="004B09EF"/>
    <w:rsid w:val="004B0CA1"/>
    <w:rsid w:val="004B11FF"/>
    <w:rsid w:val="004B17AB"/>
    <w:rsid w:val="004B1AE7"/>
    <w:rsid w:val="004B1CCF"/>
    <w:rsid w:val="004B2052"/>
    <w:rsid w:val="004B2068"/>
    <w:rsid w:val="004B2159"/>
    <w:rsid w:val="004B21C9"/>
    <w:rsid w:val="004B2DAF"/>
    <w:rsid w:val="004B3535"/>
    <w:rsid w:val="004B3E55"/>
    <w:rsid w:val="004B403B"/>
    <w:rsid w:val="004B49C3"/>
    <w:rsid w:val="004B5483"/>
    <w:rsid w:val="004B5700"/>
    <w:rsid w:val="004B57AD"/>
    <w:rsid w:val="004B57C1"/>
    <w:rsid w:val="004B5830"/>
    <w:rsid w:val="004B5A1F"/>
    <w:rsid w:val="004B5A54"/>
    <w:rsid w:val="004B5C77"/>
    <w:rsid w:val="004B60A3"/>
    <w:rsid w:val="004B7A3D"/>
    <w:rsid w:val="004C0507"/>
    <w:rsid w:val="004C056D"/>
    <w:rsid w:val="004C0D40"/>
    <w:rsid w:val="004C13DB"/>
    <w:rsid w:val="004C15AE"/>
    <w:rsid w:val="004C1B35"/>
    <w:rsid w:val="004C1C43"/>
    <w:rsid w:val="004C1CF4"/>
    <w:rsid w:val="004C1FB4"/>
    <w:rsid w:val="004C2797"/>
    <w:rsid w:val="004C3CAC"/>
    <w:rsid w:val="004C4084"/>
    <w:rsid w:val="004C498F"/>
    <w:rsid w:val="004C5072"/>
    <w:rsid w:val="004C52BA"/>
    <w:rsid w:val="004C5DB7"/>
    <w:rsid w:val="004C5FCC"/>
    <w:rsid w:val="004C60EC"/>
    <w:rsid w:val="004C6E70"/>
    <w:rsid w:val="004C748F"/>
    <w:rsid w:val="004C75F4"/>
    <w:rsid w:val="004D1D0B"/>
    <w:rsid w:val="004D29E1"/>
    <w:rsid w:val="004D2C76"/>
    <w:rsid w:val="004D3222"/>
    <w:rsid w:val="004D3FF0"/>
    <w:rsid w:val="004D4347"/>
    <w:rsid w:val="004D5C3F"/>
    <w:rsid w:val="004D5FC0"/>
    <w:rsid w:val="004D615E"/>
    <w:rsid w:val="004D63DE"/>
    <w:rsid w:val="004D7A74"/>
    <w:rsid w:val="004D7AB3"/>
    <w:rsid w:val="004D7C14"/>
    <w:rsid w:val="004D7E83"/>
    <w:rsid w:val="004E0015"/>
    <w:rsid w:val="004E0ED2"/>
    <w:rsid w:val="004E0FCF"/>
    <w:rsid w:val="004E247D"/>
    <w:rsid w:val="004E36FD"/>
    <w:rsid w:val="004E37BA"/>
    <w:rsid w:val="004E4389"/>
    <w:rsid w:val="004E4671"/>
    <w:rsid w:val="004E497D"/>
    <w:rsid w:val="004E5333"/>
    <w:rsid w:val="004E574D"/>
    <w:rsid w:val="004E589F"/>
    <w:rsid w:val="004E5CD4"/>
    <w:rsid w:val="004E5D54"/>
    <w:rsid w:val="004E5DF3"/>
    <w:rsid w:val="004E6106"/>
    <w:rsid w:val="004E65CD"/>
    <w:rsid w:val="004E7B6A"/>
    <w:rsid w:val="004F0B71"/>
    <w:rsid w:val="004F1403"/>
    <w:rsid w:val="004F16A4"/>
    <w:rsid w:val="004F2884"/>
    <w:rsid w:val="004F3511"/>
    <w:rsid w:val="004F373C"/>
    <w:rsid w:val="004F3BAB"/>
    <w:rsid w:val="004F3C40"/>
    <w:rsid w:val="004F4160"/>
    <w:rsid w:val="004F4221"/>
    <w:rsid w:val="004F45E7"/>
    <w:rsid w:val="004F5302"/>
    <w:rsid w:val="004F54A0"/>
    <w:rsid w:val="004F580D"/>
    <w:rsid w:val="004F7FA6"/>
    <w:rsid w:val="0050053C"/>
    <w:rsid w:val="0050101D"/>
    <w:rsid w:val="00502FD7"/>
    <w:rsid w:val="00503374"/>
    <w:rsid w:val="005034FD"/>
    <w:rsid w:val="00503A87"/>
    <w:rsid w:val="00503B57"/>
    <w:rsid w:val="005042AA"/>
    <w:rsid w:val="005044F5"/>
    <w:rsid w:val="00505C9E"/>
    <w:rsid w:val="00506198"/>
    <w:rsid w:val="00506754"/>
    <w:rsid w:val="005069A6"/>
    <w:rsid w:val="00506A75"/>
    <w:rsid w:val="005075FA"/>
    <w:rsid w:val="00507730"/>
    <w:rsid w:val="00507D6C"/>
    <w:rsid w:val="00507E9F"/>
    <w:rsid w:val="005101A4"/>
    <w:rsid w:val="0051074F"/>
    <w:rsid w:val="00511C5B"/>
    <w:rsid w:val="00512423"/>
    <w:rsid w:val="005126C3"/>
    <w:rsid w:val="00512809"/>
    <w:rsid w:val="00512EC5"/>
    <w:rsid w:val="00512F34"/>
    <w:rsid w:val="0051385D"/>
    <w:rsid w:val="00513DB4"/>
    <w:rsid w:val="00514112"/>
    <w:rsid w:val="00515571"/>
    <w:rsid w:val="00515757"/>
    <w:rsid w:val="00515D85"/>
    <w:rsid w:val="00515DC0"/>
    <w:rsid w:val="00516CC6"/>
    <w:rsid w:val="00516D18"/>
    <w:rsid w:val="00517225"/>
    <w:rsid w:val="00517891"/>
    <w:rsid w:val="00517C64"/>
    <w:rsid w:val="00517CE7"/>
    <w:rsid w:val="00517F23"/>
    <w:rsid w:val="005221D7"/>
    <w:rsid w:val="0052237A"/>
    <w:rsid w:val="005224CD"/>
    <w:rsid w:val="00522B36"/>
    <w:rsid w:val="005235EE"/>
    <w:rsid w:val="005242FD"/>
    <w:rsid w:val="00525011"/>
    <w:rsid w:val="005257E5"/>
    <w:rsid w:val="00525886"/>
    <w:rsid w:val="00525F2A"/>
    <w:rsid w:val="0052643E"/>
    <w:rsid w:val="00526911"/>
    <w:rsid w:val="00526F66"/>
    <w:rsid w:val="0052739E"/>
    <w:rsid w:val="00527C92"/>
    <w:rsid w:val="00530818"/>
    <w:rsid w:val="005314D3"/>
    <w:rsid w:val="00531781"/>
    <w:rsid w:val="00531794"/>
    <w:rsid w:val="00531BD5"/>
    <w:rsid w:val="00532541"/>
    <w:rsid w:val="005325A2"/>
    <w:rsid w:val="00534C8A"/>
    <w:rsid w:val="00535175"/>
    <w:rsid w:val="005351AE"/>
    <w:rsid w:val="005356ED"/>
    <w:rsid w:val="0053584E"/>
    <w:rsid w:val="005359ED"/>
    <w:rsid w:val="00535CFA"/>
    <w:rsid w:val="00535EEA"/>
    <w:rsid w:val="00540129"/>
    <w:rsid w:val="0054020F"/>
    <w:rsid w:val="00540355"/>
    <w:rsid w:val="005406C1"/>
    <w:rsid w:val="0054082D"/>
    <w:rsid w:val="00541722"/>
    <w:rsid w:val="0054196D"/>
    <w:rsid w:val="00541B86"/>
    <w:rsid w:val="00541C8A"/>
    <w:rsid w:val="0054215C"/>
    <w:rsid w:val="00542694"/>
    <w:rsid w:val="0054299B"/>
    <w:rsid w:val="005431F3"/>
    <w:rsid w:val="005433ED"/>
    <w:rsid w:val="0054352E"/>
    <w:rsid w:val="00543A24"/>
    <w:rsid w:val="00543A2E"/>
    <w:rsid w:val="0054414A"/>
    <w:rsid w:val="00544160"/>
    <w:rsid w:val="00544BC5"/>
    <w:rsid w:val="00544D18"/>
    <w:rsid w:val="00545AB0"/>
    <w:rsid w:val="0054751C"/>
    <w:rsid w:val="005478E9"/>
    <w:rsid w:val="0055010D"/>
    <w:rsid w:val="005517B0"/>
    <w:rsid w:val="00551A8B"/>
    <w:rsid w:val="00551D95"/>
    <w:rsid w:val="0055208A"/>
    <w:rsid w:val="0055249B"/>
    <w:rsid w:val="005526B5"/>
    <w:rsid w:val="005530D6"/>
    <w:rsid w:val="0055322D"/>
    <w:rsid w:val="00553627"/>
    <w:rsid w:val="00553AC5"/>
    <w:rsid w:val="005549FE"/>
    <w:rsid w:val="00554B08"/>
    <w:rsid w:val="00555671"/>
    <w:rsid w:val="00555678"/>
    <w:rsid w:val="00556134"/>
    <w:rsid w:val="0055626C"/>
    <w:rsid w:val="005562D2"/>
    <w:rsid w:val="0055676B"/>
    <w:rsid w:val="00556EA3"/>
    <w:rsid w:val="00556FA7"/>
    <w:rsid w:val="00560856"/>
    <w:rsid w:val="005608FF"/>
    <w:rsid w:val="00560929"/>
    <w:rsid w:val="005611B6"/>
    <w:rsid w:val="00561998"/>
    <w:rsid w:val="00561EC9"/>
    <w:rsid w:val="005625DA"/>
    <w:rsid w:val="00562C52"/>
    <w:rsid w:val="00562D34"/>
    <w:rsid w:val="00563963"/>
    <w:rsid w:val="00564318"/>
    <w:rsid w:val="005646ED"/>
    <w:rsid w:val="00565000"/>
    <w:rsid w:val="005651A2"/>
    <w:rsid w:val="005652D5"/>
    <w:rsid w:val="005655B7"/>
    <w:rsid w:val="00565FBC"/>
    <w:rsid w:val="00566145"/>
    <w:rsid w:val="005667F1"/>
    <w:rsid w:val="00566810"/>
    <w:rsid w:val="00566898"/>
    <w:rsid w:val="00566977"/>
    <w:rsid w:val="00566A3B"/>
    <w:rsid w:val="0056715B"/>
    <w:rsid w:val="00567B94"/>
    <w:rsid w:val="00567FF1"/>
    <w:rsid w:val="0057061F"/>
    <w:rsid w:val="00570E30"/>
    <w:rsid w:val="00571106"/>
    <w:rsid w:val="00571301"/>
    <w:rsid w:val="00571351"/>
    <w:rsid w:val="00571D91"/>
    <w:rsid w:val="005732C3"/>
    <w:rsid w:val="005732D2"/>
    <w:rsid w:val="0057359D"/>
    <w:rsid w:val="00573751"/>
    <w:rsid w:val="00573FBA"/>
    <w:rsid w:val="0057530C"/>
    <w:rsid w:val="00575916"/>
    <w:rsid w:val="005759A5"/>
    <w:rsid w:val="00575FA1"/>
    <w:rsid w:val="0057709E"/>
    <w:rsid w:val="005770CF"/>
    <w:rsid w:val="0057767F"/>
    <w:rsid w:val="0057790F"/>
    <w:rsid w:val="00577ADE"/>
    <w:rsid w:val="005806F8"/>
    <w:rsid w:val="00580847"/>
    <w:rsid w:val="00581563"/>
    <w:rsid w:val="00581D8A"/>
    <w:rsid w:val="00582524"/>
    <w:rsid w:val="00582AC4"/>
    <w:rsid w:val="00582B3D"/>
    <w:rsid w:val="00583524"/>
    <w:rsid w:val="00583C8C"/>
    <w:rsid w:val="00583D91"/>
    <w:rsid w:val="00583DF8"/>
    <w:rsid w:val="005844F4"/>
    <w:rsid w:val="0058462E"/>
    <w:rsid w:val="00584BAF"/>
    <w:rsid w:val="005850B7"/>
    <w:rsid w:val="0058576A"/>
    <w:rsid w:val="00585990"/>
    <w:rsid w:val="005859BB"/>
    <w:rsid w:val="00585F8A"/>
    <w:rsid w:val="00586362"/>
    <w:rsid w:val="00586878"/>
    <w:rsid w:val="00586A08"/>
    <w:rsid w:val="00586DC3"/>
    <w:rsid w:val="00586DEE"/>
    <w:rsid w:val="005871EE"/>
    <w:rsid w:val="005901B8"/>
    <w:rsid w:val="00590853"/>
    <w:rsid w:val="0059271C"/>
    <w:rsid w:val="00592C8D"/>
    <w:rsid w:val="00593AB5"/>
    <w:rsid w:val="00593B2E"/>
    <w:rsid w:val="00593C02"/>
    <w:rsid w:val="00594987"/>
    <w:rsid w:val="00594C72"/>
    <w:rsid w:val="00595003"/>
    <w:rsid w:val="005954E7"/>
    <w:rsid w:val="00595515"/>
    <w:rsid w:val="005A02EF"/>
    <w:rsid w:val="005A1EC2"/>
    <w:rsid w:val="005A2F24"/>
    <w:rsid w:val="005A3561"/>
    <w:rsid w:val="005A3C51"/>
    <w:rsid w:val="005A5346"/>
    <w:rsid w:val="005A5448"/>
    <w:rsid w:val="005A61BB"/>
    <w:rsid w:val="005A69F7"/>
    <w:rsid w:val="005A7D8A"/>
    <w:rsid w:val="005B00A8"/>
    <w:rsid w:val="005B0660"/>
    <w:rsid w:val="005B0764"/>
    <w:rsid w:val="005B0FBF"/>
    <w:rsid w:val="005B1343"/>
    <w:rsid w:val="005B253B"/>
    <w:rsid w:val="005B2702"/>
    <w:rsid w:val="005B298F"/>
    <w:rsid w:val="005B2B8E"/>
    <w:rsid w:val="005B30A1"/>
    <w:rsid w:val="005B3ECB"/>
    <w:rsid w:val="005B51FA"/>
    <w:rsid w:val="005B5E15"/>
    <w:rsid w:val="005B5EB6"/>
    <w:rsid w:val="005B60AB"/>
    <w:rsid w:val="005B6EB7"/>
    <w:rsid w:val="005B7207"/>
    <w:rsid w:val="005C022B"/>
    <w:rsid w:val="005C0376"/>
    <w:rsid w:val="005C05D6"/>
    <w:rsid w:val="005C08DB"/>
    <w:rsid w:val="005C0971"/>
    <w:rsid w:val="005C09FF"/>
    <w:rsid w:val="005C0FEC"/>
    <w:rsid w:val="005C1620"/>
    <w:rsid w:val="005C1743"/>
    <w:rsid w:val="005C17AC"/>
    <w:rsid w:val="005C1915"/>
    <w:rsid w:val="005C1D8E"/>
    <w:rsid w:val="005C2309"/>
    <w:rsid w:val="005C3BB8"/>
    <w:rsid w:val="005C3CE4"/>
    <w:rsid w:val="005C3E2E"/>
    <w:rsid w:val="005C4331"/>
    <w:rsid w:val="005C4761"/>
    <w:rsid w:val="005C492D"/>
    <w:rsid w:val="005C5451"/>
    <w:rsid w:val="005C5C4B"/>
    <w:rsid w:val="005C5E2F"/>
    <w:rsid w:val="005C71DD"/>
    <w:rsid w:val="005C7F04"/>
    <w:rsid w:val="005D0F39"/>
    <w:rsid w:val="005D13E4"/>
    <w:rsid w:val="005D216D"/>
    <w:rsid w:val="005D29EA"/>
    <w:rsid w:val="005D3AA7"/>
    <w:rsid w:val="005D3B6A"/>
    <w:rsid w:val="005D3C02"/>
    <w:rsid w:val="005D3FCC"/>
    <w:rsid w:val="005D491A"/>
    <w:rsid w:val="005D4D84"/>
    <w:rsid w:val="005D5165"/>
    <w:rsid w:val="005D63EB"/>
    <w:rsid w:val="005D6808"/>
    <w:rsid w:val="005D7377"/>
    <w:rsid w:val="005D73C0"/>
    <w:rsid w:val="005D7801"/>
    <w:rsid w:val="005E04F3"/>
    <w:rsid w:val="005E0B10"/>
    <w:rsid w:val="005E0E0F"/>
    <w:rsid w:val="005E101C"/>
    <w:rsid w:val="005E103E"/>
    <w:rsid w:val="005E1D05"/>
    <w:rsid w:val="005E1D94"/>
    <w:rsid w:val="005E29AE"/>
    <w:rsid w:val="005E3311"/>
    <w:rsid w:val="005E34B8"/>
    <w:rsid w:val="005E34D4"/>
    <w:rsid w:val="005E35C7"/>
    <w:rsid w:val="005E37A9"/>
    <w:rsid w:val="005E383B"/>
    <w:rsid w:val="005E3E6F"/>
    <w:rsid w:val="005E4B5B"/>
    <w:rsid w:val="005E4CE9"/>
    <w:rsid w:val="005E57BC"/>
    <w:rsid w:val="005E64B8"/>
    <w:rsid w:val="005E6A42"/>
    <w:rsid w:val="005E7147"/>
    <w:rsid w:val="005E7359"/>
    <w:rsid w:val="005E73FD"/>
    <w:rsid w:val="005E76D6"/>
    <w:rsid w:val="005E7FA7"/>
    <w:rsid w:val="005F00FB"/>
    <w:rsid w:val="005F037C"/>
    <w:rsid w:val="005F0EE3"/>
    <w:rsid w:val="005F0F66"/>
    <w:rsid w:val="005F12EC"/>
    <w:rsid w:val="005F13BA"/>
    <w:rsid w:val="005F141A"/>
    <w:rsid w:val="005F1442"/>
    <w:rsid w:val="005F1FE9"/>
    <w:rsid w:val="005F2036"/>
    <w:rsid w:val="005F2487"/>
    <w:rsid w:val="005F3309"/>
    <w:rsid w:val="005F3F71"/>
    <w:rsid w:val="005F4E20"/>
    <w:rsid w:val="005F5623"/>
    <w:rsid w:val="005F5635"/>
    <w:rsid w:val="005F5F63"/>
    <w:rsid w:val="005F684F"/>
    <w:rsid w:val="005F690A"/>
    <w:rsid w:val="005F7859"/>
    <w:rsid w:val="005F7F40"/>
    <w:rsid w:val="005F7FB6"/>
    <w:rsid w:val="00600335"/>
    <w:rsid w:val="006012B4"/>
    <w:rsid w:val="006015E6"/>
    <w:rsid w:val="00601A0F"/>
    <w:rsid w:val="00602608"/>
    <w:rsid w:val="00602965"/>
    <w:rsid w:val="006036A5"/>
    <w:rsid w:val="0060432A"/>
    <w:rsid w:val="00605865"/>
    <w:rsid w:val="006071D5"/>
    <w:rsid w:val="006072A5"/>
    <w:rsid w:val="00607A9D"/>
    <w:rsid w:val="00607EAD"/>
    <w:rsid w:val="0061072B"/>
    <w:rsid w:val="00611F69"/>
    <w:rsid w:val="006123E2"/>
    <w:rsid w:val="00612520"/>
    <w:rsid w:val="0061418B"/>
    <w:rsid w:val="00614CBC"/>
    <w:rsid w:val="00614FCA"/>
    <w:rsid w:val="00614FEF"/>
    <w:rsid w:val="006161B7"/>
    <w:rsid w:val="00616457"/>
    <w:rsid w:val="00617B30"/>
    <w:rsid w:val="00617BDF"/>
    <w:rsid w:val="00617D51"/>
    <w:rsid w:val="00620330"/>
    <w:rsid w:val="006205E5"/>
    <w:rsid w:val="006207B0"/>
    <w:rsid w:val="006208D9"/>
    <w:rsid w:val="0062145A"/>
    <w:rsid w:val="0062157A"/>
    <w:rsid w:val="00621A1D"/>
    <w:rsid w:val="006225DC"/>
    <w:rsid w:val="00622A71"/>
    <w:rsid w:val="00623748"/>
    <w:rsid w:val="00624137"/>
    <w:rsid w:val="006251D6"/>
    <w:rsid w:val="00625E30"/>
    <w:rsid w:val="00625EF3"/>
    <w:rsid w:val="00626437"/>
    <w:rsid w:val="00626499"/>
    <w:rsid w:val="00626642"/>
    <w:rsid w:val="00626CD4"/>
    <w:rsid w:val="00627252"/>
    <w:rsid w:val="006273AF"/>
    <w:rsid w:val="00627561"/>
    <w:rsid w:val="00627C74"/>
    <w:rsid w:val="00627E2A"/>
    <w:rsid w:val="006308BF"/>
    <w:rsid w:val="00630B2E"/>
    <w:rsid w:val="00631505"/>
    <w:rsid w:val="0063185B"/>
    <w:rsid w:val="00631CCC"/>
    <w:rsid w:val="00632D80"/>
    <w:rsid w:val="00632E8F"/>
    <w:rsid w:val="006335C5"/>
    <w:rsid w:val="00633964"/>
    <w:rsid w:val="00633D3A"/>
    <w:rsid w:val="006341A4"/>
    <w:rsid w:val="00634902"/>
    <w:rsid w:val="00635ACA"/>
    <w:rsid w:val="00636C7A"/>
    <w:rsid w:val="00637EDC"/>
    <w:rsid w:val="006401D7"/>
    <w:rsid w:val="006405AC"/>
    <w:rsid w:val="00641081"/>
    <w:rsid w:val="00641334"/>
    <w:rsid w:val="006418BF"/>
    <w:rsid w:val="00642502"/>
    <w:rsid w:val="006428C3"/>
    <w:rsid w:val="00642F8B"/>
    <w:rsid w:val="006434D3"/>
    <w:rsid w:val="0064446F"/>
    <w:rsid w:val="00644D90"/>
    <w:rsid w:val="00644F9B"/>
    <w:rsid w:val="006450A7"/>
    <w:rsid w:val="006453F4"/>
    <w:rsid w:val="00646031"/>
    <w:rsid w:val="0064698D"/>
    <w:rsid w:val="00646F0F"/>
    <w:rsid w:val="0064758F"/>
    <w:rsid w:val="006475E7"/>
    <w:rsid w:val="006476B0"/>
    <w:rsid w:val="00647846"/>
    <w:rsid w:val="00647A84"/>
    <w:rsid w:val="00647F28"/>
    <w:rsid w:val="00650B11"/>
    <w:rsid w:val="00651512"/>
    <w:rsid w:val="0065155E"/>
    <w:rsid w:val="006516BE"/>
    <w:rsid w:val="00651871"/>
    <w:rsid w:val="00652087"/>
    <w:rsid w:val="00652452"/>
    <w:rsid w:val="00652661"/>
    <w:rsid w:val="006529A0"/>
    <w:rsid w:val="0065397D"/>
    <w:rsid w:val="00653E99"/>
    <w:rsid w:val="006549A5"/>
    <w:rsid w:val="00654F25"/>
    <w:rsid w:val="00655217"/>
    <w:rsid w:val="0065534E"/>
    <w:rsid w:val="00655449"/>
    <w:rsid w:val="00655E9B"/>
    <w:rsid w:val="00655F4C"/>
    <w:rsid w:val="00656DEF"/>
    <w:rsid w:val="00657041"/>
    <w:rsid w:val="0065726A"/>
    <w:rsid w:val="0065742E"/>
    <w:rsid w:val="00657C28"/>
    <w:rsid w:val="00657F89"/>
    <w:rsid w:val="00660AEF"/>
    <w:rsid w:val="00661C7F"/>
    <w:rsid w:val="00661C96"/>
    <w:rsid w:val="00662138"/>
    <w:rsid w:val="006623E1"/>
    <w:rsid w:val="00662EF0"/>
    <w:rsid w:val="006633D4"/>
    <w:rsid w:val="00663DE4"/>
    <w:rsid w:val="00664201"/>
    <w:rsid w:val="0066454A"/>
    <w:rsid w:val="006649D4"/>
    <w:rsid w:val="00664F8D"/>
    <w:rsid w:val="00665345"/>
    <w:rsid w:val="00665BB0"/>
    <w:rsid w:val="00665CAA"/>
    <w:rsid w:val="00666889"/>
    <w:rsid w:val="00666D25"/>
    <w:rsid w:val="00666F5A"/>
    <w:rsid w:val="00666FE0"/>
    <w:rsid w:val="006671D8"/>
    <w:rsid w:val="006673EF"/>
    <w:rsid w:val="0066742F"/>
    <w:rsid w:val="006679B9"/>
    <w:rsid w:val="0067072E"/>
    <w:rsid w:val="00671942"/>
    <w:rsid w:val="00671CB8"/>
    <w:rsid w:val="0067242E"/>
    <w:rsid w:val="00672BF5"/>
    <w:rsid w:val="0067381B"/>
    <w:rsid w:val="00673E00"/>
    <w:rsid w:val="00674376"/>
    <w:rsid w:val="00674F8F"/>
    <w:rsid w:val="00675B0C"/>
    <w:rsid w:val="00675C53"/>
    <w:rsid w:val="006761CC"/>
    <w:rsid w:val="00676EB0"/>
    <w:rsid w:val="0067729E"/>
    <w:rsid w:val="00677A08"/>
    <w:rsid w:val="0068000F"/>
    <w:rsid w:val="00680F32"/>
    <w:rsid w:val="00681F9D"/>
    <w:rsid w:val="006821E3"/>
    <w:rsid w:val="00682288"/>
    <w:rsid w:val="00682FDA"/>
    <w:rsid w:val="006832B4"/>
    <w:rsid w:val="00683D50"/>
    <w:rsid w:val="006851DB"/>
    <w:rsid w:val="00685347"/>
    <w:rsid w:val="00685E80"/>
    <w:rsid w:val="00686536"/>
    <w:rsid w:val="00686F86"/>
    <w:rsid w:val="006872C8"/>
    <w:rsid w:val="0068760D"/>
    <w:rsid w:val="0068779D"/>
    <w:rsid w:val="00687A11"/>
    <w:rsid w:val="00687C0A"/>
    <w:rsid w:val="00690893"/>
    <w:rsid w:val="006908EC"/>
    <w:rsid w:val="00690B3B"/>
    <w:rsid w:val="00691A12"/>
    <w:rsid w:val="00691E3B"/>
    <w:rsid w:val="00691F4D"/>
    <w:rsid w:val="00693047"/>
    <w:rsid w:val="0069311E"/>
    <w:rsid w:val="00693208"/>
    <w:rsid w:val="00693896"/>
    <w:rsid w:val="00693986"/>
    <w:rsid w:val="00693F8F"/>
    <w:rsid w:val="0069452F"/>
    <w:rsid w:val="0069495F"/>
    <w:rsid w:val="0069496A"/>
    <w:rsid w:val="00694D2D"/>
    <w:rsid w:val="00695B3D"/>
    <w:rsid w:val="00695D30"/>
    <w:rsid w:val="0069752B"/>
    <w:rsid w:val="00697986"/>
    <w:rsid w:val="006A03DE"/>
    <w:rsid w:val="006A04CA"/>
    <w:rsid w:val="006A0AF5"/>
    <w:rsid w:val="006A16FC"/>
    <w:rsid w:val="006A31DA"/>
    <w:rsid w:val="006A337E"/>
    <w:rsid w:val="006A3716"/>
    <w:rsid w:val="006A3719"/>
    <w:rsid w:val="006A3D0B"/>
    <w:rsid w:val="006A45EC"/>
    <w:rsid w:val="006A4B5E"/>
    <w:rsid w:val="006A57C9"/>
    <w:rsid w:val="006A57D8"/>
    <w:rsid w:val="006A5CCC"/>
    <w:rsid w:val="006A6949"/>
    <w:rsid w:val="006A7546"/>
    <w:rsid w:val="006A771B"/>
    <w:rsid w:val="006B0C9C"/>
    <w:rsid w:val="006B1430"/>
    <w:rsid w:val="006B17AD"/>
    <w:rsid w:val="006B1F74"/>
    <w:rsid w:val="006B2A1D"/>
    <w:rsid w:val="006B31EF"/>
    <w:rsid w:val="006B326E"/>
    <w:rsid w:val="006B3B5E"/>
    <w:rsid w:val="006B3BA1"/>
    <w:rsid w:val="006B3F4E"/>
    <w:rsid w:val="006B494A"/>
    <w:rsid w:val="006B508E"/>
    <w:rsid w:val="006B532E"/>
    <w:rsid w:val="006B5750"/>
    <w:rsid w:val="006B5902"/>
    <w:rsid w:val="006B648A"/>
    <w:rsid w:val="006B68F8"/>
    <w:rsid w:val="006B6B5A"/>
    <w:rsid w:val="006B6DC2"/>
    <w:rsid w:val="006B6EC1"/>
    <w:rsid w:val="006B77EE"/>
    <w:rsid w:val="006C04DB"/>
    <w:rsid w:val="006C1541"/>
    <w:rsid w:val="006C1775"/>
    <w:rsid w:val="006C213B"/>
    <w:rsid w:val="006C24E6"/>
    <w:rsid w:val="006C31C0"/>
    <w:rsid w:val="006C324E"/>
    <w:rsid w:val="006C3AFE"/>
    <w:rsid w:val="006C4E81"/>
    <w:rsid w:val="006C5445"/>
    <w:rsid w:val="006C5AA7"/>
    <w:rsid w:val="006C5EC4"/>
    <w:rsid w:val="006C67C4"/>
    <w:rsid w:val="006C6B82"/>
    <w:rsid w:val="006C716C"/>
    <w:rsid w:val="006C71C4"/>
    <w:rsid w:val="006C74C5"/>
    <w:rsid w:val="006C7605"/>
    <w:rsid w:val="006C7729"/>
    <w:rsid w:val="006C7756"/>
    <w:rsid w:val="006C79BA"/>
    <w:rsid w:val="006C7D52"/>
    <w:rsid w:val="006D0845"/>
    <w:rsid w:val="006D0C78"/>
    <w:rsid w:val="006D0DD3"/>
    <w:rsid w:val="006D105F"/>
    <w:rsid w:val="006D119B"/>
    <w:rsid w:val="006D2CBB"/>
    <w:rsid w:val="006D2ED1"/>
    <w:rsid w:val="006D30FC"/>
    <w:rsid w:val="006D4ACB"/>
    <w:rsid w:val="006D58D1"/>
    <w:rsid w:val="006D637C"/>
    <w:rsid w:val="006D73CB"/>
    <w:rsid w:val="006E0001"/>
    <w:rsid w:val="006E0465"/>
    <w:rsid w:val="006E150C"/>
    <w:rsid w:val="006E1D93"/>
    <w:rsid w:val="006E207E"/>
    <w:rsid w:val="006E2277"/>
    <w:rsid w:val="006E2535"/>
    <w:rsid w:val="006E2739"/>
    <w:rsid w:val="006E28F2"/>
    <w:rsid w:val="006E2D1A"/>
    <w:rsid w:val="006E301E"/>
    <w:rsid w:val="006E3CD3"/>
    <w:rsid w:val="006E4660"/>
    <w:rsid w:val="006E4731"/>
    <w:rsid w:val="006E4951"/>
    <w:rsid w:val="006E503D"/>
    <w:rsid w:val="006E5526"/>
    <w:rsid w:val="006E63D5"/>
    <w:rsid w:val="006E7172"/>
    <w:rsid w:val="006E7251"/>
    <w:rsid w:val="006E7DB3"/>
    <w:rsid w:val="006F02E6"/>
    <w:rsid w:val="006F1BB3"/>
    <w:rsid w:val="006F27B2"/>
    <w:rsid w:val="006F2A19"/>
    <w:rsid w:val="006F37E5"/>
    <w:rsid w:val="006F58AE"/>
    <w:rsid w:val="006F5B02"/>
    <w:rsid w:val="006F5DC1"/>
    <w:rsid w:val="006F65ED"/>
    <w:rsid w:val="006F6801"/>
    <w:rsid w:val="006F69E7"/>
    <w:rsid w:val="006F6A0C"/>
    <w:rsid w:val="006F72C0"/>
    <w:rsid w:val="006F7322"/>
    <w:rsid w:val="006F7444"/>
    <w:rsid w:val="006F7974"/>
    <w:rsid w:val="006F7ACF"/>
    <w:rsid w:val="006F7C0E"/>
    <w:rsid w:val="007001BB"/>
    <w:rsid w:val="007005F9"/>
    <w:rsid w:val="0070104C"/>
    <w:rsid w:val="007010C1"/>
    <w:rsid w:val="007014DD"/>
    <w:rsid w:val="00701F6D"/>
    <w:rsid w:val="007027C3"/>
    <w:rsid w:val="007028C5"/>
    <w:rsid w:val="00702993"/>
    <w:rsid w:val="00702C22"/>
    <w:rsid w:val="00702EC2"/>
    <w:rsid w:val="0070303B"/>
    <w:rsid w:val="0070386B"/>
    <w:rsid w:val="00703B7C"/>
    <w:rsid w:val="00704FB8"/>
    <w:rsid w:val="0070589A"/>
    <w:rsid w:val="00705D53"/>
    <w:rsid w:val="00705EBD"/>
    <w:rsid w:val="00705F19"/>
    <w:rsid w:val="0070633A"/>
    <w:rsid w:val="007064F8"/>
    <w:rsid w:val="00706CD0"/>
    <w:rsid w:val="00707259"/>
    <w:rsid w:val="00707832"/>
    <w:rsid w:val="00707DB8"/>
    <w:rsid w:val="00707F7A"/>
    <w:rsid w:val="007103BC"/>
    <w:rsid w:val="007108BC"/>
    <w:rsid w:val="00710FFF"/>
    <w:rsid w:val="00711707"/>
    <w:rsid w:val="007118BC"/>
    <w:rsid w:val="00712206"/>
    <w:rsid w:val="00712311"/>
    <w:rsid w:val="007127EC"/>
    <w:rsid w:val="0071318E"/>
    <w:rsid w:val="00713700"/>
    <w:rsid w:val="007146C7"/>
    <w:rsid w:val="00714C3F"/>
    <w:rsid w:val="0071533B"/>
    <w:rsid w:val="00715AD3"/>
    <w:rsid w:val="00716850"/>
    <w:rsid w:val="0071788A"/>
    <w:rsid w:val="00721128"/>
    <w:rsid w:val="0072120E"/>
    <w:rsid w:val="00721698"/>
    <w:rsid w:val="007227BE"/>
    <w:rsid w:val="00723927"/>
    <w:rsid w:val="00723E42"/>
    <w:rsid w:val="00723E5A"/>
    <w:rsid w:val="00724A75"/>
    <w:rsid w:val="00724FEA"/>
    <w:rsid w:val="00726A19"/>
    <w:rsid w:val="00726D8F"/>
    <w:rsid w:val="007270A4"/>
    <w:rsid w:val="00727C4F"/>
    <w:rsid w:val="00731221"/>
    <w:rsid w:val="00731485"/>
    <w:rsid w:val="00731679"/>
    <w:rsid w:val="00731EEC"/>
    <w:rsid w:val="00731EF3"/>
    <w:rsid w:val="007336C3"/>
    <w:rsid w:val="00733D10"/>
    <w:rsid w:val="00733D89"/>
    <w:rsid w:val="00735170"/>
    <w:rsid w:val="00735278"/>
    <w:rsid w:val="007354B6"/>
    <w:rsid w:val="00735506"/>
    <w:rsid w:val="00735654"/>
    <w:rsid w:val="007356BB"/>
    <w:rsid w:val="00736EA8"/>
    <w:rsid w:val="007374C0"/>
    <w:rsid w:val="007374FA"/>
    <w:rsid w:val="0074043B"/>
    <w:rsid w:val="007407C7"/>
    <w:rsid w:val="00740963"/>
    <w:rsid w:val="00740DB4"/>
    <w:rsid w:val="00740FD1"/>
    <w:rsid w:val="0074152F"/>
    <w:rsid w:val="007416D3"/>
    <w:rsid w:val="007418DB"/>
    <w:rsid w:val="007419CA"/>
    <w:rsid w:val="00741CF3"/>
    <w:rsid w:val="00742BA9"/>
    <w:rsid w:val="00742EEB"/>
    <w:rsid w:val="00743AE8"/>
    <w:rsid w:val="00744E91"/>
    <w:rsid w:val="00745C46"/>
    <w:rsid w:val="00745FBB"/>
    <w:rsid w:val="0074616E"/>
    <w:rsid w:val="0074690E"/>
    <w:rsid w:val="00746EB8"/>
    <w:rsid w:val="007471DA"/>
    <w:rsid w:val="007474C8"/>
    <w:rsid w:val="00747511"/>
    <w:rsid w:val="0074761F"/>
    <w:rsid w:val="00747D9A"/>
    <w:rsid w:val="007501C3"/>
    <w:rsid w:val="00750392"/>
    <w:rsid w:val="0075062F"/>
    <w:rsid w:val="007507F0"/>
    <w:rsid w:val="00750BB1"/>
    <w:rsid w:val="00750BBE"/>
    <w:rsid w:val="00751F5C"/>
    <w:rsid w:val="00752363"/>
    <w:rsid w:val="00752DB4"/>
    <w:rsid w:val="007531A8"/>
    <w:rsid w:val="007532A9"/>
    <w:rsid w:val="007532E7"/>
    <w:rsid w:val="00753623"/>
    <w:rsid w:val="007546CF"/>
    <w:rsid w:val="00754EE7"/>
    <w:rsid w:val="00755EFC"/>
    <w:rsid w:val="00756EFD"/>
    <w:rsid w:val="00757BB0"/>
    <w:rsid w:val="00760844"/>
    <w:rsid w:val="007608E8"/>
    <w:rsid w:val="00760FBF"/>
    <w:rsid w:val="007619AE"/>
    <w:rsid w:val="00762038"/>
    <w:rsid w:val="007624BB"/>
    <w:rsid w:val="00762FBA"/>
    <w:rsid w:val="007633E6"/>
    <w:rsid w:val="007633F4"/>
    <w:rsid w:val="00763867"/>
    <w:rsid w:val="00764BCE"/>
    <w:rsid w:val="00764CEC"/>
    <w:rsid w:val="00765A71"/>
    <w:rsid w:val="007662D1"/>
    <w:rsid w:val="00766674"/>
    <w:rsid w:val="00766868"/>
    <w:rsid w:val="00766B48"/>
    <w:rsid w:val="00766D58"/>
    <w:rsid w:val="00767B99"/>
    <w:rsid w:val="00767C8E"/>
    <w:rsid w:val="00767D8A"/>
    <w:rsid w:val="00767DC1"/>
    <w:rsid w:val="00770A8A"/>
    <w:rsid w:val="007716EA"/>
    <w:rsid w:val="00771BD9"/>
    <w:rsid w:val="007725B5"/>
    <w:rsid w:val="0077280C"/>
    <w:rsid w:val="007733C7"/>
    <w:rsid w:val="007743D1"/>
    <w:rsid w:val="007768C4"/>
    <w:rsid w:val="00776A4C"/>
    <w:rsid w:val="00776FA9"/>
    <w:rsid w:val="0078033B"/>
    <w:rsid w:val="00782105"/>
    <w:rsid w:val="0078251F"/>
    <w:rsid w:val="00782662"/>
    <w:rsid w:val="0078299A"/>
    <w:rsid w:val="00782B3A"/>
    <w:rsid w:val="00783209"/>
    <w:rsid w:val="00783856"/>
    <w:rsid w:val="00783999"/>
    <w:rsid w:val="00783A9F"/>
    <w:rsid w:val="00783F78"/>
    <w:rsid w:val="0078409F"/>
    <w:rsid w:val="00784476"/>
    <w:rsid w:val="007844A4"/>
    <w:rsid w:val="0078474B"/>
    <w:rsid w:val="00784CC0"/>
    <w:rsid w:val="007856AD"/>
    <w:rsid w:val="00786D33"/>
    <w:rsid w:val="00787284"/>
    <w:rsid w:val="007877D5"/>
    <w:rsid w:val="00790609"/>
    <w:rsid w:val="007917AE"/>
    <w:rsid w:val="007919E3"/>
    <w:rsid w:val="00792E20"/>
    <w:rsid w:val="007937DC"/>
    <w:rsid w:val="00793999"/>
    <w:rsid w:val="00793A00"/>
    <w:rsid w:val="00793B68"/>
    <w:rsid w:val="00793BDC"/>
    <w:rsid w:val="0079497A"/>
    <w:rsid w:val="0079511B"/>
    <w:rsid w:val="0079542B"/>
    <w:rsid w:val="00795A5D"/>
    <w:rsid w:val="0079690E"/>
    <w:rsid w:val="0079706A"/>
    <w:rsid w:val="007976F6"/>
    <w:rsid w:val="007977E2"/>
    <w:rsid w:val="00797D4C"/>
    <w:rsid w:val="007A0384"/>
    <w:rsid w:val="007A0B98"/>
    <w:rsid w:val="007A124E"/>
    <w:rsid w:val="007A2023"/>
    <w:rsid w:val="007A263E"/>
    <w:rsid w:val="007A2921"/>
    <w:rsid w:val="007A29CF"/>
    <w:rsid w:val="007A4672"/>
    <w:rsid w:val="007A4A8E"/>
    <w:rsid w:val="007A4ECB"/>
    <w:rsid w:val="007A511C"/>
    <w:rsid w:val="007A52AC"/>
    <w:rsid w:val="007A5506"/>
    <w:rsid w:val="007A5B4C"/>
    <w:rsid w:val="007A5E49"/>
    <w:rsid w:val="007A624D"/>
    <w:rsid w:val="007A7795"/>
    <w:rsid w:val="007A7B2F"/>
    <w:rsid w:val="007A7CF5"/>
    <w:rsid w:val="007A7FC6"/>
    <w:rsid w:val="007B07D1"/>
    <w:rsid w:val="007B09EB"/>
    <w:rsid w:val="007B0A3E"/>
    <w:rsid w:val="007B0A7A"/>
    <w:rsid w:val="007B1728"/>
    <w:rsid w:val="007B24EE"/>
    <w:rsid w:val="007B26FD"/>
    <w:rsid w:val="007B354C"/>
    <w:rsid w:val="007B3BDE"/>
    <w:rsid w:val="007B453F"/>
    <w:rsid w:val="007B52FA"/>
    <w:rsid w:val="007B5344"/>
    <w:rsid w:val="007B5760"/>
    <w:rsid w:val="007B5B05"/>
    <w:rsid w:val="007B61E6"/>
    <w:rsid w:val="007B63F6"/>
    <w:rsid w:val="007B65E9"/>
    <w:rsid w:val="007B69D2"/>
    <w:rsid w:val="007B6B6B"/>
    <w:rsid w:val="007B7B7F"/>
    <w:rsid w:val="007C2023"/>
    <w:rsid w:val="007C30B9"/>
    <w:rsid w:val="007C3185"/>
    <w:rsid w:val="007C3272"/>
    <w:rsid w:val="007C3872"/>
    <w:rsid w:val="007C4056"/>
    <w:rsid w:val="007C4249"/>
    <w:rsid w:val="007C4319"/>
    <w:rsid w:val="007C5E95"/>
    <w:rsid w:val="007C6228"/>
    <w:rsid w:val="007C6340"/>
    <w:rsid w:val="007C6369"/>
    <w:rsid w:val="007C6B2D"/>
    <w:rsid w:val="007C6FAC"/>
    <w:rsid w:val="007C7215"/>
    <w:rsid w:val="007C7521"/>
    <w:rsid w:val="007C77CF"/>
    <w:rsid w:val="007C7D5C"/>
    <w:rsid w:val="007D014A"/>
    <w:rsid w:val="007D07D4"/>
    <w:rsid w:val="007D1002"/>
    <w:rsid w:val="007D13E8"/>
    <w:rsid w:val="007D151D"/>
    <w:rsid w:val="007D158F"/>
    <w:rsid w:val="007D1E68"/>
    <w:rsid w:val="007D1F34"/>
    <w:rsid w:val="007D216B"/>
    <w:rsid w:val="007D319B"/>
    <w:rsid w:val="007D3EEA"/>
    <w:rsid w:val="007D40FC"/>
    <w:rsid w:val="007D48DF"/>
    <w:rsid w:val="007D4AA2"/>
    <w:rsid w:val="007D5D87"/>
    <w:rsid w:val="007D6418"/>
    <w:rsid w:val="007D695F"/>
    <w:rsid w:val="007D6ECB"/>
    <w:rsid w:val="007D73DB"/>
    <w:rsid w:val="007D78F9"/>
    <w:rsid w:val="007E047B"/>
    <w:rsid w:val="007E0C82"/>
    <w:rsid w:val="007E11B3"/>
    <w:rsid w:val="007E1A2C"/>
    <w:rsid w:val="007E233A"/>
    <w:rsid w:val="007E2E66"/>
    <w:rsid w:val="007E300D"/>
    <w:rsid w:val="007E4988"/>
    <w:rsid w:val="007E4C5C"/>
    <w:rsid w:val="007E61AD"/>
    <w:rsid w:val="007E6BFF"/>
    <w:rsid w:val="007E6E0A"/>
    <w:rsid w:val="007E7730"/>
    <w:rsid w:val="007E7D67"/>
    <w:rsid w:val="007F01B7"/>
    <w:rsid w:val="007F0276"/>
    <w:rsid w:val="007F083A"/>
    <w:rsid w:val="007F0FB4"/>
    <w:rsid w:val="007F182E"/>
    <w:rsid w:val="007F1ECB"/>
    <w:rsid w:val="007F1F4C"/>
    <w:rsid w:val="007F2418"/>
    <w:rsid w:val="007F26A0"/>
    <w:rsid w:val="007F2F36"/>
    <w:rsid w:val="007F3239"/>
    <w:rsid w:val="007F3ABD"/>
    <w:rsid w:val="007F43A5"/>
    <w:rsid w:val="007F4BD6"/>
    <w:rsid w:val="007F52C6"/>
    <w:rsid w:val="007F57EB"/>
    <w:rsid w:val="007F58FF"/>
    <w:rsid w:val="007F5EA8"/>
    <w:rsid w:val="007F60F1"/>
    <w:rsid w:val="007F7215"/>
    <w:rsid w:val="007F7260"/>
    <w:rsid w:val="007F7F3E"/>
    <w:rsid w:val="00800CF0"/>
    <w:rsid w:val="008010A3"/>
    <w:rsid w:val="00801ED5"/>
    <w:rsid w:val="00802263"/>
    <w:rsid w:val="00802780"/>
    <w:rsid w:val="00803D6A"/>
    <w:rsid w:val="008047C4"/>
    <w:rsid w:val="00804812"/>
    <w:rsid w:val="0080484F"/>
    <w:rsid w:val="00804E03"/>
    <w:rsid w:val="00804F61"/>
    <w:rsid w:val="0080552F"/>
    <w:rsid w:val="00805BC3"/>
    <w:rsid w:val="00805D3F"/>
    <w:rsid w:val="00807490"/>
    <w:rsid w:val="00807D87"/>
    <w:rsid w:val="0081162D"/>
    <w:rsid w:val="008132EC"/>
    <w:rsid w:val="00813329"/>
    <w:rsid w:val="00813982"/>
    <w:rsid w:val="00814455"/>
    <w:rsid w:val="008147EF"/>
    <w:rsid w:val="00814B14"/>
    <w:rsid w:val="00814EFE"/>
    <w:rsid w:val="0081546E"/>
    <w:rsid w:val="00815A3E"/>
    <w:rsid w:val="00816C60"/>
    <w:rsid w:val="008174E1"/>
    <w:rsid w:val="008177E8"/>
    <w:rsid w:val="00817B0A"/>
    <w:rsid w:val="008201D9"/>
    <w:rsid w:val="00820437"/>
    <w:rsid w:val="008208F9"/>
    <w:rsid w:val="00820A08"/>
    <w:rsid w:val="008212A2"/>
    <w:rsid w:val="008216B8"/>
    <w:rsid w:val="008225A8"/>
    <w:rsid w:val="008228AB"/>
    <w:rsid w:val="00822CF2"/>
    <w:rsid w:val="00822DED"/>
    <w:rsid w:val="008237E4"/>
    <w:rsid w:val="00823CF0"/>
    <w:rsid w:val="00824F45"/>
    <w:rsid w:val="0082512A"/>
    <w:rsid w:val="0082528A"/>
    <w:rsid w:val="00826551"/>
    <w:rsid w:val="008265FC"/>
    <w:rsid w:val="00826649"/>
    <w:rsid w:val="008267F4"/>
    <w:rsid w:val="0082788C"/>
    <w:rsid w:val="00827928"/>
    <w:rsid w:val="00827ED2"/>
    <w:rsid w:val="00830E4E"/>
    <w:rsid w:val="00831D78"/>
    <w:rsid w:val="00831D9A"/>
    <w:rsid w:val="008321DF"/>
    <w:rsid w:val="008327BE"/>
    <w:rsid w:val="008331FB"/>
    <w:rsid w:val="008333E6"/>
    <w:rsid w:val="008335CF"/>
    <w:rsid w:val="00833ED8"/>
    <w:rsid w:val="008340CF"/>
    <w:rsid w:val="008345E2"/>
    <w:rsid w:val="008357D7"/>
    <w:rsid w:val="00835A14"/>
    <w:rsid w:val="0083653B"/>
    <w:rsid w:val="0083683F"/>
    <w:rsid w:val="00836EC4"/>
    <w:rsid w:val="0083764E"/>
    <w:rsid w:val="0083781F"/>
    <w:rsid w:val="00840438"/>
    <w:rsid w:val="00840609"/>
    <w:rsid w:val="00840666"/>
    <w:rsid w:val="00840DCE"/>
    <w:rsid w:val="00842012"/>
    <w:rsid w:val="008423AB"/>
    <w:rsid w:val="00842BE3"/>
    <w:rsid w:val="00843048"/>
    <w:rsid w:val="00843B29"/>
    <w:rsid w:val="00844016"/>
    <w:rsid w:val="0084484C"/>
    <w:rsid w:val="008454BB"/>
    <w:rsid w:val="00846068"/>
    <w:rsid w:val="00846895"/>
    <w:rsid w:val="00846948"/>
    <w:rsid w:val="00846BBD"/>
    <w:rsid w:val="00846C7E"/>
    <w:rsid w:val="00847F81"/>
    <w:rsid w:val="008500CD"/>
    <w:rsid w:val="008517C1"/>
    <w:rsid w:val="00851985"/>
    <w:rsid w:val="008525BE"/>
    <w:rsid w:val="00852C39"/>
    <w:rsid w:val="00853B5B"/>
    <w:rsid w:val="00853DFD"/>
    <w:rsid w:val="0085418F"/>
    <w:rsid w:val="00854F28"/>
    <w:rsid w:val="0085609C"/>
    <w:rsid w:val="0085645E"/>
    <w:rsid w:val="00856884"/>
    <w:rsid w:val="00856FA7"/>
    <w:rsid w:val="00860B17"/>
    <w:rsid w:val="00860D4E"/>
    <w:rsid w:val="00860EDD"/>
    <w:rsid w:val="008611E1"/>
    <w:rsid w:val="00861855"/>
    <w:rsid w:val="00861BFC"/>
    <w:rsid w:val="00861C2E"/>
    <w:rsid w:val="008622FD"/>
    <w:rsid w:val="0086289A"/>
    <w:rsid w:val="00863886"/>
    <w:rsid w:val="00864145"/>
    <w:rsid w:val="008641AC"/>
    <w:rsid w:val="008646A0"/>
    <w:rsid w:val="00864717"/>
    <w:rsid w:val="00864734"/>
    <w:rsid w:val="00864E04"/>
    <w:rsid w:val="008653F6"/>
    <w:rsid w:val="00865438"/>
    <w:rsid w:val="0086598B"/>
    <w:rsid w:val="008659B9"/>
    <w:rsid w:val="00866B4C"/>
    <w:rsid w:val="00866D48"/>
    <w:rsid w:val="00867027"/>
    <w:rsid w:val="0086710B"/>
    <w:rsid w:val="00867434"/>
    <w:rsid w:val="0086794C"/>
    <w:rsid w:val="00867E6B"/>
    <w:rsid w:val="00870100"/>
    <w:rsid w:val="008703A3"/>
    <w:rsid w:val="00870AD9"/>
    <w:rsid w:val="00871419"/>
    <w:rsid w:val="00871A6B"/>
    <w:rsid w:val="00871A86"/>
    <w:rsid w:val="0087222D"/>
    <w:rsid w:val="00872F37"/>
    <w:rsid w:val="008737D8"/>
    <w:rsid w:val="00873F75"/>
    <w:rsid w:val="008745B1"/>
    <w:rsid w:val="008746CF"/>
    <w:rsid w:val="00874A7F"/>
    <w:rsid w:val="00874F05"/>
    <w:rsid w:val="008754C3"/>
    <w:rsid w:val="00875E6A"/>
    <w:rsid w:val="008776E3"/>
    <w:rsid w:val="0088096B"/>
    <w:rsid w:val="00880D0A"/>
    <w:rsid w:val="0088140D"/>
    <w:rsid w:val="00881746"/>
    <w:rsid w:val="00881C74"/>
    <w:rsid w:val="00881FD3"/>
    <w:rsid w:val="00882A05"/>
    <w:rsid w:val="00882F55"/>
    <w:rsid w:val="00883E0F"/>
    <w:rsid w:val="00884D4E"/>
    <w:rsid w:val="00885715"/>
    <w:rsid w:val="00886113"/>
    <w:rsid w:val="00886525"/>
    <w:rsid w:val="00886556"/>
    <w:rsid w:val="008875B7"/>
    <w:rsid w:val="008901FA"/>
    <w:rsid w:val="008907D0"/>
    <w:rsid w:val="008913F0"/>
    <w:rsid w:val="00891E1E"/>
    <w:rsid w:val="008920B6"/>
    <w:rsid w:val="00893E1E"/>
    <w:rsid w:val="008941FA"/>
    <w:rsid w:val="00895422"/>
    <w:rsid w:val="00895F28"/>
    <w:rsid w:val="00896669"/>
    <w:rsid w:val="0089681B"/>
    <w:rsid w:val="00896B12"/>
    <w:rsid w:val="00896BAE"/>
    <w:rsid w:val="00896FB6"/>
    <w:rsid w:val="00897031"/>
    <w:rsid w:val="00897589"/>
    <w:rsid w:val="008977ED"/>
    <w:rsid w:val="00897991"/>
    <w:rsid w:val="00897D9F"/>
    <w:rsid w:val="008A05D1"/>
    <w:rsid w:val="008A0906"/>
    <w:rsid w:val="008A11D4"/>
    <w:rsid w:val="008A1A8D"/>
    <w:rsid w:val="008A2089"/>
    <w:rsid w:val="008A226D"/>
    <w:rsid w:val="008A27C0"/>
    <w:rsid w:val="008A288D"/>
    <w:rsid w:val="008A2EA1"/>
    <w:rsid w:val="008A31BF"/>
    <w:rsid w:val="008A327B"/>
    <w:rsid w:val="008A36EC"/>
    <w:rsid w:val="008A3A70"/>
    <w:rsid w:val="008A3CD5"/>
    <w:rsid w:val="008A4AEE"/>
    <w:rsid w:val="008A4E0B"/>
    <w:rsid w:val="008A5EFD"/>
    <w:rsid w:val="008A68AF"/>
    <w:rsid w:val="008A6C96"/>
    <w:rsid w:val="008A72FF"/>
    <w:rsid w:val="008A75E6"/>
    <w:rsid w:val="008B003E"/>
    <w:rsid w:val="008B04E1"/>
    <w:rsid w:val="008B151A"/>
    <w:rsid w:val="008B23BB"/>
    <w:rsid w:val="008B2A10"/>
    <w:rsid w:val="008B2D89"/>
    <w:rsid w:val="008B364F"/>
    <w:rsid w:val="008B3C45"/>
    <w:rsid w:val="008B3DE6"/>
    <w:rsid w:val="008B45F2"/>
    <w:rsid w:val="008B580A"/>
    <w:rsid w:val="008B5907"/>
    <w:rsid w:val="008B60B9"/>
    <w:rsid w:val="008B6B8C"/>
    <w:rsid w:val="008B7956"/>
    <w:rsid w:val="008B7F8D"/>
    <w:rsid w:val="008C06CF"/>
    <w:rsid w:val="008C07B5"/>
    <w:rsid w:val="008C0C1E"/>
    <w:rsid w:val="008C0F7D"/>
    <w:rsid w:val="008C0FB5"/>
    <w:rsid w:val="008C178B"/>
    <w:rsid w:val="008C18D6"/>
    <w:rsid w:val="008C1C7B"/>
    <w:rsid w:val="008C27CA"/>
    <w:rsid w:val="008C304B"/>
    <w:rsid w:val="008C32E7"/>
    <w:rsid w:val="008C358B"/>
    <w:rsid w:val="008C4534"/>
    <w:rsid w:val="008C54CD"/>
    <w:rsid w:val="008C5AFD"/>
    <w:rsid w:val="008C61E8"/>
    <w:rsid w:val="008C62D6"/>
    <w:rsid w:val="008C6AF6"/>
    <w:rsid w:val="008C6C20"/>
    <w:rsid w:val="008C7035"/>
    <w:rsid w:val="008D0402"/>
    <w:rsid w:val="008D0AF9"/>
    <w:rsid w:val="008D17E1"/>
    <w:rsid w:val="008D17E4"/>
    <w:rsid w:val="008D183F"/>
    <w:rsid w:val="008D1AC7"/>
    <w:rsid w:val="008D1B23"/>
    <w:rsid w:val="008D24A5"/>
    <w:rsid w:val="008D2DB2"/>
    <w:rsid w:val="008D4019"/>
    <w:rsid w:val="008D4954"/>
    <w:rsid w:val="008D4A59"/>
    <w:rsid w:val="008D637A"/>
    <w:rsid w:val="008D6C9A"/>
    <w:rsid w:val="008D7457"/>
    <w:rsid w:val="008D78C8"/>
    <w:rsid w:val="008D79BC"/>
    <w:rsid w:val="008D7E66"/>
    <w:rsid w:val="008E02FA"/>
    <w:rsid w:val="008E0792"/>
    <w:rsid w:val="008E0DC2"/>
    <w:rsid w:val="008E0DEA"/>
    <w:rsid w:val="008E2637"/>
    <w:rsid w:val="008E26C7"/>
    <w:rsid w:val="008E2A00"/>
    <w:rsid w:val="008E2ECB"/>
    <w:rsid w:val="008E3079"/>
    <w:rsid w:val="008E3336"/>
    <w:rsid w:val="008E3C08"/>
    <w:rsid w:val="008E4390"/>
    <w:rsid w:val="008E43C6"/>
    <w:rsid w:val="008E4F29"/>
    <w:rsid w:val="008E5E5B"/>
    <w:rsid w:val="008E66C5"/>
    <w:rsid w:val="008E73FE"/>
    <w:rsid w:val="008E77EA"/>
    <w:rsid w:val="008E7E72"/>
    <w:rsid w:val="008F0447"/>
    <w:rsid w:val="008F1588"/>
    <w:rsid w:val="008F2335"/>
    <w:rsid w:val="008F24A0"/>
    <w:rsid w:val="008F2EB0"/>
    <w:rsid w:val="008F3064"/>
    <w:rsid w:val="008F3754"/>
    <w:rsid w:val="008F383E"/>
    <w:rsid w:val="008F4CE7"/>
    <w:rsid w:val="008F51E4"/>
    <w:rsid w:val="008F5659"/>
    <w:rsid w:val="008F56DD"/>
    <w:rsid w:val="008F5859"/>
    <w:rsid w:val="008F58AB"/>
    <w:rsid w:val="008F68F0"/>
    <w:rsid w:val="008F719F"/>
    <w:rsid w:val="008F7701"/>
    <w:rsid w:val="008F7FCE"/>
    <w:rsid w:val="00900935"/>
    <w:rsid w:val="00900E9D"/>
    <w:rsid w:val="00901F67"/>
    <w:rsid w:val="00902BAC"/>
    <w:rsid w:val="00902EA7"/>
    <w:rsid w:val="00903B14"/>
    <w:rsid w:val="0090488E"/>
    <w:rsid w:val="009048E9"/>
    <w:rsid w:val="009049CE"/>
    <w:rsid w:val="00904F7D"/>
    <w:rsid w:val="00905DB7"/>
    <w:rsid w:val="009067A3"/>
    <w:rsid w:val="00906832"/>
    <w:rsid w:val="009068D1"/>
    <w:rsid w:val="00906F0C"/>
    <w:rsid w:val="00907192"/>
    <w:rsid w:val="00907D73"/>
    <w:rsid w:val="00910B2A"/>
    <w:rsid w:val="00911E73"/>
    <w:rsid w:val="00911ECB"/>
    <w:rsid w:val="00912B2A"/>
    <w:rsid w:val="009130EC"/>
    <w:rsid w:val="00914C59"/>
    <w:rsid w:val="00914D9E"/>
    <w:rsid w:val="00914F68"/>
    <w:rsid w:val="00915189"/>
    <w:rsid w:val="0091558C"/>
    <w:rsid w:val="0091598D"/>
    <w:rsid w:val="0091602B"/>
    <w:rsid w:val="0091650A"/>
    <w:rsid w:val="00916690"/>
    <w:rsid w:val="00916A84"/>
    <w:rsid w:val="00916BAD"/>
    <w:rsid w:val="00920D47"/>
    <w:rsid w:val="00920E12"/>
    <w:rsid w:val="00921296"/>
    <w:rsid w:val="00921433"/>
    <w:rsid w:val="009218C5"/>
    <w:rsid w:val="00922323"/>
    <w:rsid w:val="0092244D"/>
    <w:rsid w:val="00922A4F"/>
    <w:rsid w:val="00923C8D"/>
    <w:rsid w:val="00923F5B"/>
    <w:rsid w:val="0092499A"/>
    <w:rsid w:val="00924CAD"/>
    <w:rsid w:val="00925EC6"/>
    <w:rsid w:val="00926406"/>
    <w:rsid w:val="009271E6"/>
    <w:rsid w:val="009276E1"/>
    <w:rsid w:val="00927BD0"/>
    <w:rsid w:val="0093001D"/>
    <w:rsid w:val="00930167"/>
    <w:rsid w:val="009309DC"/>
    <w:rsid w:val="0093223C"/>
    <w:rsid w:val="00932BF9"/>
    <w:rsid w:val="00932DC3"/>
    <w:rsid w:val="00933AA2"/>
    <w:rsid w:val="00933C95"/>
    <w:rsid w:val="009342DF"/>
    <w:rsid w:val="009356C6"/>
    <w:rsid w:val="00937409"/>
    <w:rsid w:val="0093778B"/>
    <w:rsid w:val="00937AB2"/>
    <w:rsid w:val="0094036D"/>
    <w:rsid w:val="009403ED"/>
    <w:rsid w:val="009409F0"/>
    <w:rsid w:val="00941070"/>
    <w:rsid w:val="0094173B"/>
    <w:rsid w:val="00942A77"/>
    <w:rsid w:val="00942B23"/>
    <w:rsid w:val="00943C41"/>
    <w:rsid w:val="00944335"/>
    <w:rsid w:val="00944EDC"/>
    <w:rsid w:val="00944EE5"/>
    <w:rsid w:val="009463AB"/>
    <w:rsid w:val="0094794C"/>
    <w:rsid w:val="00950D35"/>
    <w:rsid w:val="0095139C"/>
    <w:rsid w:val="0095365B"/>
    <w:rsid w:val="00953A74"/>
    <w:rsid w:val="009540FD"/>
    <w:rsid w:val="00954471"/>
    <w:rsid w:val="00955C6B"/>
    <w:rsid w:val="00955FCC"/>
    <w:rsid w:val="0095691F"/>
    <w:rsid w:val="00956A65"/>
    <w:rsid w:val="00956FB1"/>
    <w:rsid w:val="00957269"/>
    <w:rsid w:val="00957278"/>
    <w:rsid w:val="009575EB"/>
    <w:rsid w:val="00957697"/>
    <w:rsid w:val="009576C8"/>
    <w:rsid w:val="00957D52"/>
    <w:rsid w:val="00960611"/>
    <w:rsid w:val="009606B8"/>
    <w:rsid w:val="00961138"/>
    <w:rsid w:val="00962C64"/>
    <w:rsid w:val="0096382C"/>
    <w:rsid w:val="00963911"/>
    <w:rsid w:val="00963AB8"/>
    <w:rsid w:val="0096431A"/>
    <w:rsid w:val="00964F8B"/>
    <w:rsid w:val="00965F2B"/>
    <w:rsid w:val="00966001"/>
    <w:rsid w:val="00966407"/>
    <w:rsid w:val="0096661D"/>
    <w:rsid w:val="0096682F"/>
    <w:rsid w:val="009669FA"/>
    <w:rsid w:val="00966CFE"/>
    <w:rsid w:val="0096751E"/>
    <w:rsid w:val="00967E0F"/>
    <w:rsid w:val="00970404"/>
    <w:rsid w:val="00970B62"/>
    <w:rsid w:val="00970F12"/>
    <w:rsid w:val="009710C2"/>
    <w:rsid w:val="00971E5F"/>
    <w:rsid w:val="00972797"/>
    <w:rsid w:val="0097291D"/>
    <w:rsid w:val="009744CE"/>
    <w:rsid w:val="00974EF9"/>
    <w:rsid w:val="00975070"/>
    <w:rsid w:val="009756A0"/>
    <w:rsid w:val="00977337"/>
    <w:rsid w:val="00977514"/>
    <w:rsid w:val="0098008A"/>
    <w:rsid w:val="00980877"/>
    <w:rsid w:val="009808F1"/>
    <w:rsid w:val="00981DBF"/>
    <w:rsid w:val="00982077"/>
    <w:rsid w:val="00984075"/>
    <w:rsid w:val="009840D1"/>
    <w:rsid w:val="009844C6"/>
    <w:rsid w:val="00985083"/>
    <w:rsid w:val="00985138"/>
    <w:rsid w:val="00985487"/>
    <w:rsid w:val="0098657C"/>
    <w:rsid w:val="0098669B"/>
    <w:rsid w:val="00987C8B"/>
    <w:rsid w:val="00987E5D"/>
    <w:rsid w:val="009901FF"/>
    <w:rsid w:val="00990AA9"/>
    <w:rsid w:val="00990E31"/>
    <w:rsid w:val="00991BFC"/>
    <w:rsid w:val="00991F86"/>
    <w:rsid w:val="00992076"/>
    <w:rsid w:val="00992AD3"/>
    <w:rsid w:val="009931D7"/>
    <w:rsid w:val="00993E1A"/>
    <w:rsid w:val="0099447A"/>
    <w:rsid w:val="009945B7"/>
    <w:rsid w:val="00994AA3"/>
    <w:rsid w:val="00994AAB"/>
    <w:rsid w:val="00995695"/>
    <w:rsid w:val="00995F89"/>
    <w:rsid w:val="00996043"/>
    <w:rsid w:val="009969FC"/>
    <w:rsid w:val="00996ACC"/>
    <w:rsid w:val="00996E09"/>
    <w:rsid w:val="009977B2"/>
    <w:rsid w:val="00997BC4"/>
    <w:rsid w:val="009A0131"/>
    <w:rsid w:val="009A058B"/>
    <w:rsid w:val="009A1020"/>
    <w:rsid w:val="009A2F99"/>
    <w:rsid w:val="009A3334"/>
    <w:rsid w:val="009A4013"/>
    <w:rsid w:val="009A4455"/>
    <w:rsid w:val="009A44C1"/>
    <w:rsid w:val="009A54A3"/>
    <w:rsid w:val="009A6704"/>
    <w:rsid w:val="009A67E1"/>
    <w:rsid w:val="009A6A2A"/>
    <w:rsid w:val="009A6AED"/>
    <w:rsid w:val="009A6B7E"/>
    <w:rsid w:val="009B0DFA"/>
    <w:rsid w:val="009B0FA0"/>
    <w:rsid w:val="009B1388"/>
    <w:rsid w:val="009B18E2"/>
    <w:rsid w:val="009B1A39"/>
    <w:rsid w:val="009B222E"/>
    <w:rsid w:val="009B2716"/>
    <w:rsid w:val="009B2A5F"/>
    <w:rsid w:val="009B318A"/>
    <w:rsid w:val="009B31EE"/>
    <w:rsid w:val="009B3787"/>
    <w:rsid w:val="009B3DB8"/>
    <w:rsid w:val="009B3E2B"/>
    <w:rsid w:val="009B569F"/>
    <w:rsid w:val="009B5805"/>
    <w:rsid w:val="009B5BCF"/>
    <w:rsid w:val="009B71C8"/>
    <w:rsid w:val="009B79B5"/>
    <w:rsid w:val="009C01DD"/>
    <w:rsid w:val="009C04AE"/>
    <w:rsid w:val="009C1332"/>
    <w:rsid w:val="009C17BF"/>
    <w:rsid w:val="009C1DCE"/>
    <w:rsid w:val="009C1F60"/>
    <w:rsid w:val="009C2DEF"/>
    <w:rsid w:val="009C32CD"/>
    <w:rsid w:val="009C48A0"/>
    <w:rsid w:val="009C4AA1"/>
    <w:rsid w:val="009C4BD6"/>
    <w:rsid w:val="009C4E7B"/>
    <w:rsid w:val="009C4F84"/>
    <w:rsid w:val="009C5232"/>
    <w:rsid w:val="009C5889"/>
    <w:rsid w:val="009C5D0F"/>
    <w:rsid w:val="009C5DFA"/>
    <w:rsid w:val="009C74DA"/>
    <w:rsid w:val="009C7573"/>
    <w:rsid w:val="009C764A"/>
    <w:rsid w:val="009C796F"/>
    <w:rsid w:val="009C7DC2"/>
    <w:rsid w:val="009C7E5D"/>
    <w:rsid w:val="009D0AEC"/>
    <w:rsid w:val="009D180E"/>
    <w:rsid w:val="009D1DF3"/>
    <w:rsid w:val="009D2CAE"/>
    <w:rsid w:val="009D3056"/>
    <w:rsid w:val="009D3555"/>
    <w:rsid w:val="009D3965"/>
    <w:rsid w:val="009D3C98"/>
    <w:rsid w:val="009D3D6F"/>
    <w:rsid w:val="009D4374"/>
    <w:rsid w:val="009D4399"/>
    <w:rsid w:val="009D5FB8"/>
    <w:rsid w:val="009D617D"/>
    <w:rsid w:val="009D6FAE"/>
    <w:rsid w:val="009D7269"/>
    <w:rsid w:val="009D7334"/>
    <w:rsid w:val="009D777D"/>
    <w:rsid w:val="009E0407"/>
    <w:rsid w:val="009E08A6"/>
    <w:rsid w:val="009E08F5"/>
    <w:rsid w:val="009E0A2E"/>
    <w:rsid w:val="009E0DA4"/>
    <w:rsid w:val="009E10C5"/>
    <w:rsid w:val="009E10D0"/>
    <w:rsid w:val="009E176C"/>
    <w:rsid w:val="009E183A"/>
    <w:rsid w:val="009E1E96"/>
    <w:rsid w:val="009E3A33"/>
    <w:rsid w:val="009E415B"/>
    <w:rsid w:val="009E4E1F"/>
    <w:rsid w:val="009E5850"/>
    <w:rsid w:val="009E6CB9"/>
    <w:rsid w:val="009E7429"/>
    <w:rsid w:val="009F008D"/>
    <w:rsid w:val="009F06A9"/>
    <w:rsid w:val="009F0960"/>
    <w:rsid w:val="009F0D93"/>
    <w:rsid w:val="009F1F78"/>
    <w:rsid w:val="009F21B7"/>
    <w:rsid w:val="009F2D0D"/>
    <w:rsid w:val="009F2F7E"/>
    <w:rsid w:val="009F3CF8"/>
    <w:rsid w:val="009F3E5F"/>
    <w:rsid w:val="009F3FEC"/>
    <w:rsid w:val="009F4600"/>
    <w:rsid w:val="009F570B"/>
    <w:rsid w:val="009F5EC4"/>
    <w:rsid w:val="009F5EDF"/>
    <w:rsid w:val="009F5FA5"/>
    <w:rsid w:val="009F7564"/>
    <w:rsid w:val="009F77EA"/>
    <w:rsid w:val="00A00CDC"/>
    <w:rsid w:val="00A019E4"/>
    <w:rsid w:val="00A01D1E"/>
    <w:rsid w:val="00A02B29"/>
    <w:rsid w:val="00A032AA"/>
    <w:rsid w:val="00A03A79"/>
    <w:rsid w:val="00A03E13"/>
    <w:rsid w:val="00A04509"/>
    <w:rsid w:val="00A0535B"/>
    <w:rsid w:val="00A05A19"/>
    <w:rsid w:val="00A063A6"/>
    <w:rsid w:val="00A066B4"/>
    <w:rsid w:val="00A06ADD"/>
    <w:rsid w:val="00A10230"/>
    <w:rsid w:val="00A108F0"/>
    <w:rsid w:val="00A11E2E"/>
    <w:rsid w:val="00A11E97"/>
    <w:rsid w:val="00A12178"/>
    <w:rsid w:val="00A12196"/>
    <w:rsid w:val="00A1258E"/>
    <w:rsid w:val="00A12F2A"/>
    <w:rsid w:val="00A13940"/>
    <w:rsid w:val="00A13B2F"/>
    <w:rsid w:val="00A14E26"/>
    <w:rsid w:val="00A1589B"/>
    <w:rsid w:val="00A15D46"/>
    <w:rsid w:val="00A171AB"/>
    <w:rsid w:val="00A172B8"/>
    <w:rsid w:val="00A1739D"/>
    <w:rsid w:val="00A1753A"/>
    <w:rsid w:val="00A1788C"/>
    <w:rsid w:val="00A17A29"/>
    <w:rsid w:val="00A2044E"/>
    <w:rsid w:val="00A204D1"/>
    <w:rsid w:val="00A20C9F"/>
    <w:rsid w:val="00A21FAF"/>
    <w:rsid w:val="00A23BEF"/>
    <w:rsid w:val="00A243DF"/>
    <w:rsid w:val="00A2478A"/>
    <w:rsid w:val="00A24A1A"/>
    <w:rsid w:val="00A25512"/>
    <w:rsid w:val="00A25957"/>
    <w:rsid w:val="00A25BB0"/>
    <w:rsid w:val="00A26940"/>
    <w:rsid w:val="00A2694A"/>
    <w:rsid w:val="00A273B5"/>
    <w:rsid w:val="00A2799A"/>
    <w:rsid w:val="00A27FC8"/>
    <w:rsid w:val="00A3156C"/>
    <w:rsid w:val="00A31666"/>
    <w:rsid w:val="00A31781"/>
    <w:rsid w:val="00A3237A"/>
    <w:rsid w:val="00A3244B"/>
    <w:rsid w:val="00A328C3"/>
    <w:rsid w:val="00A33255"/>
    <w:rsid w:val="00A33B0E"/>
    <w:rsid w:val="00A33FF9"/>
    <w:rsid w:val="00A348CD"/>
    <w:rsid w:val="00A34A72"/>
    <w:rsid w:val="00A34B76"/>
    <w:rsid w:val="00A34FFB"/>
    <w:rsid w:val="00A3524E"/>
    <w:rsid w:val="00A354B1"/>
    <w:rsid w:val="00A358CF"/>
    <w:rsid w:val="00A36704"/>
    <w:rsid w:val="00A369B8"/>
    <w:rsid w:val="00A36F05"/>
    <w:rsid w:val="00A37558"/>
    <w:rsid w:val="00A37701"/>
    <w:rsid w:val="00A37D7A"/>
    <w:rsid w:val="00A40556"/>
    <w:rsid w:val="00A40602"/>
    <w:rsid w:val="00A40736"/>
    <w:rsid w:val="00A407E7"/>
    <w:rsid w:val="00A41579"/>
    <w:rsid w:val="00A42218"/>
    <w:rsid w:val="00A422A3"/>
    <w:rsid w:val="00A4234C"/>
    <w:rsid w:val="00A43DF4"/>
    <w:rsid w:val="00A44599"/>
    <w:rsid w:val="00A456FD"/>
    <w:rsid w:val="00A46651"/>
    <w:rsid w:val="00A46909"/>
    <w:rsid w:val="00A46A6F"/>
    <w:rsid w:val="00A50E62"/>
    <w:rsid w:val="00A515A4"/>
    <w:rsid w:val="00A51B77"/>
    <w:rsid w:val="00A52F62"/>
    <w:rsid w:val="00A53241"/>
    <w:rsid w:val="00A53478"/>
    <w:rsid w:val="00A53880"/>
    <w:rsid w:val="00A539F4"/>
    <w:rsid w:val="00A54BAD"/>
    <w:rsid w:val="00A54F03"/>
    <w:rsid w:val="00A558C5"/>
    <w:rsid w:val="00A55DE4"/>
    <w:rsid w:val="00A56A5B"/>
    <w:rsid w:val="00A574EF"/>
    <w:rsid w:val="00A575E4"/>
    <w:rsid w:val="00A57B90"/>
    <w:rsid w:val="00A600F0"/>
    <w:rsid w:val="00A602E9"/>
    <w:rsid w:val="00A60B83"/>
    <w:rsid w:val="00A61398"/>
    <w:rsid w:val="00A613D9"/>
    <w:rsid w:val="00A61954"/>
    <w:rsid w:val="00A62F48"/>
    <w:rsid w:val="00A632CB"/>
    <w:rsid w:val="00A636FF"/>
    <w:rsid w:val="00A63810"/>
    <w:rsid w:val="00A63A38"/>
    <w:rsid w:val="00A63ACE"/>
    <w:rsid w:val="00A6493F"/>
    <w:rsid w:val="00A64BF4"/>
    <w:rsid w:val="00A65915"/>
    <w:rsid w:val="00A65953"/>
    <w:rsid w:val="00A65EF0"/>
    <w:rsid w:val="00A665FF"/>
    <w:rsid w:val="00A70402"/>
    <w:rsid w:val="00A71182"/>
    <w:rsid w:val="00A71374"/>
    <w:rsid w:val="00A72105"/>
    <w:rsid w:val="00A725EE"/>
    <w:rsid w:val="00A72792"/>
    <w:rsid w:val="00A7314A"/>
    <w:rsid w:val="00A747E5"/>
    <w:rsid w:val="00A74B75"/>
    <w:rsid w:val="00A74C11"/>
    <w:rsid w:val="00A74E3F"/>
    <w:rsid w:val="00A770CD"/>
    <w:rsid w:val="00A7753E"/>
    <w:rsid w:val="00A77580"/>
    <w:rsid w:val="00A775A2"/>
    <w:rsid w:val="00A7765C"/>
    <w:rsid w:val="00A7772F"/>
    <w:rsid w:val="00A80169"/>
    <w:rsid w:val="00A80B8B"/>
    <w:rsid w:val="00A80E45"/>
    <w:rsid w:val="00A81060"/>
    <w:rsid w:val="00A81113"/>
    <w:rsid w:val="00A813BE"/>
    <w:rsid w:val="00A8143C"/>
    <w:rsid w:val="00A81A89"/>
    <w:rsid w:val="00A81D9D"/>
    <w:rsid w:val="00A82DA4"/>
    <w:rsid w:val="00A835BD"/>
    <w:rsid w:val="00A83A5B"/>
    <w:rsid w:val="00A8442E"/>
    <w:rsid w:val="00A8457F"/>
    <w:rsid w:val="00A84666"/>
    <w:rsid w:val="00A84C16"/>
    <w:rsid w:val="00A85701"/>
    <w:rsid w:val="00A8617E"/>
    <w:rsid w:val="00A86B37"/>
    <w:rsid w:val="00A86D5D"/>
    <w:rsid w:val="00A87F18"/>
    <w:rsid w:val="00A90034"/>
    <w:rsid w:val="00A90048"/>
    <w:rsid w:val="00A901E0"/>
    <w:rsid w:val="00A90BD0"/>
    <w:rsid w:val="00A9132B"/>
    <w:rsid w:val="00A9144D"/>
    <w:rsid w:val="00A91CAB"/>
    <w:rsid w:val="00A91F51"/>
    <w:rsid w:val="00A9230F"/>
    <w:rsid w:val="00A927B1"/>
    <w:rsid w:val="00A93B7C"/>
    <w:rsid w:val="00A94974"/>
    <w:rsid w:val="00A95B8A"/>
    <w:rsid w:val="00A97BA4"/>
    <w:rsid w:val="00AA0AA7"/>
    <w:rsid w:val="00AA0AFD"/>
    <w:rsid w:val="00AA226A"/>
    <w:rsid w:val="00AA2714"/>
    <w:rsid w:val="00AA36AA"/>
    <w:rsid w:val="00AA3D78"/>
    <w:rsid w:val="00AA4963"/>
    <w:rsid w:val="00AA4ECA"/>
    <w:rsid w:val="00AA5744"/>
    <w:rsid w:val="00AA5833"/>
    <w:rsid w:val="00AA5B20"/>
    <w:rsid w:val="00AA5D9A"/>
    <w:rsid w:val="00AA5E29"/>
    <w:rsid w:val="00AA5E60"/>
    <w:rsid w:val="00AA6D10"/>
    <w:rsid w:val="00AA6DEE"/>
    <w:rsid w:val="00AA6FF0"/>
    <w:rsid w:val="00AA7FCA"/>
    <w:rsid w:val="00AB002D"/>
    <w:rsid w:val="00AB0613"/>
    <w:rsid w:val="00AB09E5"/>
    <w:rsid w:val="00AB0C27"/>
    <w:rsid w:val="00AB0FB2"/>
    <w:rsid w:val="00AB1DFC"/>
    <w:rsid w:val="00AB283D"/>
    <w:rsid w:val="00AB29F1"/>
    <w:rsid w:val="00AB2ED6"/>
    <w:rsid w:val="00AB30F9"/>
    <w:rsid w:val="00AB3686"/>
    <w:rsid w:val="00AB3CFF"/>
    <w:rsid w:val="00AB3D19"/>
    <w:rsid w:val="00AB4FD2"/>
    <w:rsid w:val="00AB500F"/>
    <w:rsid w:val="00AB5FFF"/>
    <w:rsid w:val="00AB621C"/>
    <w:rsid w:val="00AB6697"/>
    <w:rsid w:val="00AB6A90"/>
    <w:rsid w:val="00AB6BE8"/>
    <w:rsid w:val="00AB727F"/>
    <w:rsid w:val="00AB7349"/>
    <w:rsid w:val="00AB73F3"/>
    <w:rsid w:val="00AB7418"/>
    <w:rsid w:val="00AB75DF"/>
    <w:rsid w:val="00AC02E5"/>
    <w:rsid w:val="00AC0DBA"/>
    <w:rsid w:val="00AC1E53"/>
    <w:rsid w:val="00AC1F82"/>
    <w:rsid w:val="00AC203F"/>
    <w:rsid w:val="00AC237C"/>
    <w:rsid w:val="00AC290A"/>
    <w:rsid w:val="00AC3329"/>
    <w:rsid w:val="00AC36CA"/>
    <w:rsid w:val="00AC36E7"/>
    <w:rsid w:val="00AC422F"/>
    <w:rsid w:val="00AC4B2C"/>
    <w:rsid w:val="00AC4BD4"/>
    <w:rsid w:val="00AC4FC1"/>
    <w:rsid w:val="00AC5156"/>
    <w:rsid w:val="00AC5772"/>
    <w:rsid w:val="00AC59F1"/>
    <w:rsid w:val="00AC7C26"/>
    <w:rsid w:val="00AC7F18"/>
    <w:rsid w:val="00AD022C"/>
    <w:rsid w:val="00AD0BF3"/>
    <w:rsid w:val="00AD0CC3"/>
    <w:rsid w:val="00AD10EF"/>
    <w:rsid w:val="00AD1A16"/>
    <w:rsid w:val="00AD301A"/>
    <w:rsid w:val="00AD319F"/>
    <w:rsid w:val="00AD34A3"/>
    <w:rsid w:val="00AD37FA"/>
    <w:rsid w:val="00AD3C9E"/>
    <w:rsid w:val="00AD4DF6"/>
    <w:rsid w:val="00AD4DFA"/>
    <w:rsid w:val="00AD4EF5"/>
    <w:rsid w:val="00AD5620"/>
    <w:rsid w:val="00AD5820"/>
    <w:rsid w:val="00AD597B"/>
    <w:rsid w:val="00AD67AC"/>
    <w:rsid w:val="00AD6E6B"/>
    <w:rsid w:val="00AD7D9D"/>
    <w:rsid w:val="00AD7E87"/>
    <w:rsid w:val="00AD7F89"/>
    <w:rsid w:val="00AE0055"/>
    <w:rsid w:val="00AE0686"/>
    <w:rsid w:val="00AE10FD"/>
    <w:rsid w:val="00AE1661"/>
    <w:rsid w:val="00AE182B"/>
    <w:rsid w:val="00AE1D0B"/>
    <w:rsid w:val="00AE1D5F"/>
    <w:rsid w:val="00AE24E7"/>
    <w:rsid w:val="00AE286D"/>
    <w:rsid w:val="00AE34A7"/>
    <w:rsid w:val="00AE3623"/>
    <w:rsid w:val="00AE3782"/>
    <w:rsid w:val="00AE37C5"/>
    <w:rsid w:val="00AE3DF9"/>
    <w:rsid w:val="00AE3E60"/>
    <w:rsid w:val="00AE54D7"/>
    <w:rsid w:val="00AE5FB1"/>
    <w:rsid w:val="00AE669A"/>
    <w:rsid w:val="00AE67CE"/>
    <w:rsid w:val="00AE6D0D"/>
    <w:rsid w:val="00AE6EA0"/>
    <w:rsid w:val="00AE77F0"/>
    <w:rsid w:val="00AE7F54"/>
    <w:rsid w:val="00AF0234"/>
    <w:rsid w:val="00AF0403"/>
    <w:rsid w:val="00AF0949"/>
    <w:rsid w:val="00AF0F02"/>
    <w:rsid w:val="00AF10F3"/>
    <w:rsid w:val="00AF1B6E"/>
    <w:rsid w:val="00AF261D"/>
    <w:rsid w:val="00AF2ED3"/>
    <w:rsid w:val="00AF30CE"/>
    <w:rsid w:val="00AF3277"/>
    <w:rsid w:val="00AF35F8"/>
    <w:rsid w:val="00AF47B8"/>
    <w:rsid w:val="00AF52D1"/>
    <w:rsid w:val="00AF5756"/>
    <w:rsid w:val="00AF576C"/>
    <w:rsid w:val="00AF5B32"/>
    <w:rsid w:val="00AF5FCE"/>
    <w:rsid w:val="00AF6272"/>
    <w:rsid w:val="00AF62E3"/>
    <w:rsid w:val="00AF6515"/>
    <w:rsid w:val="00AF659B"/>
    <w:rsid w:val="00AF65C5"/>
    <w:rsid w:val="00AF6F40"/>
    <w:rsid w:val="00AF703F"/>
    <w:rsid w:val="00AF7A65"/>
    <w:rsid w:val="00AF7E17"/>
    <w:rsid w:val="00AF7F7C"/>
    <w:rsid w:val="00B002C3"/>
    <w:rsid w:val="00B0058E"/>
    <w:rsid w:val="00B00949"/>
    <w:rsid w:val="00B00B14"/>
    <w:rsid w:val="00B015F1"/>
    <w:rsid w:val="00B02010"/>
    <w:rsid w:val="00B0213F"/>
    <w:rsid w:val="00B022B4"/>
    <w:rsid w:val="00B03748"/>
    <w:rsid w:val="00B03E30"/>
    <w:rsid w:val="00B0477D"/>
    <w:rsid w:val="00B04E19"/>
    <w:rsid w:val="00B04FB0"/>
    <w:rsid w:val="00B05383"/>
    <w:rsid w:val="00B0591B"/>
    <w:rsid w:val="00B06407"/>
    <w:rsid w:val="00B06BD5"/>
    <w:rsid w:val="00B06E2B"/>
    <w:rsid w:val="00B06F63"/>
    <w:rsid w:val="00B07850"/>
    <w:rsid w:val="00B078CB"/>
    <w:rsid w:val="00B11244"/>
    <w:rsid w:val="00B11601"/>
    <w:rsid w:val="00B127C8"/>
    <w:rsid w:val="00B12C94"/>
    <w:rsid w:val="00B12E88"/>
    <w:rsid w:val="00B1369A"/>
    <w:rsid w:val="00B1395F"/>
    <w:rsid w:val="00B13DD6"/>
    <w:rsid w:val="00B14B0E"/>
    <w:rsid w:val="00B14FD0"/>
    <w:rsid w:val="00B153BC"/>
    <w:rsid w:val="00B164C3"/>
    <w:rsid w:val="00B169C8"/>
    <w:rsid w:val="00B16A77"/>
    <w:rsid w:val="00B171EE"/>
    <w:rsid w:val="00B17223"/>
    <w:rsid w:val="00B17804"/>
    <w:rsid w:val="00B17FEC"/>
    <w:rsid w:val="00B201BB"/>
    <w:rsid w:val="00B2075E"/>
    <w:rsid w:val="00B20831"/>
    <w:rsid w:val="00B20A3F"/>
    <w:rsid w:val="00B20ED7"/>
    <w:rsid w:val="00B21CDF"/>
    <w:rsid w:val="00B21CFA"/>
    <w:rsid w:val="00B21FDF"/>
    <w:rsid w:val="00B220B7"/>
    <w:rsid w:val="00B2285A"/>
    <w:rsid w:val="00B22EE5"/>
    <w:rsid w:val="00B232B9"/>
    <w:rsid w:val="00B23500"/>
    <w:rsid w:val="00B237A5"/>
    <w:rsid w:val="00B24C66"/>
    <w:rsid w:val="00B24F44"/>
    <w:rsid w:val="00B25CF9"/>
    <w:rsid w:val="00B2622C"/>
    <w:rsid w:val="00B26340"/>
    <w:rsid w:val="00B265BD"/>
    <w:rsid w:val="00B268D3"/>
    <w:rsid w:val="00B311CE"/>
    <w:rsid w:val="00B31282"/>
    <w:rsid w:val="00B31CFD"/>
    <w:rsid w:val="00B32B18"/>
    <w:rsid w:val="00B331BA"/>
    <w:rsid w:val="00B33289"/>
    <w:rsid w:val="00B33321"/>
    <w:rsid w:val="00B338C8"/>
    <w:rsid w:val="00B33C19"/>
    <w:rsid w:val="00B3445C"/>
    <w:rsid w:val="00B352D7"/>
    <w:rsid w:val="00B35A85"/>
    <w:rsid w:val="00B35C21"/>
    <w:rsid w:val="00B35D3F"/>
    <w:rsid w:val="00B36904"/>
    <w:rsid w:val="00B37ADA"/>
    <w:rsid w:val="00B37DB2"/>
    <w:rsid w:val="00B37E58"/>
    <w:rsid w:val="00B403D7"/>
    <w:rsid w:val="00B4056E"/>
    <w:rsid w:val="00B40D04"/>
    <w:rsid w:val="00B40DD8"/>
    <w:rsid w:val="00B40ED5"/>
    <w:rsid w:val="00B41E4E"/>
    <w:rsid w:val="00B41EDA"/>
    <w:rsid w:val="00B41FCC"/>
    <w:rsid w:val="00B41FE7"/>
    <w:rsid w:val="00B42D27"/>
    <w:rsid w:val="00B43728"/>
    <w:rsid w:val="00B43854"/>
    <w:rsid w:val="00B43BC7"/>
    <w:rsid w:val="00B44031"/>
    <w:rsid w:val="00B44F73"/>
    <w:rsid w:val="00B45507"/>
    <w:rsid w:val="00B46784"/>
    <w:rsid w:val="00B47059"/>
    <w:rsid w:val="00B4713A"/>
    <w:rsid w:val="00B4775E"/>
    <w:rsid w:val="00B47760"/>
    <w:rsid w:val="00B501EA"/>
    <w:rsid w:val="00B5021C"/>
    <w:rsid w:val="00B5291A"/>
    <w:rsid w:val="00B52B3A"/>
    <w:rsid w:val="00B52D02"/>
    <w:rsid w:val="00B538DF"/>
    <w:rsid w:val="00B5414C"/>
    <w:rsid w:val="00B54F94"/>
    <w:rsid w:val="00B55395"/>
    <w:rsid w:val="00B55543"/>
    <w:rsid w:val="00B56617"/>
    <w:rsid w:val="00B576D5"/>
    <w:rsid w:val="00B57935"/>
    <w:rsid w:val="00B57A78"/>
    <w:rsid w:val="00B60412"/>
    <w:rsid w:val="00B60E93"/>
    <w:rsid w:val="00B60FCB"/>
    <w:rsid w:val="00B6270B"/>
    <w:rsid w:val="00B63750"/>
    <w:rsid w:val="00B63E21"/>
    <w:rsid w:val="00B64BAE"/>
    <w:rsid w:val="00B65A75"/>
    <w:rsid w:val="00B65A91"/>
    <w:rsid w:val="00B662CF"/>
    <w:rsid w:val="00B6645F"/>
    <w:rsid w:val="00B67326"/>
    <w:rsid w:val="00B70097"/>
    <w:rsid w:val="00B70102"/>
    <w:rsid w:val="00B70215"/>
    <w:rsid w:val="00B70D38"/>
    <w:rsid w:val="00B71B39"/>
    <w:rsid w:val="00B72B20"/>
    <w:rsid w:val="00B72C0C"/>
    <w:rsid w:val="00B72C3B"/>
    <w:rsid w:val="00B73453"/>
    <w:rsid w:val="00B734B8"/>
    <w:rsid w:val="00B7470F"/>
    <w:rsid w:val="00B7502C"/>
    <w:rsid w:val="00B755C0"/>
    <w:rsid w:val="00B75AF6"/>
    <w:rsid w:val="00B7749F"/>
    <w:rsid w:val="00B77BC6"/>
    <w:rsid w:val="00B80341"/>
    <w:rsid w:val="00B80A22"/>
    <w:rsid w:val="00B80FC7"/>
    <w:rsid w:val="00B81DED"/>
    <w:rsid w:val="00B81F04"/>
    <w:rsid w:val="00B830B2"/>
    <w:rsid w:val="00B84011"/>
    <w:rsid w:val="00B8414E"/>
    <w:rsid w:val="00B848D5"/>
    <w:rsid w:val="00B84AE4"/>
    <w:rsid w:val="00B84B7F"/>
    <w:rsid w:val="00B850CC"/>
    <w:rsid w:val="00B87091"/>
    <w:rsid w:val="00B87BF9"/>
    <w:rsid w:val="00B905B0"/>
    <w:rsid w:val="00B91E97"/>
    <w:rsid w:val="00B9203F"/>
    <w:rsid w:val="00B92524"/>
    <w:rsid w:val="00B9292A"/>
    <w:rsid w:val="00B929FC"/>
    <w:rsid w:val="00B93519"/>
    <w:rsid w:val="00B93571"/>
    <w:rsid w:val="00B94042"/>
    <w:rsid w:val="00B94161"/>
    <w:rsid w:val="00B94EDF"/>
    <w:rsid w:val="00B94F66"/>
    <w:rsid w:val="00B95288"/>
    <w:rsid w:val="00B960F0"/>
    <w:rsid w:val="00B962C9"/>
    <w:rsid w:val="00B96340"/>
    <w:rsid w:val="00B96367"/>
    <w:rsid w:val="00B963BB"/>
    <w:rsid w:val="00B96424"/>
    <w:rsid w:val="00B96BD8"/>
    <w:rsid w:val="00B96C72"/>
    <w:rsid w:val="00B97223"/>
    <w:rsid w:val="00B9734B"/>
    <w:rsid w:val="00BA105C"/>
    <w:rsid w:val="00BA1497"/>
    <w:rsid w:val="00BA1656"/>
    <w:rsid w:val="00BA23CA"/>
    <w:rsid w:val="00BA2CB3"/>
    <w:rsid w:val="00BA2F24"/>
    <w:rsid w:val="00BA3603"/>
    <w:rsid w:val="00BA3652"/>
    <w:rsid w:val="00BA3FAC"/>
    <w:rsid w:val="00BA4CCF"/>
    <w:rsid w:val="00BA5566"/>
    <w:rsid w:val="00BA5627"/>
    <w:rsid w:val="00BA5720"/>
    <w:rsid w:val="00BA60E6"/>
    <w:rsid w:val="00BA6152"/>
    <w:rsid w:val="00BA6388"/>
    <w:rsid w:val="00BA7950"/>
    <w:rsid w:val="00BA7BA6"/>
    <w:rsid w:val="00BB050F"/>
    <w:rsid w:val="00BB0748"/>
    <w:rsid w:val="00BB0B1F"/>
    <w:rsid w:val="00BB0B50"/>
    <w:rsid w:val="00BB0DFC"/>
    <w:rsid w:val="00BB0F46"/>
    <w:rsid w:val="00BB1168"/>
    <w:rsid w:val="00BB1BDA"/>
    <w:rsid w:val="00BB1C5B"/>
    <w:rsid w:val="00BB23F2"/>
    <w:rsid w:val="00BB2443"/>
    <w:rsid w:val="00BB2DF7"/>
    <w:rsid w:val="00BB3DE1"/>
    <w:rsid w:val="00BB4C0D"/>
    <w:rsid w:val="00BB52EC"/>
    <w:rsid w:val="00BB5F1D"/>
    <w:rsid w:val="00BB5FD5"/>
    <w:rsid w:val="00BB6533"/>
    <w:rsid w:val="00BB7498"/>
    <w:rsid w:val="00BB7DB3"/>
    <w:rsid w:val="00BC1241"/>
    <w:rsid w:val="00BC18A3"/>
    <w:rsid w:val="00BC29CE"/>
    <w:rsid w:val="00BC29F3"/>
    <w:rsid w:val="00BC2C77"/>
    <w:rsid w:val="00BC40E9"/>
    <w:rsid w:val="00BC439F"/>
    <w:rsid w:val="00BC5CB8"/>
    <w:rsid w:val="00BD0387"/>
    <w:rsid w:val="00BD1166"/>
    <w:rsid w:val="00BD19F7"/>
    <w:rsid w:val="00BD1FC2"/>
    <w:rsid w:val="00BD2D3D"/>
    <w:rsid w:val="00BD2E47"/>
    <w:rsid w:val="00BD3AB1"/>
    <w:rsid w:val="00BD4008"/>
    <w:rsid w:val="00BD413E"/>
    <w:rsid w:val="00BD47B1"/>
    <w:rsid w:val="00BD4CB5"/>
    <w:rsid w:val="00BD6351"/>
    <w:rsid w:val="00BD6655"/>
    <w:rsid w:val="00BD6B1B"/>
    <w:rsid w:val="00BD71B9"/>
    <w:rsid w:val="00BD71E8"/>
    <w:rsid w:val="00BD7262"/>
    <w:rsid w:val="00BD72B8"/>
    <w:rsid w:val="00BE0045"/>
    <w:rsid w:val="00BE01C3"/>
    <w:rsid w:val="00BE06F1"/>
    <w:rsid w:val="00BE0A08"/>
    <w:rsid w:val="00BE1381"/>
    <w:rsid w:val="00BE1D09"/>
    <w:rsid w:val="00BE1D11"/>
    <w:rsid w:val="00BE21ED"/>
    <w:rsid w:val="00BE2A46"/>
    <w:rsid w:val="00BE330F"/>
    <w:rsid w:val="00BE373D"/>
    <w:rsid w:val="00BE396D"/>
    <w:rsid w:val="00BE3A7D"/>
    <w:rsid w:val="00BE3AF2"/>
    <w:rsid w:val="00BE3E02"/>
    <w:rsid w:val="00BE3E8A"/>
    <w:rsid w:val="00BE3F05"/>
    <w:rsid w:val="00BE3F91"/>
    <w:rsid w:val="00BE438F"/>
    <w:rsid w:val="00BE45ED"/>
    <w:rsid w:val="00BE46B7"/>
    <w:rsid w:val="00BE5717"/>
    <w:rsid w:val="00BE5916"/>
    <w:rsid w:val="00BE5F67"/>
    <w:rsid w:val="00BE6B87"/>
    <w:rsid w:val="00BE729F"/>
    <w:rsid w:val="00BE798E"/>
    <w:rsid w:val="00BE7B07"/>
    <w:rsid w:val="00BE7B59"/>
    <w:rsid w:val="00BE7E93"/>
    <w:rsid w:val="00BF0150"/>
    <w:rsid w:val="00BF01F2"/>
    <w:rsid w:val="00BF0908"/>
    <w:rsid w:val="00BF167F"/>
    <w:rsid w:val="00BF2BFC"/>
    <w:rsid w:val="00BF2F6B"/>
    <w:rsid w:val="00BF3DA1"/>
    <w:rsid w:val="00BF4A7E"/>
    <w:rsid w:val="00BF4D14"/>
    <w:rsid w:val="00BF5454"/>
    <w:rsid w:val="00BF58E8"/>
    <w:rsid w:val="00BF6499"/>
    <w:rsid w:val="00BF6AAA"/>
    <w:rsid w:val="00BF721E"/>
    <w:rsid w:val="00BF73CF"/>
    <w:rsid w:val="00BF7647"/>
    <w:rsid w:val="00BF7E52"/>
    <w:rsid w:val="00C00D7B"/>
    <w:rsid w:val="00C0147A"/>
    <w:rsid w:val="00C017B1"/>
    <w:rsid w:val="00C02238"/>
    <w:rsid w:val="00C02464"/>
    <w:rsid w:val="00C0253C"/>
    <w:rsid w:val="00C02FED"/>
    <w:rsid w:val="00C03551"/>
    <w:rsid w:val="00C03BF7"/>
    <w:rsid w:val="00C03E33"/>
    <w:rsid w:val="00C041FA"/>
    <w:rsid w:val="00C042A9"/>
    <w:rsid w:val="00C04866"/>
    <w:rsid w:val="00C04BFE"/>
    <w:rsid w:val="00C0503E"/>
    <w:rsid w:val="00C05216"/>
    <w:rsid w:val="00C05604"/>
    <w:rsid w:val="00C05B20"/>
    <w:rsid w:val="00C05F50"/>
    <w:rsid w:val="00C06049"/>
    <w:rsid w:val="00C063FD"/>
    <w:rsid w:val="00C064F9"/>
    <w:rsid w:val="00C06E8F"/>
    <w:rsid w:val="00C10080"/>
    <w:rsid w:val="00C10152"/>
    <w:rsid w:val="00C102AC"/>
    <w:rsid w:val="00C106B2"/>
    <w:rsid w:val="00C10991"/>
    <w:rsid w:val="00C10B3A"/>
    <w:rsid w:val="00C11246"/>
    <w:rsid w:val="00C1139F"/>
    <w:rsid w:val="00C120C2"/>
    <w:rsid w:val="00C12108"/>
    <w:rsid w:val="00C128E6"/>
    <w:rsid w:val="00C135DF"/>
    <w:rsid w:val="00C137DF"/>
    <w:rsid w:val="00C13F4C"/>
    <w:rsid w:val="00C14452"/>
    <w:rsid w:val="00C14E26"/>
    <w:rsid w:val="00C157D5"/>
    <w:rsid w:val="00C16B70"/>
    <w:rsid w:val="00C17C11"/>
    <w:rsid w:val="00C20B58"/>
    <w:rsid w:val="00C227F6"/>
    <w:rsid w:val="00C228BE"/>
    <w:rsid w:val="00C22BA7"/>
    <w:rsid w:val="00C23588"/>
    <w:rsid w:val="00C235DA"/>
    <w:rsid w:val="00C23AA0"/>
    <w:rsid w:val="00C23FF2"/>
    <w:rsid w:val="00C24332"/>
    <w:rsid w:val="00C2453A"/>
    <w:rsid w:val="00C249C2"/>
    <w:rsid w:val="00C24ADD"/>
    <w:rsid w:val="00C24ED1"/>
    <w:rsid w:val="00C26150"/>
    <w:rsid w:val="00C2665D"/>
    <w:rsid w:val="00C27768"/>
    <w:rsid w:val="00C27B9B"/>
    <w:rsid w:val="00C30614"/>
    <w:rsid w:val="00C3069E"/>
    <w:rsid w:val="00C30AB9"/>
    <w:rsid w:val="00C30CFC"/>
    <w:rsid w:val="00C31481"/>
    <w:rsid w:val="00C31720"/>
    <w:rsid w:val="00C319AF"/>
    <w:rsid w:val="00C31C71"/>
    <w:rsid w:val="00C32336"/>
    <w:rsid w:val="00C32596"/>
    <w:rsid w:val="00C33255"/>
    <w:rsid w:val="00C3336C"/>
    <w:rsid w:val="00C34D73"/>
    <w:rsid w:val="00C3630A"/>
    <w:rsid w:val="00C36AD0"/>
    <w:rsid w:val="00C37017"/>
    <w:rsid w:val="00C37B29"/>
    <w:rsid w:val="00C40B32"/>
    <w:rsid w:val="00C40B8A"/>
    <w:rsid w:val="00C40C8A"/>
    <w:rsid w:val="00C41026"/>
    <w:rsid w:val="00C42551"/>
    <w:rsid w:val="00C42835"/>
    <w:rsid w:val="00C430D7"/>
    <w:rsid w:val="00C44097"/>
    <w:rsid w:val="00C44350"/>
    <w:rsid w:val="00C44B9A"/>
    <w:rsid w:val="00C453A2"/>
    <w:rsid w:val="00C45E4F"/>
    <w:rsid w:val="00C465C3"/>
    <w:rsid w:val="00C46915"/>
    <w:rsid w:val="00C469F5"/>
    <w:rsid w:val="00C46C73"/>
    <w:rsid w:val="00C46D1F"/>
    <w:rsid w:val="00C47B2B"/>
    <w:rsid w:val="00C47DE7"/>
    <w:rsid w:val="00C47EBE"/>
    <w:rsid w:val="00C504A6"/>
    <w:rsid w:val="00C5057B"/>
    <w:rsid w:val="00C50675"/>
    <w:rsid w:val="00C512B2"/>
    <w:rsid w:val="00C51FBA"/>
    <w:rsid w:val="00C52A23"/>
    <w:rsid w:val="00C52A40"/>
    <w:rsid w:val="00C531B0"/>
    <w:rsid w:val="00C5361F"/>
    <w:rsid w:val="00C538C0"/>
    <w:rsid w:val="00C53986"/>
    <w:rsid w:val="00C53C04"/>
    <w:rsid w:val="00C54308"/>
    <w:rsid w:val="00C5460E"/>
    <w:rsid w:val="00C54A42"/>
    <w:rsid w:val="00C54BF1"/>
    <w:rsid w:val="00C54D8E"/>
    <w:rsid w:val="00C55458"/>
    <w:rsid w:val="00C55A27"/>
    <w:rsid w:val="00C6099C"/>
    <w:rsid w:val="00C60C4D"/>
    <w:rsid w:val="00C60EBF"/>
    <w:rsid w:val="00C61924"/>
    <w:rsid w:val="00C61930"/>
    <w:rsid w:val="00C61E48"/>
    <w:rsid w:val="00C622CE"/>
    <w:rsid w:val="00C62F4D"/>
    <w:rsid w:val="00C63993"/>
    <w:rsid w:val="00C63C34"/>
    <w:rsid w:val="00C64A38"/>
    <w:rsid w:val="00C650C1"/>
    <w:rsid w:val="00C6547E"/>
    <w:rsid w:val="00C66024"/>
    <w:rsid w:val="00C66168"/>
    <w:rsid w:val="00C661A2"/>
    <w:rsid w:val="00C66375"/>
    <w:rsid w:val="00C67177"/>
    <w:rsid w:val="00C67A7A"/>
    <w:rsid w:val="00C708D4"/>
    <w:rsid w:val="00C72385"/>
    <w:rsid w:val="00C725A8"/>
    <w:rsid w:val="00C72BC6"/>
    <w:rsid w:val="00C72D8C"/>
    <w:rsid w:val="00C72DC3"/>
    <w:rsid w:val="00C7322F"/>
    <w:rsid w:val="00C7399B"/>
    <w:rsid w:val="00C743D6"/>
    <w:rsid w:val="00C75334"/>
    <w:rsid w:val="00C765F3"/>
    <w:rsid w:val="00C76DF1"/>
    <w:rsid w:val="00C77D9B"/>
    <w:rsid w:val="00C77DA0"/>
    <w:rsid w:val="00C77DFA"/>
    <w:rsid w:val="00C800F5"/>
    <w:rsid w:val="00C80134"/>
    <w:rsid w:val="00C80430"/>
    <w:rsid w:val="00C8043C"/>
    <w:rsid w:val="00C80A11"/>
    <w:rsid w:val="00C83089"/>
    <w:rsid w:val="00C8326B"/>
    <w:rsid w:val="00C8361A"/>
    <w:rsid w:val="00C83DC1"/>
    <w:rsid w:val="00C84153"/>
    <w:rsid w:val="00C84566"/>
    <w:rsid w:val="00C84628"/>
    <w:rsid w:val="00C84B59"/>
    <w:rsid w:val="00C8574A"/>
    <w:rsid w:val="00C86AEA"/>
    <w:rsid w:val="00C87A0E"/>
    <w:rsid w:val="00C87A24"/>
    <w:rsid w:val="00C914F2"/>
    <w:rsid w:val="00C91F77"/>
    <w:rsid w:val="00C927DD"/>
    <w:rsid w:val="00C9281B"/>
    <w:rsid w:val="00C92ECC"/>
    <w:rsid w:val="00C9379F"/>
    <w:rsid w:val="00C9446C"/>
    <w:rsid w:val="00C94B79"/>
    <w:rsid w:val="00C94BD8"/>
    <w:rsid w:val="00C94C38"/>
    <w:rsid w:val="00C95016"/>
    <w:rsid w:val="00C95D11"/>
    <w:rsid w:val="00C95E5D"/>
    <w:rsid w:val="00C95FC8"/>
    <w:rsid w:val="00C96897"/>
    <w:rsid w:val="00C96BB7"/>
    <w:rsid w:val="00CA04B0"/>
    <w:rsid w:val="00CA10C3"/>
    <w:rsid w:val="00CA12CE"/>
    <w:rsid w:val="00CA152C"/>
    <w:rsid w:val="00CA2069"/>
    <w:rsid w:val="00CA2A9A"/>
    <w:rsid w:val="00CA3591"/>
    <w:rsid w:val="00CA4AB1"/>
    <w:rsid w:val="00CA4F66"/>
    <w:rsid w:val="00CA512C"/>
    <w:rsid w:val="00CA5843"/>
    <w:rsid w:val="00CA5ADF"/>
    <w:rsid w:val="00CA6678"/>
    <w:rsid w:val="00CA6BEC"/>
    <w:rsid w:val="00CA7122"/>
    <w:rsid w:val="00CA73C8"/>
    <w:rsid w:val="00CA746D"/>
    <w:rsid w:val="00CA7908"/>
    <w:rsid w:val="00CA7B90"/>
    <w:rsid w:val="00CA7FFD"/>
    <w:rsid w:val="00CB077F"/>
    <w:rsid w:val="00CB0F9E"/>
    <w:rsid w:val="00CB1922"/>
    <w:rsid w:val="00CB2DBC"/>
    <w:rsid w:val="00CB2FEF"/>
    <w:rsid w:val="00CB3CBC"/>
    <w:rsid w:val="00CB42D5"/>
    <w:rsid w:val="00CB4AC6"/>
    <w:rsid w:val="00CB4B69"/>
    <w:rsid w:val="00CB5DF0"/>
    <w:rsid w:val="00CB5F5F"/>
    <w:rsid w:val="00CB62CF"/>
    <w:rsid w:val="00CB70F0"/>
    <w:rsid w:val="00CB7107"/>
    <w:rsid w:val="00CB75FA"/>
    <w:rsid w:val="00CB7F9D"/>
    <w:rsid w:val="00CB7FDA"/>
    <w:rsid w:val="00CC018B"/>
    <w:rsid w:val="00CC0266"/>
    <w:rsid w:val="00CC0CE5"/>
    <w:rsid w:val="00CC1724"/>
    <w:rsid w:val="00CC19CE"/>
    <w:rsid w:val="00CC1A2E"/>
    <w:rsid w:val="00CC22BF"/>
    <w:rsid w:val="00CC25D7"/>
    <w:rsid w:val="00CC27D4"/>
    <w:rsid w:val="00CC2825"/>
    <w:rsid w:val="00CC2CE0"/>
    <w:rsid w:val="00CC3100"/>
    <w:rsid w:val="00CC36E1"/>
    <w:rsid w:val="00CC3987"/>
    <w:rsid w:val="00CC3A20"/>
    <w:rsid w:val="00CC5334"/>
    <w:rsid w:val="00CC5DBF"/>
    <w:rsid w:val="00CC636B"/>
    <w:rsid w:val="00CC68C9"/>
    <w:rsid w:val="00CC69A5"/>
    <w:rsid w:val="00CC6AF2"/>
    <w:rsid w:val="00CC6F13"/>
    <w:rsid w:val="00CD049D"/>
    <w:rsid w:val="00CD0567"/>
    <w:rsid w:val="00CD0E01"/>
    <w:rsid w:val="00CD1219"/>
    <w:rsid w:val="00CD13BE"/>
    <w:rsid w:val="00CD1CB5"/>
    <w:rsid w:val="00CD25B6"/>
    <w:rsid w:val="00CD2D47"/>
    <w:rsid w:val="00CD2DF4"/>
    <w:rsid w:val="00CD3495"/>
    <w:rsid w:val="00CD39C4"/>
    <w:rsid w:val="00CD3B20"/>
    <w:rsid w:val="00CD4664"/>
    <w:rsid w:val="00CD69DD"/>
    <w:rsid w:val="00CD6ECD"/>
    <w:rsid w:val="00CD6EE8"/>
    <w:rsid w:val="00CD7742"/>
    <w:rsid w:val="00CE0609"/>
    <w:rsid w:val="00CE0DA6"/>
    <w:rsid w:val="00CE145C"/>
    <w:rsid w:val="00CE1B9A"/>
    <w:rsid w:val="00CE24AD"/>
    <w:rsid w:val="00CE2A5F"/>
    <w:rsid w:val="00CE38E0"/>
    <w:rsid w:val="00CE448F"/>
    <w:rsid w:val="00CE5AC5"/>
    <w:rsid w:val="00CE60B3"/>
    <w:rsid w:val="00CE6A86"/>
    <w:rsid w:val="00CE6F90"/>
    <w:rsid w:val="00CE7424"/>
    <w:rsid w:val="00CE7594"/>
    <w:rsid w:val="00CF0930"/>
    <w:rsid w:val="00CF0947"/>
    <w:rsid w:val="00CF099C"/>
    <w:rsid w:val="00CF09D1"/>
    <w:rsid w:val="00CF0E09"/>
    <w:rsid w:val="00CF1000"/>
    <w:rsid w:val="00CF1463"/>
    <w:rsid w:val="00CF19F3"/>
    <w:rsid w:val="00CF1BEA"/>
    <w:rsid w:val="00CF2836"/>
    <w:rsid w:val="00CF3859"/>
    <w:rsid w:val="00CF46A9"/>
    <w:rsid w:val="00CF605B"/>
    <w:rsid w:val="00CF68ED"/>
    <w:rsid w:val="00CF6A59"/>
    <w:rsid w:val="00CF7502"/>
    <w:rsid w:val="00CF76B6"/>
    <w:rsid w:val="00CF7F8C"/>
    <w:rsid w:val="00D00902"/>
    <w:rsid w:val="00D00AA7"/>
    <w:rsid w:val="00D00E28"/>
    <w:rsid w:val="00D01215"/>
    <w:rsid w:val="00D012E3"/>
    <w:rsid w:val="00D02B34"/>
    <w:rsid w:val="00D03247"/>
    <w:rsid w:val="00D03A1A"/>
    <w:rsid w:val="00D03A95"/>
    <w:rsid w:val="00D03C57"/>
    <w:rsid w:val="00D04491"/>
    <w:rsid w:val="00D04B95"/>
    <w:rsid w:val="00D04F6E"/>
    <w:rsid w:val="00D06E04"/>
    <w:rsid w:val="00D072C4"/>
    <w:rsid w:val="00D072C9"/>
    <w:rsid w:val="00D073D4"/>
    <w:rsid w:val="00D07B1E"/>
    <w:rsid w:val="00D10F9B"/>
    <w:rsid w:val="00D11391"/>
    <w:rsid w:val="00D127D4"/>
    <w:rsid w:val="00D127EF"/>
    <w:rsid w:val="00D131DD"/>
    <w:rsid w:val="00D13494"/>
    <w:rsid w:val="00D1367C"/>
    <w:rsid w:val="00D13CA6"/>
    <w:rsid w:val="00D13E25"/>
    <w:rsid w:val="00D1413F"/>
    <w:rsid w:val="00D142BE"/>
    <w:rsid w:val="00D15352"/>
    <w:rsid w:val="00D155B4"/>
    <w:rsid w:val="00D155B6"/>
    <w:rsid w:val="00D15749"/>
    <w:rsid w:val="00D16440"/>
    <w:rsid w:val="00D1669E"/>
    <w:rsid w:val="00D1719E"/>
    <w:rsid w:val="00D172A3"/>
    <w:rsid w:val="00D178EB"/>
    <w:rsid w:val="00D203D6"/>
    <w:rsid w:val="00D2081F"/>
    <w:rsid w:val="00D20A1D"/>
    <w:rsid w:val="00D20D7A"/>
    <w:rsid w:val="00D20E98"/>
    <w:rsid w:val="00D2163B"/>
    <w:rsid w:val="00D21F94"/>
    <w:rsid w:val="00D2224D"/>
    <w:rsid w:val="00D22759"/>
    <w:rsid w:val="00D22C09"/>
    <w:rsid w:val="00D2346E"/>
    <w:rsid w:val="00D2379F"/>
    <w:rsid w:val="00D237EF"/>
    <w:rsid w:val="00D23B88"/>
    <w:rsid w:val="00D23FF8"/>
    <w:rsid w:val="00D24344"/>
    <w:rsid w:val="00D24C2A"/>
    <w:rsid w:val="00D24E10"/>
    <w:rsid w:val="00D24E27"/>
    <w:rsid w:val="00D25353"/>
    <w:rsid w:val="00D257E0"/>
    <w:rsid w:val="00D25BAC"/>
    <w:rsid w:val="00D26513"/>
    <w:rsid w:val="00D2666E"/>
    <w:rsid w:val="00D26A97"/>
    <w:rsid w:val="00D2731E"/>
    <w:rsid w:val="00D27744"/>
    <w:rsid w:val="00D3075B"/>
    <w:rsid w:val="00D31164"/>
    <w:rsid w:val="00D316F7"/>
    <w:rsid w:val="00D31730"/>
    <w:rsid w:val="00D3179C"/>
    <w:rsid w:val="00D31B90"/>
    <w:rsid w:val="00D32B8A"/>
    <w:rsid w:val="00D3306E"/>
    <w:rsid w:val="00D337D6"/>
    <w:rsid w:val="00D33D7E"/>
    <w:rsid w:val="00D34454"/>
    <w:rsid w:val="00D344F0"/>
    <w:rsid w:val="00D34541"/>
    <w:rsid w:val="00D351DE"/>
    <w:rsid w:val="00D3560A"/>
    <w:rsid w:val="00D356DB"/>
    <w:rsid w:val="00D362B5"/>
    <w:rsid w:val="00D362E0"/>
    <w:rsid w:val="00D36EC9"/>
    <w:rsid w:val="00D372E0"/>
    <w:rsid w:val="00D374AF"/>
    <w:rsid w:val="00D377E5"/>
    <w:rsid w:val="00D3797E"/>
    <w:rsid w:val="00D4014B"/>
    <w:rsid w:val="00D4061B"/>
    <w:rsid w:val="00D4146C"/>
    <w:rsid w:val="00D416AB"/>
    <w:rsid w:val="00D42489"/>
    <w:rsid w:val="00D42EF8"/>
    <w:rsid w:val="00D430A8"/>
    <w:rsid w:val="00D435C0"/>
    <w:rsid w:val="00D436EC"/>
    <w:rsid w:val="00D4380C"/>
    <w:rsid w:val="00D44881"/>
    <w:rsid w:val="00D44BB7"/>
    <w:rsid w:val="00D459D5"/>
    <w:rsid w:val="00D45BE9"/>
    <w:rsid w:val="00D45D5E"/>
    <w:rsid w:val="00D465EF"/>
    <w:rsid w:val="00D4669C"/>
    <w:rsid w:val="00D4789B"/>
    <w:rsid w:val="00D47957"/>
    <w:rsid w:val="00D479D7"/>
    <w:rsid w:val="00D501C8"/>
    <w:rsid w:val="00D501EC"/>
    <w:rsid w:val="00D5155B"/>
    <w:rsid w:val="00D52E3F"/>
    <w:rsid w:val="00D52FAF"/>
    <w:rsid w:val="00D5359A"/>
    <w:rsid w:val="00D53C13"/>
    <w:rsid w:val="00D53DF1"/>
    <w:rsid w:val="00D53EF7"/>
    <w:rsid w:val="00D5410E"/>
    <w:rsid w:val="00D545EC"/>
    <w:rsid w:val="00D54B84"/>
    <w:rsid w:val="00D550C5"/>
    <w:rsid w:val="00D55984"/>
    <w:rsid w:val="00D55F85"/>
    <w:rsid w:val="00D56B5C"/>
    <w:rsid w:val="00D56DAF"/>
    <w:rsid w:val="00D577E1"/>
    <w:rsid w:val="00D579AA"/>
    <w:rsid w:val="00D57DF0"/>
    <w:rsid w:val="00D6000D"/>
    <w:rsid w:val="00D604BD"/>
    <w:rsid w:val="00D60D0A"/>
    <w:rsid w:val="00D62BAE"/>
    <w:rsid w:val="00D62E50"/>
    <w:rsid w:val="00D630C1"/>
    <w:rsid w:val="00D6325A"/>
    <w:rsid w:val="00D633CA"/>
    <w:rsid w:val="00D6380E"/>
    <w:rsid w:val="00D638BC"/>
    <w:rsid w:val="00D63E9C"/>
    <w:rsid w:val="00D643A9"/>
    <w:rsid w:val="00D6451F"/>
    <w:rsid w:val="00D64C1E"/>
    <w:rsid w:val="00D652F9"/>
    <w:rsid w:val="00D65A12"/>
    <w:rsid w:val="00D66EE2"/>
    <w:rsid w:val="00D67502"/>
    <w:rsid w:val="00D67C8C"/>
    <w:rsid w:val="00D71504"/>
    <w:rsid w:val="00D71C36"/>
    <w:rsid w:val="00D72E31"/>
    <w:rsid w:val="00D73A7D"/>
    <w:rsid w:val="00D73B01"/>
    <w:rsid w:val="00D73B93"/>
    <w:rsid w:val="00D73EAA"/>
    <w:rsid w:val="00D74CB8"/>
    <w:rsid w:val="00D7544D"/>
    <w:rsid w:val="00D7583D"/>
    <w:rsid w:val="00D77143"/>
    <w:rsid w:val="00D77163"/>
    <w:rsid w:val="00D778DF"/>
    <w:rsid w:val="00D80E7B"/>
    <w:rsid w:val="00D81511"/>
    <w:rsid w:val="00D81732"/>
    <w:rsid w:val="00D819EE"/>
    <w:rsid w:val="00D81A8B"/>
    <w:rsid w:val="00D81C30"/>
    <w:rsid w:val="00D82F97"/>
    <w:rsid w:val="00D839D5"/>
    <w:rsid w:val="00D83BE9"/>
    <w:rsid w:val="00D84181"/>
    <w:rsid w:val="00D8449D"/>
    <w:rsid w:val="00D84647"/>
    <w:rsid w:val="00D84BAD"/>
    <w:rsid w:val="00D85516"/>
    <w:rsid w:val="00D8688B"/>
    <w:rsid w:val="00D86991"/>
    <w:rsid w:val="00D87A6F"/>
    <w:rsid w:val="00D87F82"/>
    <w:rsid w:val="00D92047"/>
    <w:rsid w:val="00D92A82"/>
    <w:rsid w:val="00D92D89"/>
    <w:rsid w:val="00D92F55"/>
    <w:rsid w:val="00D9359A"/>
    <w:rsid w:val="00D939B8"/>
    <w:rsid w:val="00D93EE3"/>
    <w:rsid w:val="00D94094"/>
    <w:rsid w:val="00D9464A"/>
    <w:rsid w:val="00D95F8B"/>
    <w:rsid w:val="00D965D5"/>
    <w:rsid w:val="00D96844"/>
    <w:rsid w:val="00D968ED"/>
    <w:rsid w:val="00D96A0D"/>
    <w:rsid w:val="00D97524"/>
    <w:rsid w:val="00D97896"/>
    <w:rsid w:val="00D97E62"/>
    <w:rsid w:val="00DA02B8"/>
    <w:rsid w:val="00DA0D91"/>
    <w:rsid w:val="00DA10CE"/>
    <w:rsid w:val="00DA1551"/>
    <w:rsid w:val="00DA1BA9"/>
    <w:rsid w:val="00DA25BE"/>
    <w:rsid w:val="00DA27D7"/>
    <w:rsid w:val="00DA2CA9"/>
    <w:rsid w:val="00DA2D3B"/>
    <w:rsid w:val="00DA3112"/>
    <w:rsid w:val="00DA31C0"/>
    <w:rsid w:val="00DA3387"/>
    <w:rsid w:val="00DA33BC"/>
    <w:rsid w:val="00DA366B"/>
    <w:rsid w:val="00DA375E"/>
    <w:rsid w:val="00DA3879"/>
    <w:rsid w:val="00DA420A"/>
    <w:rsid w:val="00DA4635"/>
    <w:rsid w:val="00DA4A7A"/>
    <w:rsid w:val="00DA56FD"/>
    <w:rsid w:val="00DA655F"/>
    <w:rsid w:val="00DA68B5"/>
    <w:rsid w:val="00DA69D2"/>
    <w:rsid w:val="00DA6EF6"/>
    <w:rsid w:val="00DA705E"/>
    <w:rsid w:val="00DA7287"/>
    <w:rsid w:val="00DA76A2"/>
    <w:rsid w:val="00DB05C9"/>
    <w:rsid w:val="00DB093F"/>
    <w:rsid w:val="00DB1047"/>
    <w:rsid w:val="00DB2191"/>
    <w:rsid w:val="00DB2852"/>
    <w:rsid w:val="00DB3054"/>
    <w:rsid w:val="00DB4AFC"/>
    <w:rsid w:val="00DB6013"/>
    <w:rsid w:val="00DB64E4"/>
    <w:rsid w:val="00DB7AE7"/>
    <w:rsid w:val="00DC00A7"/>
    <w:rsid w:val="00DC0194"/>
    <w:rsid w:val="00DC03E4"/>
    <w:rsid w:val="00DC0F3E"/>
    <w:rsid w:val="00DC206F"/>
    <w:rsid w:val="00DC29DD"/>
    <w:rsid w:val="00DC31EB"/>
    <w:rsid w:val="00DC33C0"/>
    <w:rsid w:val="00DC3D7E"/>
    <w:rsid w:val="00DC543F"/>
    <w:rsid w:val="00DC5BA2"/>
    <w:rsid w:val="00DC68B7"/>
    <w:rsid w:val="00DC6A88"/>
    <w:rsid w:val="00DC7104"/>
    <w:rsid w:val="00DC7767"/>
    <w:rsid w:val="00DC7E44"/>
    <w:rsid w:val="00DD006B"/>
    <w:rsid w:val="00DD0B00"/>
    <w:rsid w:val="00DD1314"/>
    <w:rsid w:val="00DD1B1A"/>
    <w:rsid w:val="00DD3003"/>
    <w:rsid w:val="00DD3600"/>
    <w:rsid w:val="00DD3EAD"/>
    <w:rsid w:val="00DD483D"/>
    <w:rsid w:val="00DD4D3C"/>
    <w:rsid w:val="00DD50EC"/>
    <w:rsid w:val="00DD5249"/>
    <w:rsid w:val="00DD54F2"/>
    <w:rsid w:val="00DD586B"/>
    <w:rsid w:val="00DD5F38"/>
    <w:rsid w:val="00DD6386"/>
    <w:rsid w:val="00DD69C2"/>
    <w:rsid w:val="00DE01F6"/>
    <w:rsid w:val="00DE05E0"/>
    <w:rsid w:val="00DE0711"/>
    <w:rsid w:val="00DE0A92"/>
    <w:rsid w:val="00DE0CEC"/>
    <w:rsid w:val="00DE14AA"/>
    <w:rsid w:val="00DE1D7E"/>
    <w:rsid w:val="00DE1E7C"/>
    <w:rsid w:val="00DE21E1"/>
    <w:rsid w:val="00DE2A03"/>
    <w:rsid w:val="00DE2E11"/>
    <w:rsid w:val="00DE4D30"/>
    <w:rsid w:val="00DE552C"/>
    <w:rsid w:val="00DE59AF"/>
    <w:rsid w:val="00DE6756"/>
    <w:rsid w:val="00DE6A84"/>
    <w:rsid w:val="00DE6BFC"/>
    <w:rsid w:val="00DE7142"/>
    <w:rsid w:val="00DE71D7"/>
    <w:rsid w:val="00DE79DB"/>
    <w:rsid w:val="00DF01A0"/>
    <w:rsid w:val="00DF0655"/>
    <w:rsid w:val="00DF0A5D"/>
    <w:rsid w:val="00DF0A85"/>
    <w:rsid w:val="00DF0ADA"/>
    <w:rsid w:val="00DF0D8A"/>
    <w:rsid w:val="00DF11A5"/>
    <w:rsid w:val="00DF134B"/>
    <w:rsid w:val="00DF171E"/>
    <w:rsid w:val="00DF1807"/>
    <w:rsid w:val="00DF1EFD"/>
    <w:rsid w:val="00DF1FD8"/>
    <w:rsid w:val="00DF2186"/>
    <w:rsid w:val="00DF22EA"/>
    <w:rsid w:val="00DF26D2"/>
    <w:rsid w:val="00DF377A"/>
    <w:rsid w:val="00DF395C"/>
    <w:rsid w:val="00DF3B68"/>
    <w:rsid w:val="00DF3DE4"/>
    <w:rsid w:val="00DF3FBB"/>
    <w:rsid w:val="00DF4143"/>
    <w:rsid w:val="00DF4396"/>
    <w:rsid w:val="00DF4B47"/>
    <w:rsid w:val="00DF505C"/>
    <w:rsid w:val="00DF50E6"/>
    <w:rsid w:val="00DF52B1"/>
    <w:rsid w:val="00DF5338"/>
    <w:rsid w:val="00DF7024"/>
    <w:rsid w:val="00DF732A"/>
    <w:rsid w:val="00DF76E3"/>
    <w:rsid w:val="00E00335"/>
    <w:rsid w:val="00E006E7"/>
    <w:rsid w:val="00E0095D"/>
    <w:rsid w:val="00E01672"/>
    <w:rsid w:val="00E01765"/>
    <w:rsid w:val="00E018F4"/>
    <w:rsid w:val="00E01934"/>
    <w:rsid w:val="00E01938"/>
    <w:rsid w:val="00E032D2"/>
    <w:rsid w:val="00E03343"/>
    <w:rsid w:val="00E040C9"/>
    <w:rsid w:val="00E05224"/>
    <w:rsid w:val="00E0532C"/>
    <w:rsid w:val="00E0562A"/>
    <w:rsid w:val="00E05A66"/>
    <w:rsid w:val="00E05D7E"/>
    <w:rsid w:val="00E05E03"/>
    <w:rsid w:val="00E06344"/>
    <w:rsid w:val="00E0638F"/>
    <w:rsid w:val="00E0671E"/>
    <w:rsid w:val="00E06811"/>
    <w:rsid w:val="00E06A36"/>
    <w:rsid w:val="00E07686"/>
    <w:rsid w:val="00E07F7F"/>
    <w:rsid w:val="00E1054F"/>
    <w:rsid w:val="00E10E94"/>
    <w:rsid w:val="00E11022"/>
    <w:rsid w:val="00E11604"/>
    <w:rsid w:val="00E11AC4"/>
    <w:rsid w:val="00E122AC"/>
    <w:rsid w:val="00E13E08"/>
    <w:rsid w:val="00E13E8E"/>
    <w:rsid w:val="00E14481"/>
    <w:rsid w:val="00E153BA"/>
    <w:rsid w:val="00E1549D"/>
    <w:rsid w:val="00E15978"/>
    <w:rsid w:val="00E15C45"/>
    <w:rsid w:val="00E16298"/>
    <w:rsid w:val="00E1693B"/>
    <w:rsid w:val="00E16AA0"/>
    <w:rsid w:val="00E1763C"/>
    <w:rsid w:val="00E17E1F"/>
    <w:rsid w:val="00E217B5"/>
    <w:rsid w:val="00E2185F"/>
    <w:rsid w:val="00E23173"/>
    <w:rsid w:val="00E239F3"/>
    <w:rsid w:val="00E23B4A"/>
    <w:rsid w:val="00E23B9F"/>
    <w:rsid w:val="00E23E05"/>
    <w:rsid w:val="00E244AA"/>
    <w:rsid w:val="00E24CB5"/>
    <w:rsid w:val="00E2516F"/>
    <w:rsid w:val="00E258FA"/>
    <w:rsid w:val="00E25B23"/>
    <w:rsid w:val="00E26142"/>
    <w:rsid w:val="00E26255"/>
    <w:rsid w:val="00E268AC"/>
    <w:rsid w:val="00E27B0C"/>
    <w:rsid w:val="00E27B9D"/>
    <w:rsid w:val="00E306F8"/>
    <w:rsid w:val="00E30A29"/>
    <w:rsid w:val="00E30AFF"/>
    <w:rsid w:val="00E30F3C"/>
    <w:rsid w:val="00E3212B"/>
    <w:rsid w:val="00E322EE"/>
    <w:rsid w:val="00E32D9C"/>
    <w:rsid w:val="00E32E5F"/>
    <w:rsid w:val="00E33444"/>
    <w:rsid w:val="00E3361F"/>
    <w:rsid w:val="00E3379D"/>
    <w:rsid w:val="00E33920"/>
    <w:rsid w:val="00E33955"/>
    <w:rsid w:val="00E33E03"/>
    <w:rsid w:val="00E346E5"/>
    <w:rsid w:val="00E350E5"/>
    <w:rsid w:val="00E353FD"/>
    <w:rsid w:val="00E35850"/>
    <w:rsid w:val="00E360EF"/>
    <w:rsid w:val="00E365C5"/>
    <w:rsid w:val="00E36837"/>
    <w:rsid w:val="00E36891"/>
    <w:rsid w:val="00E37697"/>
    <w:rsid w:val="00E37BDE"/>
    <w:rsid w:val="00E400CC"/>
    <w:rsid w:val="00E4072D"/>
    <w:rsid w:val="00E4083C"/>
    <w:rsid w:val="00E40DAC"/>
    <w:rsid w:val="00E41435"/>
    <w:rsid w:val="00E41A56"/>
    <w:rsid w:val="00E41B6C"/>
    <w:rsid w:val="00E41BF0"/>
    <w:rsid w:val="00E41C88"/>
    <w:rsid w:val="00E41FE4"/>
    <w:rsid w:val="00E42FD6"/>
    <w:rsid w:val="00E438F8"/>
    <w:rsid w:val="00E4416F"/>
    <w:rsid w:val="00E44F86"/>
    <w:rsid w:val="00E453EC"/>
    <w:rsid w:val="00E4678F"/>
    <w:rsid w:val="00E467B5"/>
    <w:rsid w:val="00E46876"/>
    <w:rsid w:val="00E46A0C"/>
    <w:rsid w:val="00E46B29"/>
    <w:rsid w:val="00E46D40"/>
    <w:rsid w:val="00E46EFA"/>
    <w:rsid w:val="00E4727E"/>
    <w:rsid w:val="00E4759B"/>
    <w:rsid w:val="00E476AF"/>
    <w:rsid w:val="00E50131"/>
    <w:rsid w:val="00E5015A"/>
    <w:rsid w:val="00E501EF"/>
    <w:rsid w:val="00E5039D"/>
    <w:rsid w:val="00E50C8F"/>
    <w:rsid w:val="00E51122"/>
    <w:rsid w:val="00E51398"/>
    <w:rsid w:val="00E514FC"/>
    <w:rsid w:val="00E519A6"/>
    <w:rsid w:val="00E52B06"/>
    <w:rsid w:val="00E5361C"/>
    <w:rsid w:val="00E54628"/>
    <w:rsid w:val="00E548AA"/>
    <w:rsid w:val="00E54FC0"/>
    <w:rsid w:val="00E5553B"/>
    <w:rsid w:val="00E55A22"/>
    <w:rsid w:val="00E55DFE"/>
    <w:rsid w:val="00E576CC"/>
    <w:rsid w:val="00E603ED"/>
    <w:rsid w:val="00E60651"/>
    <w:rsid w:val="00E60A11"/>
    <w:rsid w:val="00E60F9D"/>
    <w:rsid w:val="00E612AA"/>
    <w:rsid w:val="00E613FD"/>
    <w:rsid w:val="00E61C81"/>
    <w:rsid w:val="00E61F1F"/>
    <w:rsid w:val="00E621B3"/>
    <w:rsid w:val="00E62713"/>
    <w:rsid w:val="00E62826"/>
    <w:rsid w:val="00E62AC3"/>
    <w:rsid w:val="00E636FC"/>
    <w:rsid w:val="00E63755"/>
    <w:rsid w:val="00E63D77"/>
    <w:rsid w:val="00E641D5"/>
    <w:rsid w:val="00E64558"/>
    <w:rsid w:val="00E6594A"/>
    <w:rsid w:val="00E65E32"/>
    <w:rsid w:val="00E65EA9"/>
    <w:rsid w:val="00E66A0E"/>
    <w:rsid w:val="00E66E41"/>
    <w:rsid w:val="00E67AD9"/>
    <w:rsid w:val="00E67C6E"/>
    <w:rsid w:val="00E67D57"/>
    <w:rsid w:val="00E70537"/>
    <w:rsid w:val="00E71833"/>
    <w:rsid w:val="00E7183C"/>
    <w:rsid w:val="00E71EEA"/>
    <w:rsid w:val="00E7242F"/>
    <w:rsid w:val="00E729BB"/>
    <w:rsid w:val="00E7335D"/>
    <w:rsid w:val="00E7350A"/>
    <w:rsid w:val="00E73C5C"/>
    <w:rsid w:val="00E73EE4"/>
    <w:rsid w:val="00E747B5"/>
    <w:rsid w:val="00E74EF5"/>
    <w:rsid w:val="00E755DE"/>
    <w:rsid w:val="00E7577D"/>
    <w:rsid w:val="00E75FFA"/>
    <w:rsid w:val="00E769AD"/>
    <w:rsid w:val="00E76AA3"/>
    <w:rsid w:val="00E76D10"/>
    <w:rsid w:val="00E77053"/>
    <w:rsid w:val="00E77219"/>
    <w:rsid w:val="00E7736E"/>
    <w:rsid w:val="00E777E7"/>
    <w:rsid w:val="00E77CC6"/>
    <w:rsid w:val="00E77DE3"/>
    <w:rsid w:val="00E80F99"/>
    <w:rsid w:val="00E81118"/>
    <w:rsid w:val="00E81387"/>
    <w:rsid w:val="00E81662"/>
    <w:rsid w:val="00E81AD5"/>
    <w:rsid w:val="00E8206D"/>
    <w:rsid w:val="00E82319"/>
    <w:rsid w:val="00E828C9"/>
    <w:rsid w:val="00E836FD"/>
    <w:rsid w:val="00E849C9"/>
    <w:rsid w:val="00E85222"/>
    <w:rsid w:val="00E866E8"/>
    <w:rsid w:val="00E872A9"/>
    <w:rsid w:val="00E87BC0"/>
    <w:rsid w:val="00E9012B"/>
    <w:rsid w:val="00E90AE8"/>
    <w:rsid w:val="00E90F5F"/>
    <w:rsid w:val="00E915C2"/>
    <w:rsid w:val="00E91895"/>
    <w:rsid w:val="00E92321"/>
    <w:rsid w:val="00E92D85"/>
    <w:rsid w:val="00E9301A"/>
    <w:rsid w:val="00E93761"/>
    <w:rsid w:val="00E93E67"/>
    <w:rsid w:val="00E9514B"/>
    <w:rsid w:val="00E9514F"/>
    <w:rsid w:val="00E952D5"/>
    <w:rsid w:val="00E95443"/>
    <w:rsid w:val="00E9628C"/>
    <w:rsid w:val="00E964BD"/>
    <w:rsid w:val="00E96572"/>
    <w:rsid w:val="00E96C7D"/>
    <w:rsid w:val="00E96F83"/>
    <w:rsid w:val="00E96FF0"/>
    <w:rsid w:val="00E97206"/>
    <w:rsid w:val="00E97C77"/>
    <w:rsid w:val="00E97E71"/>
    <w:rsid w:val="00E97F00"/>
    <w:rsid w:val="00EA04E2"/>
    <w:rsid w:val="00EA0BC1"/>
    <w:rsid w:val="00EA0FED"/>
    <w:rsid w:val="00EA1110"/>
    <w:rsid w:val="00EA147B"/>
    <w:rsid w:val="00EA160E"/>
    <w:rsid w:val="00EA16DE"/>
    <w:rsid w:val="00EA23A4"/>
    <w:rsid w:val="00EA2B5D"/>
    <w:rsid w:val="00EA3270"/>
    <w:rsid w:val="00EA3892"/>
    <w:rsid w:val="00EA44EF"/>
    <w:rsid w:val="00EA56E3"/>
    <w:rsid w:val="00EA595E"/>
    <w:rsid w:val="00EA6F6E"/>
    <w:rsid w:val="00EA7274"/>
    <w:rsid w:val="00EA7830"/>
    <w:rsid w:val="00EB01B6"/>
    <w:rsid w:val="00EB03C4"/>
    <w:rsid w:val="00EB0413"/>
    <w:rsid w:val="00EB09AB"/>
    <w:rsid w:val="00EB0AE4"/>
    <w:rsid w:val="00EB0D54"/>
    <w:rsid w:val="00EB152F"/>
    <w:rsid w:val="00EB19EC"/>
    <w:rsid w:val="00EB232A"/>
    <w:rsid w:val="00EB25F7"/>
    <w:rsid w:val="00EB2F1E"/>
    <w:rsid w:val="00EB3E13"/>
    <w:rsid w:val="00EB48A0"/>
    <w:rsid w:val="00EB48B1"/>
    <w:rsid w:val="00EB4D87"/>
    <w:rsid w:val="00EB5444"/>
    <w:rsid w:val="00EB62E9"/>
    <w:rsid w:val="00EB653D"/>
    <w:rsid w:val="00EB685F"/>
    <w:rsid w:val="00EB6A9A"/>
    <w:rsid w:val="00EB7618"/>
    <w:rsid w:val="00EC04FF"/>
    <w:rsid w:val="00EC0910"/>
    <w:rsid w:val="00EC1235"/>
    <w:rsid w:val="00EC130C"/>
    <w:rsid w:val="00EC20D7"/>
    <w:rsid w:val="00EC2E99"/>
    <w:rsid w:val="00EC2EB1"/>
    <w:rsid w:val="00EC3C20"/>
    <w:rsid w:val="00EC3E52"/>
    <w:rsid w:val="00EC4145"/>
    <w:rsid w:val="00EC4CBB"/>
    <w:rsid w:val="00EC4FA2"/>
    <w:rsid w:val="00EC54E0"/>
    <w:rsid w:val="00EC57C9"/>
    <w:rsid w:val="00EC5900"/>
    <w:rsid w:val="00EC68C7"/>
    <w:rsid w:val="00EC70D9"/>
    <w:rsid w:val="00EC7158"/>
    <w:rsid w:val="00ED06F8"/>
    <w:rsid w:val="00ED1E25"/>
    <w:rsid w:val="00ED25F9"/>
    <w:rsid w:val="00ED29C0"/>
    <w:rsid w:val="00ED3C1C"/>
    <w:rsid w:val="00ED458E"/>
    <w:rsid w:val="00ED4C03"/>
    <w:rsid w:val="00ED5573"/>
    <w:rsid w:val="00ED5727"/>
    <w:rsid w:val="00ED5B52"/>
    <w:rsid w:val="00ED6066"/>
    <w:rsid w:val="00ED6727"/>
    <w:rsid w:val="00ED6903"/>
    <w:rsid w:val="00ED6F8B"/>
    <w:rsid w:val="00ED74C6"/>
    <w:rsid w:val="00ED7D5F"/>
    <w:rsid w:val="00EE045B"/>
    <w:rsid w:val="00EE0F52"/>
    <w:rsid w:val="00EE10E1"/>
    <w:rsid w:val="00EE16FE"/>
    <w:rsid w:val="00EE2039"/>
    <w:rsid w:val="00EE30D3"/>
    <w:rsid w:val="00EE3DA9"/>
    <w:rsid w:val="00EE48A2"/>
    <w:rsid w:val="00EE4A0C"/>
    <w:rsid w:val="00EE4B40"/>
    <w:rsid w:val="00EE5FC1"/>
    <w:rsid w:val="00EE7577"/>
    <w:rsid w:val="00EF01A3"/>
    <w:rsid w:val="00EF0684"/>
    <w:rsid w:val="00EF07A0"/>
    <w:rsid w:val="00EF07D6"/>
    <w:rsid w:val="00EF166C"/>
    <w:rsid w:val="00EF18D6"/>
    <w:rsid w:val="00EF2F80"/>
    <w:rsid w:val="00EF2F95"/>
    <w:rsid w:val="00EF4670"/>
    <w:rsid w:val="00EF483B"/>
    <w:rsid w:val="00EF4A8E"/>
    <w:rsid w:val="00EF4BC7"/>
    <w:rsid w:val="00EF4D3F"/>
    <w:rsid w:val="00EF4D93"/>
    <w:rsid w:val="00EF5BA2"/>
    <w:rsid w:val="00EF5C3A"/>
    <w:rsid w:val="00EF5D17"/>
    <w:rsid w:val="00EF600E"/>
    <w:rsid w:val="00EF6606"/>
    <w:rsid w:val="00EF6B5B"/>
    <w:rsid w:val="00EF7A35"/>
    <w:rsid w:val="00F00747"/>
    <w:rsid w:val="00F00A75"/>
    <w:rsid w:val="00F00C78"/>
    <w:rsid w:val="00F01973"/>
    <w:rsid w:val="00F023DE"/>
    <w:rsid w:val="00F026B5"/>
    <w:rsid w:val="00F03032"/>
    <w:rsid w:val="00F032EC"/>
    <w:rsid w:val="00F03422"/>
    <w:rsid w:val="00F03550"/>
    <w:rsid w:val="00F03C44"/>
    <w:rsid w:val="00F03C83"/>
    <w:rsid w:val="00F0406A"/>
    <w:rsid w:val="00F06746"/>
    <w:rsid w:val="00F06B78"/>
    <w:rsid w:val="00F07BD1"/>
    <w:rsid w:val="00F07F06"/>
    <w:rsid w:val="00F102A9"/>
    <w:rsid w:val="00F10878"/>
    <w:rsid w:val="00F10D9F"/>
    <w:rsid w:val="00F11734"/>
    <w:rsid w:val="00F1280B"/>
    <w:rsid w:val="00F12A39"/>
    <w:rsid w:val="00F134BB"/>
    <w:rsid w:val="00F1370D"/>
    <w:rsid w:val="00F14623"/>
    <w:rsid w:val="00F14F35"/>
    <w:rsid w:val="00F15006"/>
    <w:rsid w:val="00F15E12"/>
    <w:rsid w:val="00F162C5"/>
    <w:rsid w:val="00F16981"/>
    <w:rsid w:val="00F16F75"/>
    <w:rsid w:val="00F1717C"/>
    <w:rsid w:val="00F1757C"/>
    <w:rsid w:val="00F175B9"/>
    <w:rsid w:val="00F2024E"/>
    <w:rsid w:val="00F216AE"/>
    <w:rsid w:val="00F22D24"/>
    <w:rsid w:val="00F242FD"/>
    <w:rsid w:val="00F2444A"/>
    <w:rsid w:val="00F24603"/>
    <w:rsid w:val="00F25CA6"/>
    <w:rsid w:val="00F25F2C"/>
    <w:rsid w:val="00F261A2"/>
    <w:rsid w:val="00F261AA"/>
    <w:rsid w:val="00F27580"/>
    <w:rsid w:val="00F2776E"/>
    <w:rsid w:val="00F278AA"/>
    <w:rsid w:val="00F306A1"/>
    <w:rsid w:val="00F30D73"/>
    <w:rsid w:val="00F31E9C"/>
    <w:rsid w:val="00F32F45"/>
    <w:rsid w:val="00F33524"/>
    <w:rsid w:val="00F339A2"/>
    <w:rsid w:val="00F34B25"/>
    <w:rsid w:val="00F34B4F"/>
    <w:rsid w:val="00F34D9C"/>
    <w:rsid w:val="00F35175"/>
    <w:rsid w:val="00F35351"/>
    <w:rsid w:val="00F3564F"/>
    <w:rsid w:val="00F363FE"/>
    <w:rsid w:val="00F36475"/>
    <w:rsid w:val="00F36A4C"/>
    <w:rsid w:val="00F3733C"/>
    <w:rsid w:val="00F40704"/>
    <w:rsid w:val="00F4092C"/>
    <w:rsid w:val="00F41662"/>
    <w:rsid w:val="00F417FA"/>
    <w:rsid w:val="00F41BA2"/>
    <w:rsid w:val="00F41D2A"/>
    <w:rsid w:val="00F421D2"/>
    <w:rsid w:val="00F4247D"/>
    <w:rsid w:val="00F42524"/>
    <w:rsid w:val="00F43C49"/>
    <w:rsid w:val="00F445BE"/>
    <w:rsid w:val="00F4492C"/>
    <w:rsid w:val="00F458F8"/>
    <w:rsid w:val="00F45E61"/>
    <w:rsid w:val="00F4606F"/>
    <w:rsid w:val="00F46C04"/>
    <w:rsid w:val="00F47A02"/>
    <w:rsid w:val="00F50804"/>
    <w:rsid w:val="00F50A9A"/>
    <w:rsid w:val="00F50CC3"/>
    <w:rsid w:val="00F50E66"/>
    <w:rsid w:val="00F50E83"/>
    <w:rsid w:val="00F5185C"/>
    <w:rsid w:val="00F52DC8"/>
    <w:rsid w:val="00F53028"/>
    <w:rsid w:val="00F53380"/>
    <w:rsid w:val="00F53B28"/>
    <w:rsid w:val="00F54274"/>
    <w:rsid w:val="00F545D6"/>
    <w:rsid w:val="00F54870"/>
    <w:rsid w:val="00F54986"/>
    <w:rsid w:val="00F54D71"/>
    <w:rsid w:val="00F54F39"/>
    <w:rsid w:val="00F55059"/>
    <w:rsid w:val="00F5552A"/>
    <w:rsid w:val="00F557CC"/>
    <w:rsid w:val="00F55866"/>
    <w:rsid w:val="00F56340"/>
    <w:rsid w:val="00F56868"/>
    <w:rsid w:val="00F56A02"/>
    <w:rsid w:val="00F5717B"/>
    <w:rsid w:val="00F57526"/>
    <w:rsid w:val="00F57C7C"/>
    <w:rsid w:val="00F60961"/>
    <w:rsid w:val="00F60FB8"/>
    <w:rsid w:val="00F60FF4"/>
    <w:rsid w:val="00F610DE"/>
    <w:rsid w:val="00F61789"/>
    <w:rsid w:val="00F61C53"/>
    <w:rsid w:val="00F62A06"/>
    <w:rsid w:val="00F62C44"/>
    <w:rsid w:val="00F63A56"/>
    <w:rsid w:val="00F64581"/>
    <w:rsid w:val="00F64A53"/>
    <w:rsid w:val="00F66783"/>
    <w:rsid w:val="00F66BFB"/>
    <w:rsid w:val="00F66C6B"/>
    <w:rsid w:val="00F66FC7"/>
    <w:rsid w:val="00F67488"/>
    <w:rsid w:val="00F704A9"/>
    <w:rsid w:val="00F706B0"/>
    <w:rsid w:val="00F708A1"/>
    <w:rsid w:val="00F7159C"/>
    <w:rsid w:val="00F7164A"/>
    <w:rsid w:val="00F7173E"/>
    <w:rsid w:val="00F73031"/>
    <w:rsid w:val="00F730D7"/>
    <w:rsid w:val="00F73409"/>
    <w:rsid w:val="00F734B6"/>
    <w:rsid w:val="00F74923"/>
    <w:rsid w:val="00F74F2B"/>
    <w:rsid w:val="00F759AE"/>
    <w:rsid w:val="00F761BF"/>
    <w:rsid w:val="00F76438"/>
    <w:rsid w:val="00F76830"/>
    <w:rsid w:val="00F7758B"/>
    <w:rsid w:val="00F77E87"/>
    <w:rsid w:val="00F8104A"/>
    <w:rsid w:val="00F81D3C"/>
    <w:rsid w:val="00F8268A"/>
    <w:rsid w:val="00F826CF"/>
    <w:rsid w:val="00F82E1D"/>
    <w:rsid w:val="00F8466E"/>
    <w:rsid w:val="00F846C8"/>
    <w:rsid w:val="00F85F9B"/>
    <w:rsid w:val="00F862A6"/>
    <w:rsid w:val="00F8684B"/>
    <w:rsid w:val="00F875AD"/>
    <w:rsid w:val="00F87836"/>
    <w:rsid w:val="00F87CE3"/>
    <w:rsid w:val="00F90090"/>
    <w:rsid w:val="00F908B8"/>
    <w:rsid w:val="00F90911"/>
    <w:rsid w:val="00F90E3A"/>
    <w:rsid w:val="00F9167B"/>
    <w:rsid w:val="00F9218C"/>
    <w:rsid w:val="00F925B0"/>
    <w:rsid w:val="00F929FC"/>
    <w:rsid w:val="00F92F7E"/>
    <w:rsid w:val="00F93311"/>
    <w:rsid w:val="00F93BE6"/>
    <w:rsid w:val="00F93D65"/>
    <w:rsid w:val="00F94417"/>
    <w:rsid w:val="00F9473A"/>
    <w:rsid w:val="00F94805"/>
    <w:rsid w:val="00F949FD"/>
    <w:rsid w:val="00F951FA"/>
    <w:rsid w:val="00F9580E"/>
    <w:rsid w:val="00F962B2"/>
    <w:rsid w:val="00F970FF"/>
    <w:rsid w:val="00F97531"/>
    <w:rsid w:val="00F97F83"/>
    <w:rsid w:val="00FA0DEB"/>
    <w:rsid w:val="00FA1497"/>
    <w:rsid w:val="00FA3385"/>
    <w:rsid w:val="00FA41EB"/>
    <w:rsid w:val="00FA4324"/>
    <w:rsid w:val="00FA516D"/>
    <w:rsid w:val="00FA525B"/>
    <w:rsid w:val="00FA61BD"/>
    <w:rsid w:val="00FA6DD4"/>
    <w:rsid w:val="00FA7C5E"/>
    <w:rsid w:val="00FB00E3"/>
    <w:rsid w:val="00FB0397"/>
    <w:rsid w:val="00FB0D45"/>
    <w:rsid w:val="00FB1370"/>
    <w:rsid w:val="00FB155B"/>
    <w:rsid w:val="00FB185B"/>
    <w:rsid w:val="00FB19EA"/>
    <w:rsid w:val="00FB20AC"/>
    <w:rsid w:val="00FB25AD"/>
    <w:rsid w:val="00FB3279"/>
    <w:rsid w:val="00FB330D"/>
    <w:rsid w:val="00FB3B0D"/>
    <w:rsid w:val="00FB3B78"/>
    <w:rsid w:val="00FB4AA9"/>
    <w:rsid w:val="00FB50FE"/>
    <w:rsid w:val="00FB71C8"/>
    <w:rsid w:val="00FB76D0"/>
    <w:rsid w:val="00FB7851"/>
    <w:rsid w:val="00FB7A7E"/>
    <w:rsid w:val="00FC028A"/>
    <w:rsid w:val="00FC106F"/>
    <w:rsid w:val="00FC1AD1"/>
    <w:rsid w:val="00FC21D3"/>
    <w:rsid w:val="00FC2F4D"/>
    <w:rsid w:val="00FC331B"/>
    <w:rsid w:val="00FC3CEC"/>
    <w:rsid w:val="00FC4473"/>
    <w:rsid w:val="00FC4558"/>
    <w:rsid w:val="00FC48CC"/>
    <w:rsid w:val="00FC4F6E"/>
    <w:rsid w:val="00FC50BE"/>
    <w:rsid w:val="00FC5C76"/>
    <w:rsid w:val="00FC5C95"/>
    <w:rsid w:val="00FC5E75"/>
    <w:rsid w:val="00FC7085"/>
    <w:rsid w:val="00FC72A1"/>
    <w:rsid w:val="00FC7BEC"/>
    <w:rsid w:val="00FC7F1F"/>
    <w:rsid w:val="00FD0155"/>
    <w:rsid w:val="00FD01DF"/>
    <w:rsid w:val="00FD097D"/>
    <w:rsid w:val="00FD0995"/>
    <w:rsid w:val="00FD1225"/>
    <w:rsid w:val="00FD15A9"/>
    <w:rsid w:val="00FD23A2"/>
    <w:rsid w:val="00FD24C3"/>
    <w:rsid w:val="00FD2AD4"/>
    <w:rsid w:val="00FD2DBB"/>
    <w:rsid w:val="00FD2E80"/>
    <w:rsid w:val="00FD3464"/>
    <w:rsid w:val="00FD3690"/>
    <w:rsid w:val="00FD3962"/>
    <w:rsid w:val="00FD3C3F"/>
    <w:rsid w:val="00FD3F44"/>
    <w:rsid w:val="00FD405A"/>
    <w:rsid w:val="00FD48AE"/>
    <w:rsid w:val="00FD497B"/>
    <w:rsid w:val="00FD4D94"/>
    <w:rsid w:val="00FD585C"/>
    <w:rsid w:val="00FD5DAC"/>
    <w:rsid w:val="00FD6B33"/>
    <w:rsid w:val="00FD700E"/>
    <w:rsid w:val="00FD725D"/>
    <w:rsid w:val="00FD72A6"/>
    <w:rsid w:val="00FD73B5"/>
    <w:rsid w:val="00FD757D"/>
    <w:rsid w:val="00FD7B20"/>
    <w:rsid w:val="00FD7C15"/>
    <w:rsid w:val="00FE004C"/>
    <w:rsid w:val="00FE0238"/>
    <w:rsid w:val="00FE0529"/>
    <w:rsid w:val="00FE054D"/>
    <w:rsid w:val="00FE0DA6"/>
    <w:rsid w:val="00FE1BFC"/>
    <w:rsid w:val="00FE1FA4"/>
    <w:rsid w:val="00FE2E29"/>
    <w:rsid w:val="00FE2E41"/>
    <w:rsid w:val="00FE3A87"/>
    <w:rsid w:val="00FE4941"/>
    <w:rsid w:val="00FE4E10"/>
    <w:rsid w:val="00FE5CD3"/>
    <w:rsid w:val="00FE5CD6"/>
    <w:rsid w:val="00FE5CEE"/>
    <w:rsid w:val="00FE5E18"/>
    <w:rsid w:val="00FE640F"/>
    <w:rsid w:val="00FE661B"/>
    <w:rsid w:val="00FE673B"/>
    <w:rsid w:val="00FE6B5F"/>
    <w:rsid w:val="00FE74FA"/>
    <w:rsid w:val="00FE76C1"/>
    <w:rsid w:val="00FE7891"/>
    <w:rsid w:val="00FE78AE"/>
    <w:rsid w:val="00FE7CD1"/>
    <w:rsid w:val="00FF0559"/>
    <w:rsid w:val="00FF0DAC"/>
    <w:rsid w:val="00FF21A1"/>
    <w:rsid w:val="00FF2A48"/>
    <w:rsid w:val="00FF2CD0"/>
    <w:rsid w:val="00FF3B22"/>
    <w:rsid w:val="00FF47CF"/>
    <w:rsid w:val="00FF4AC7"/>
    <w:rsid w:val="00FF4F84"/>
    <w:rsid w:val="00FF5C9E"/>
    <w:rsid w:val="00FF67BC"/>
    <w:rsid w:val="00FF68F3"/>
    <w:rsid w:val="00FF6C18"/>
    <w:rsid w:val="00FF6C9C"/>
    <w:rsid w:val="00FF6DA9"/>
    <w:rsid w:val="00FF71CC"/>
    <w:rsid w:val="00FF79AF"/>
    <w:rsid w:val="00FF7BAE"/>
    <w:rsid w:val="2C4D2C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50DE211"/>
  <w15:docId w15:val="{BF06F5D1-959C-4E9C-9B54-6CC0ABB873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qFormat="1"/>
    <w:lsdException w:name="index 2" w:semiHidden="1" w:unhideWhenUsed="1" w:qFormat="1"/>
    <w:lsdException w:name="index 3" w:semiHidden="1" w:unhideWhenUsed="1" w:qFormat="1"/>
    <w:lsdException w:name="index 4" w:semiHidden="1" w:unhideWhenUsed="1" w:qFormat="1"/>
    <w:lsdException w:name="index 5" w:semiHidden="1" w:unhideWhenUsed="1" w:qFormat="1"/>
    <w:lsdException w:name="index 6" w:semiHidden="1" w:unhideWhenUsed="1" w:qFormat="1"/>
    <w:lsdException w:name="index 7" w:semiHidden="1" w:unhideWhenUsed="1" w:qFormat="1"/>
    <w:lsdException w:name="index 8" w:semiHidden="1" w:unhideWhenUsed="1" w:qFormat="1"/>
    <w:lsdException w:name="index 9" w:semiHidden="1" w:unhideWhenUsed="1" w:qFormat="1"/>
    <w:lsdException w:name="toc 1" w:semiHidden="1" w:unhideWhenUsed="1" w:qFormat="1"/>
    <w:lsdException w:name="toc 2" w:semiHidden="1" w:unhideWhenUsed="1" w:qFormat="1"/>
    <w:lsdException w:name="toc 3" w:semiHidden="1" w:unhideWhenUsed="1" w:qFormat="1"/>
    <w:lsdException w:name="toc 4" w:semiHidden="1" w:unhideWhenUsed="1" w:qFormat="1"/>
    <w:lsdException w:name="toc 5" w:semiHidden="1" w:unhideWhenUsed="1" w:qFormat="1"/>
    <w:lsdException w:name="toc 6" w:semiHidden="1" w:unhideWhenUsed="1" w:qFormat="1"/>
    <w:lsdException w:name="toc 7" w:semiHidden="1" w:unhideWhenUsed="1" w:qFormat="1"/>
    <w:lsdException w:name="toc 8" w:semiHidden="1" w:unhideWhenUsed="1" w:qFormat="1"/>
    <w:lsdException w:name="toc 9" w:semiHidden="1" w:unhideWhenUsed="1" w:qFormat="1"/>
    <w:lsdException w:name="Normal Indent" w:semiHidden="1" w:unhideWhenUsed="1" w:qFormat="1"/>
    <w:lsdException w:name="footnote text" w:semiHidden="1" w:unhideWhenUsed="1" w:qFormat="1"/>
    <w:lsdException w:name="annotation text" w:semiHidden="1" w:unhideWhenUsed="1" w:qFormat="1"/>
    <w:lsdException w:name="header" w:semiHidden="1" w:unhideWhenUsed="1" w:qFormat="1"/>
    <w:lsdException w:name="footer" w:semiHidden="1" w:unhideWhenUsed="1" w:qFormat="1"/>
    <w:lsdException w:name="index heading" w:semiHidden="1" w:unhideWhenUsed="1" w:qFormat="1"/>
    <w:lsdException w:name="caption" w:semiHidden="1" w:unhideWhenUsed="1" w:qFormat="1"/>
    <w:lsdException w:name="table of figures" w:semiHidden="1" w:unhideWhenUsed="1" w:qFormat="1"/>
    <w:lsdException w:name="envelope address" w:semiHidden="1" w:unhideWhenUsed="1" w:qFormat="1"/>
    <w:lsdException w:name="envelope return" w:semiHidden="1" w:unhideWhenUsed="1" w:qFormat="1"/>
    <w:lsdException w:name="footnote reference" w:semiHidden="1" w:unhideWhenUsed="1" w:qFormat="1"/>
    <w:lsdException w:name="annotation reference" w:semiHidden="1" w:unhideWhenUsed="1" w:qFormat="1"/>
    <w:lsdException w:name="line number" w:semiHidden="1" w:unhideWhenUsed="1" w:qFormat="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qFormat="1"/>
    <w:lsdException w:name="macro" w:semiHidden="1" w:unhideWhenUsed="1" w:qFormat="1"/>
    <w:lsdException w:name="toa heading" w:semiHidden="1" w:unhideWhenUsed="1" w:qFormat="1"/>
    <w:lsdException w:name="List" w:semiHidden="1" w:unhideWhenUsed="1" w:qFormat="1"/>
    <w:lsdException w:name="List Bullet" w:semiHidden="1" w:unhideWhenUsed="1" w:qFormat="1"/>
    <w:lsdException w:name="List Number" w:semiHidden="1" w:unhideWhenUsed="1" w:qFormat="1"/>
    <w:lsdException w:name="List 2" w:semiHidden="1" w:unhideWhenUsed="1" w:qFormat="1"/>
    <w:lsdException w:name="List 3" w:semiHidden="1" w:unhideWhenUsed="1" w:qFormat="1"/>
    <w:lsdException w:name="List 4" w:semiHidden="1" w:unhideWhenUsed="1" w:qFormat="1"/>
    <w:lsdException w:name="List 5" w:semiHidden="1" w:unhideWhenUsed="1" w:qFormat="1"/>
    <w:lsdException w:name="List Bullet 2" w:semiHidden="1" w:unhideWhenUsed="1" w:qFormat="1"/>
    <w:lsdException w:name="List Bullet 3" w:semiHidden="1" w:unhideWhenUsed="1" w:qFormat="1"/>
    <w:lsdException w:name="List Bullet 4" w:semiHidden="1" w:unhideWhenUsed="1" w:qFormat="1"/>
    <w:lsdException w:name="List Bullet 5" w:semiHidden="1" w:unhideWhenUsed="1" w:qFormat="1"/>
    <w:lsdException w:name="List Number 2" w:semiHidden="1" w:unhideWhenUsed="1" w:qFormat="1"/>
    <w:lsdException w:name="List Number 3" w:semiHidden="1" w:unhideWhenUsed="1" w:qFormat="1"/>
    <w:lsdException w:name="List Number 4" w:semiHidden="1" w:unhideWhenUsed="1" w:qFormat="1"/>
    <w:lsdException w:name="List Number 5" w:semiHidden="1" w:unhideWhenUsed="1" w:qFormat="1"/>
    <w:lsdException w:name="Title" w:qFormat="1"/>
    <w:lsdException w:name="Closing" w:semiHidden="1" w:unhideWhenUsed="1" w:qFormat="1"/>
    <w:lsdException w:name="Signature" w:semiHidden="1" w:unhideWhenUsed="1" w:qFormat="1"/>
    <w:lsdException w:name="Default Paragraph Font" w:semiHidden="1" w:unhideWhenUsed="1" w:qFormat="1"/>
    <w:lsdException w:name="Body Text" w:semiHidden="1" w:unhideWhenUsed="1" w:qFormat="1"/>
    <w:lsdException w:name="Body Text Indent" w:semiHidden="1" w:unhideWhenUsed="1" w:qFormat="1"/>
    <w:lsdException w:name="List Continue" w:semiHidden="1" w:unhideWhenUsed="1" w:qFormat="1"/>
    <w:lsdException w:name="List Continue 2" w:semiHidden="1" w:unhideWhenUsed="1" w:qFormat="1"/>
    <w:lsdException w:name="List Continue 3" w:semiHidden="1" w:unhideWhenUsed="1" w:qFormat="1"/>
    <w:lsdException w:name="List Continue 4" w:semiHidden="1" w:unhideWhenUsed="1" w:qFormat="1"/>
    <w:lsdException w:name="List Continue 5" w:semiHidden="1" w:unhideWhenUsed="1" w:qFormat="1"/>
    <w:lsdException w:name="Message Header" w:semiHidden="1" w:unhideWhenUsed="1" w:qFormat="1"/>
    <w:lsdException w:name="Subtitle" w:qFormat="1"/>
    <w:lsdException w:name="Salutation" w:semiHidden="1" w:unhideWhenUsed="1" w:qFormat="1"/>
    <w:lsdException w:name="Date" w:semiHidden="1" w:unhideWhenUsed="1" w:qFormat="1"/>
    <w:lsdException w:name="Body Text First Indent" w:semiHidden="1" w:unhideWhenUsed="1" w:qFormat="1"/>
    <w:lsdException w:name="Body Text First Indent 2" w:semiHidden="1" w:unhideWhenUsed="1" w:qFormat="1"/>
    <w:lsdException w:name="Note Heading" w:semiHidden="1" w:unhideWhenUsed="1" w:qFormat="1"/>
    <w:lsdException w:name="Body Text 2" w:semiHidden="1" w:unhideWhenUsed="1" w:qFormat="1"/>
    <w:lsdException w:name="Body Text 3" w:semiHidden="1" w:unhideWhenUsed="1" w:qFormat="1"/>
    <w:lsdException w:name="Body Text Indent 2" w:semiHidden="1" w:unhideWhenUsed="1" w:qFormat="1"/>
    <w:lsdException w:name="Body Text Indent 3" w:semiHidden="1" w:unhideWhenUsed="1" w:qFormat="1"/>
    <w:lsdException w:name="Block Text" w:semiHidden="1" w:unhideWhenUsed="1" w:qFormat="1"/>
    <w:lsdException w:name="Hyperlink" w:semiHidden="1" w:unhideWhenUsed="1" w:qFormat="1"/>
    <w:lsdException w:name="FollowedHyperlink" w:semiHidden="1" w:unhideWhenUsed="1" w:qFormat="1"/>
    <w:lsdException w:name="Strong" w:qFormat="1"/>
    <w:lsdException w:name="Emphasis" w:qFormat="1"/>
    <w:lsdException w:name="Document Map" w:semiHidden="1" w:unhideWhenUsed="1" w:qFormat="1"/>
    <w:lsdException w:name="Plain Text" w:semiHidden="1" w:unhideWhenUsed="1" w:qFormat="1"/>
    <w:lsdException w:name="E-mail Signature" w:semiHidden="1" w:unhideWhenUsed="1" w:qFormat="1"/>
    <w:lsdException w:name="HTML Top of Form" w:semiHidden="1" w:uiPriority="99" w:unhideWhenUsed="1"/>
    <w:lsdException w:name="HTML Bottom of Form" w:semiHidden="1" w:uiPriority="99" w:unhideWhenUsed="1"/>
    <w:lsdException w:name="Normal (Web)" w:semiHidden="1" w:unhideWhenUsed="1" w:qFormat="1"/>
    <w:lsdException w:name="HTML Acronym" w:semiHidden="1" w:unhideWhenUsed="1" w:qFormat="1"/>
    <w:lsdException w:name="HTML Address" w:semiHidden="1" w:unhideWhenUsed="1" w:qFormat="1"/>
    <w:lsdException w:name="HTML Cite" w:semiHidden="1" w:unhideWhenUsed="1" w:qFormat="1"/>
    <w:lsdException w:name="HTML Code" w:semiHidden="1" w:unhideWhenUsed="1" w:qFormat="1"/>
    <w:lsdException w:name="HTML Definition" w:semiHidden="1" w:unhideWhenUsed="1" w:qFormat="1"/>
    <w:lsdException w:name="HTML Keyboard" w:semiHidden="1" w:unhideWhenUsed="1" w:qFormat="1"/>
    <w:lsdException w:name="HTML Preformatted" w:semiHidden="1" w:unhideWhenUsed="1" w:qFormat="1"/>
    <w:lsdException w:name="HTML Sample" w:semiHidden="1" w:unhideWhenUsed="1" w:qFormat="1"/>
    <w:lsdException w:name="HTML Typewriter" w:semiHidden="1" w:unhideWhenUsed="1" w:qFormat="1"/>
    <w:lsdException w:name="HTML Variable" w:semiHidden="1" w:unhideWhenUsed="1" w:qFormat="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Theme" w:semiHidden="1" w:unhideWhenUsed="1"/>
    <w:lsdException w:name="Placeholder Text" w:semiHidden="1" w:qFormat="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iPriority="99"/>
    <w:lsdException w:name="List Paragraph" w:qFormat="1"/>
    <w:lsdException w:name="Quote" w:qFormat="1"/>
    <w:lsdException w:name="Intense Quote"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qFormat="1"/>
    <w:lsdException w:name="Intense Emphasis" w:qFormat="1"/>
    <w:lsdException w:name="Subtle Reference" w:qFormat="1"/>
    <w:lsdException w:name="Intense Reference" w:qFormat="1"/>
    <w:lsdException w:name="Book Title" w:qFormat="1"/>
    <w:lsdException w:name="Bibliography" w:semiHidden="1" w:unhideWhenUsed="1" w:qFormat="1"/>
    <w:lsdException w:name="TOC Heading" w:semiHidden="1" w:unhideWhenUsed="1" w:qFormat="1"/>
    <w:lsdException w:name="Mention" w:semiHidden="1" w:unhideWhenUsed="1" w:qFormat="1"/>
    <w:lsdException w:name="Smart Hyperlink" w:semiHidden="1" w:unhideWhenUsed="1" w:qFormat="1"/>
    <w:lsdException w:name="Hashtag" w:semiHidden="1" w:unhideWhenUsed="1" w:qFormat="1"/>
    <w:lsdException w:name="Unresolved Mention" w:semiHidden="1" w:unhideWhenUsed="1" w:qFormat="1"/>
    <w:lsdException w:name="Smart Link" w:semiHidden="1" w:unhideWhenUsed="1" w:qFormat="1"/>
  </w:latentStyles>
  <w:style w:type="paragraph" w:default="1" w:styleId="Normal">
    <w:name w:val="Normal"/>
    <w:qFormat/>
    <w:rsid w:val="00882F55"/>
    <w:pPr>
      <w:spacing w:after="180" w:line="300" w:lineRule="atLeast"/>
    </w:pPr>
    <w:rPr>
      <w:rFonts w:asciiTheme="minorHAnsi" w:eastAsiaTheme="minorHAnsi" w:hAnsiTheme="minorHAnsi" w:cstheme="minorBidi"/>
      <w:szCs w:val="22"/>
    </w:rPr>
  </w:style>
  <w:style w:type="paragraph" w:styleId="Heading1">
    <w:name w:val="heading 1"/>
    <w:basedOn w:val="Normal"/>
    <w:next w:val="Normal"/>
    <w:link w:val="Heading1Char"/>
    <w:qFormat/>
    <w:rsid w:val="00570E30"/>
    <w:pPr>
      <w:keepNext/>
      <w:keepLines/>
      <w:spacing w:before="240" w:after="0"/>
      <w:outlineLvl w:val="0"/>
    </w:pPr>
    <w:rPr>
      <w:rFonts w:asciiTheme="majorHAnsi" w:eastAsiaTheme="majorEastAsia" w:hAnsiTheme="majorHAnsi" w:cstheme="majorBidi"/>
      <w:color w:val="081E36" w:themeColor="accent1" w:themeShade="BF"/>
      <w:sz w:val="32"/>
      <w:szCs w:val="32"/>
    </w:rPr>
  </w:style>
  <w:style w:type="paragraph" w:styleId="Heading2">
    <w:name w:val="heading 2"/>
    <w:basedOn w:val="Normal"/>
    <w:next w:val="Normal"/>
    <w:link w:val="Heading2Char"/>
    <w:qFormat/>
    <w:rsid w:val="00570E30"/>
    <w:pPr>
      <w:keepNext/>
      <w:keepLines/>
      <w:numPr>
        <w:ilvl w:val="1"/>
        <w:numId w:val="38"/>
      </w:numPr>
      <w:spacing w:before="40" w:after="0"/>
      <w:outlineLvl w:val="1"/>
    </w:pPr>
    <w:rPr>
      <w:rFonts w:asciiTheme="majorHAnsi" w:eastAsiaTheme="majorEastAsia" w:hAnsiTheme="majorHAnsi" w:cstheme="majorBidi"/>
      <w:color w:val="081E36" w:themeColor="accent1" w:themeShade="BF"/>
      <w:sz w:val="26"/>
      <w:szCs w:val="26"/>
    </w:rPr>
  </w:style>
  <w:style w:type="paragraph" w:styleId="Heading3">
    <w:name w:val="heading 3"/>
    <w:basedOn w:val="Normal"/>
    <w:next w:val="Normal"/>
    <w:link w:val="Heading3Char"/>
    <w:qFormat/>
    <w:rsid w:val="00570E30"/>
    <w:pPr>
      <w:keepNext/>
      <w:keepLines/>
      <w:numPr>
        <w:ilvl w:val="2"/>
        <w:numId w:val="38"/>
      </w:numPr>
      <w:spacing w:before="40" w:after="0"/>
      <w:outlineLvl w:val="2"/>
    </w:pPr>
    <w:rPr>
      <w:rFonts w:asciiTheme="majorHAnsi" w:eastAsiaTheme="majorEastAsia" w:hAnsiTheme="majorHAnsi" w:cstheme="majorBidi"/>
      <w:color w:val="051424" w:themeColor="accent1" w:themeShade="7F"/>
      <w:sz w:val="24"/>
      <w:szCs w:val="24"/>
    </w:rPr>
  </w:style>
  <w:style w:type="paragraph" w:styleId="Heading4">
    <w:name w:val="heading 4"/>
    <w:basedOn w:val="Normal"/>
    <w:next w:val="Normal"/>
    <w:link w:val="Heading4Char"/>
    <w:qFormat/>
    <w:rsid w:val="00570E30"/>
    <w:pPr>
      <w:keepNext/>
      <w:keepLines/>
      <w:numPr>
        <w:ilvl w:val="3"/>
        <w:numId w:val="38"/>
      </w:numPr>
      <w:spacing w:before="40" w:after="0"/>
      <w:outlineLvl w:val="3"/>
    </w:pPr>
    <w:rPr>
      <w:rFonts w:asciiTheme="majorHAnsi" w:eastAsiaTheme="majorEastAsia" w:hAnsiTheme="majorHAnsi" w:cstheme="majorBidi"/>
      <w:i/>
      <w:iCs/>
      <w:color w:val="081E36" w:themeColor="accent1" w:themeShade="BF"/>
    </w:rPr>
  </w:style>
  <w:style w:type="paragraph" w:styleId="Heading5">
    <w:name w:val="heading 5"/>
    <w:basedOn w:val="Normal"/>
    <w:next w:val="Normal"/>
    <w:link w:val="Heading5Char"/>
    <w:qFormat/>
    <w:rsid w:val="00570E30"/>
    <w:pPr>
      <w:keepNext/>
      <w:keepLines/>
      <w:numPr>
        <w:ilvl w:val="4"/>
        <w:numId w:val="38"/>
      </w:numPr>
      <w:spacing w:before="40" w:after="0"/>
      <w:outlineLvl w:val="4"/>
    </w:pPr>
    <w:rPr>
      <w:rFonts w:asciiTheme="majorHAnsi" w:eastAsiaTheme="majorEastAsia" w:hAnsiTheme="majorHAnsi" w:cstheme="majorBidi"/>
      <w:color w:val="081E36" w:themeColor="accent1" w:themeShade="BF"/>
    </w:rPr>
  </w:style>
  <w:style w:type="paragraph" w:styleId="Heading6">
    <w:name w:val="heading 6"/>
    <w:basedOn w:val="Normal"/>
    <w:next w:val="Normal"/>
    <w:link w:val="Heading6Char"/>
    <w:qFormat/>
    <w:rsid w:val="00570E30"/>
    <w:pPr>
      <w:keepNext/>
      <w:keepLines/>
      <w:numPr>
        <w:ilvl w:val="5"/>
        <w:numId w:val="38"/>
      </w:numPr>
      <w:spacing w:before="40" w:after="0"/>
      <w:outlineLvl w:val="5"/>
    </w:pPr>
    <w:rPr>
      <w:rFonts w:asciiTheme="majorHAnsi" w:eastAsiaTheme="majorEastAsia" w:hAnsiTheme="majorHAnsi" w:cstheme="majorBidi"/>
      <w:color w:val="051424" w:themeColor="accent1" w:themeShade="7F"/>
    </w:rPr>
  </w:style>
  <w:style w:type="paragraph" w:styleId="Heading7">
    <w:name w:val="heading 7"/>
    <w:basedOn w:val="Normal"/>
    <w:next w:val="Normal"/>
    <w:link w:val="Heading7Char"/>
    <w:qFormat/>
    <w:rsid w:val="00570E30"/>
    <w:pPr>
      <w:keepNext/>
      <w:keepLines/>
      <w:numPr>
        <w:ilvl w:val="6"/>
        <w:numId w:val="38"/>
      </w:numPr>
      <w:spacing w:before="40" w:after="0"/>
      <w:outlineLvl w:val="6"/>
    </w:pPr>
    <w:rPr>
      <w:rFonts w:asciiTheme="majorHAnsi" w:eastAsiaTheme="majorEastAsia" w:hAnsiTheme="majorHAnsi" w:cstheme="majorBidi"/>
      <w:i/>
      <w:iCs/>
      <w:color w:val="051424" w:themeColor="accent1" w:themeShade="7F"/>
    </w:rPr>
  </w:style>
  <w:style w:type="paragraph" w:styleId="Heading8">
    <w:name w:val="heading 8"/>
    <w:basedOn w:val="Normal"/>
    <w:next w:val="Normal"/>
    <w:link w:val="Heading8Char"/>
    <w:qFormat/>
    <w:rsid w:val="00570E30"/>
    <w:pPr>
      <w:keepNext/>
      <w:keepLines/>
      <w:numPr>
        <w:ilvl w:val="7"/>
        <w:numId w:val="38"/>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qFormat/>
    <w:rsid w:val="00570E30"/>
    <w:pPr>
      <w:keepNext/>
      <w:keepLines/>
      <w:numPr>
        <w:ilvl w:val="8"/>
        <w:numId w:val="38"/>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nhideWhenUsed/>
    <w:qFormat/>
  </w:style>
  <w:style w:type="table" w:default="1" w:styleId="TableNormal">
    <w:name w:val="Normal Table"/>
    <w:semiHidden/>
    <w:unhideWhenUsed/>
    <w:tblPr>
      <w:tblInd w:w="0" w:type="dxa"/>
      <w:tblCellMar>
        <w:top w:w="0" w:type="dxa"/>
        <w:left w:w="108" w:type="dxa"/>
        <w:bottom w:w="0" w:type="dxa"/>
        <w:right w:w="108" w:type="dxa"/>
      </w:tblCellMar>
    </w:tblPr>
  </w:style>
  <w:style w:type="numbering" w:default="1" w:styleId="NoList">
    <w:name w:val="No List"/>
    <w:semiHidden/>
    <w:unhideWhenUsed/>
  </w:style>
  <w:style w:type="paragraph" w:styleId="Title">
    <w:name w:val="Title"/>
    <w:basedOn w:val="Normal"/>
    <w:next w:val="Paragraph"/>
    <w:link w:val="TitleChar"/>
    <w:qFormat/>
    <w:rsid w:val="001C19B1"/>
    <w:pPr>
      <w:pBdr>
        <w:top w:val="nil"/>
        <w:left w:val="nil"/>
        <w:bottom w:val="nil"/>
        <w:right w:val="nil"/>
        <w:between w:val="nil"/>
      </w:pBdr>
      <w:spacing w:before="3600" w:after="960" w:line="240" w:lineRule="auto"/>
      <w:ind w:left="1152"/>
      <w:jc w:val="right"/>
    </w:pPr>
    <w:rPr>
      <w:rFonts w:ascii="Arial Narrow" w:eastAsia="Arial Narrow" w:hAnsi="Arial Narrow"/>
      <w:b/>
      <w:color w:val="000000"/>
      <w:sz w:val="48"/>
    </w:rPr>
  </w:style>
  <w:style w:type="character" w:customStyle="1" w:styleId="Heading1Char">
    <w:name w:val="Heading 1 Char"/>
    <w:basedOn w:val="DefaultParagraphFont"/>
    <w:link w:val="Heading1"/>
    <w:rsid w:val="00570E30"/>
    <w:rPr>
      <w:rFonts w:asciiTheme="majorHAnsi" w:eastAsiaTheme="majorEastAsia" w:hAnsiTheme="majorHAnsi" w:cstheme="majorBidi"/>
      <w:color w:val="081E36" w:themeColor="accent1" w:themeShade="BF"/>
      <w:sz w:val="32"/>
      <w:szCs w:val="32"/>
    </w:rPr>
  </w:style>
  <w:style w:type="character" w:customStyle="1" w:styleId="Heading2Char">
    <w:name w:val="Heading 2 Char"/>
    <w:basedOn w:val="DefaultParagraphFont"/>
    <w:link w:val="Heading2"/>
    <w:rsid w:val="00570E30"/>
    <w:rPr>
      <w:rFonts w:asciiTheme="majorHAnsi" w:eastAsiaTheme="majorEastAsia" w:hAnsiTheme="majorHAnsi" w:cstheme="majorBidi"/>
      <w:color w:val="081E36" w:themeColor="accent1" w:themeShade="BF"/>
      <w:sz w:val="26"/>
      <w:szCs w:val="26"/>
    </w:rPr>
  </w:style>
  <w:style w:type="character" w:customStyle="1" w:styleId="Heading3Char">
    <w:name w:val="Heading 3 Char"/>
    <w:basedOn w:val="DefaultParagraphFont"/>
    <w:link w:val="Heading3"/>
    <w:rsid w:val="00570E30"/>
    <w:rPr>
      <w:rFonts w:asciiTheme="majorHAnsi" w:eastAsiaTheme="majorEastAsia" w:hAnsiTheme="majorHAnsi" w:cstheme="majorBidi"/>
      <w:color w:val="051424" w:themeColor="accent1" w:themeShade="7F"/>
      <w:sz w:val="24"/>
      <w:szCs w:val="24"/>
    </w:rPr>
  </w:style>
  <w:style w:type="character" w:customStyle="1" w:styleId="Heading4Char">
    <w:name w:val="Heading 4 Char"/>
    <w:basedOn w:val="DefaultParagraphFont"/>
    <w:link w:val="Heading4"/>
    <w:rsid w:val="00570E30"/>
    <w:rPr>
      <w:rFonts w:asciiTheme="majorHAnsi" w:eastAsiaTheme="majorEastAsia" w:hAnsiTheme="majorHAnsi" w:cstheme="majorBidi"/>
      <w:i/>
      <w:iCs/>
      <w:color w:val="081E36" w:themeColor="accent1" w:themeShade="BF"/>
      <w:szCs w:val="22"/>
    </w:rPr>
  </w:style>
  <w:style w:type="character" w:customStyle="1" w:styleId="Heading5Char">
    <w:name w:val="Heading 5 Char"/>
    <w:basedOn w:val="DefaultParagraphFont"/>
    <w:link w:val="Heading5"/>
    <w:rsid w:val="00570E30"/>
    <w:rPr>
      <w:rFonts w:asciiTheme="majorHAnsi" w:eastAsiaTheme="majorEastAsia" w:hAnsiTheme="majorHAnsi" w:cstheme="majorBidi"/>
      <w:color w:val="081E36" w:themeColor="accent1" w:themeShade="BF"/>
      <w:szCs w:val="22"/>
    </w:rPr>
  </w:style>
  <w:style w:type="character" w:customStyle="1" w:styleId="Heading6Char">
    <w:name w:val="Heading 6 Char"/>
    <w:basedOn w:val="DefaultParagraphFont"/>
    <w:link w:val="Heading6"/>
    <w:rsid w:val="00570E30"/>
    <w:rPr>
      <w:rFonts w:asciiTheme="majorHAnsi" w:eastAsiaTheme="majorEastAsia" w:hAnsiTheme="majorHAnsi" w:cstheme="majorBidi"/>
      <w:color w:val="051424" w:themeColor="accent1" w:themeShade="7F"/>
      <w:szCs w:val="22"/>
    </w:rPr>
  </w:style>
  <w:style w:type="character" w:customStyle="1" w:styleId="Heading7Char">
    <w:name w:val="Heading 7 Char"/>
    <w:basedOn w:val="DefaultParagraphFont"/>
    <w:link w:val="Heading7"/>
    <w:rsid w:val="00570E30"/>
    <w:rPr>
      <w:rFonts w:asciiTheme="majorHAnsi" w:eastAsiaTheme="majorEastAsia" w:hAnsiTheme="majorHAnsi" w:cstheme="majorBidi"/>
      <w:i/>
      <w:iCs/>
      <w:color w:val="051424" w:themeColor="accent1" w:themeShade="7F"/>
      <w:szCs w:val="22"/>
    </w:rPr>
  </w:style>
  <w:style w:type="character" w:customStyle="1" w:styleId="Heading8Char">
    <w:name w:val="Heading 8 Char"/>
    <w:basedOn w:val="DefaultParagraphFont"/>
    <w:link w:val="Heading8"/>
    <w:rsid w:val="00570E30"/>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rsid w:val="00570E30"/>
    <w:rPr>
      <w:rFonts w:asciiTheme="majorHAnsi" w:eastAsiaTheme="majorEastAsia" w:hAnsiTheme="majorHAnsi" w:cstheme="majorBidi"/>
      <w:i/>
      <w:iCs/>
      <w:color w:val="272727" w:themeColor="text1" w:themeTint="D8"/>
      <w:sz w:val="21"/>
      <w:szCs w:val="21"/>
    </w:rPr>
  </w:style>
  <w:style w:type="paragraph" w:customStyle="1" w:styleId="AcronymDefinition">
    <w:name w:val="Acronym Definition"/>
    <w:qFormat/>
    <w:rsid w:val="005E64B8"/>
    <w:pPr>
      <w:spacing w:before="60" w:after="60"/>
    </w:pPr>
    <w:rPr>
      <w:sz w:val="24"/>
      <w:szCs w:val="24"/>
    </w:rPr>
  </w:style>
  <w:style w:type="paragraph" w:customStyle="1" w:styleId="AcronymTerm">
    <w:name w:val="Acronym Term"/>
    <w:qFormat/>
    <w:rsid w:val="005E64B8"/>
    <w:pPr>
      <w:spacing w:before="60" w:after="60"/>
    </w:pPr>
    <w:rPr>
      <w:b/>
      <w:sz w:val="24"/>
      <w:szCs w:val="24"/>
    </w:rPr>
  </w:style>
  <w:style w:type="paragraph" w:customStyle="1" w:styleId="AppHeading1">
    <w:name w:val="AppHeading 1"/>
    <w:next w:val="Normal"/>
    <w:qFormat/>
    <w:rsid w:val="005E64B8"/>
    <w:pPr>
      <w:keepNext/>
      <w:pageBreakBefore/>
      <w:numPr>
        <w:numId w:val="16"/>
      </w:numPr>
      <w:spacing w:before="120" w:after="360" w:line="400" w:lineRule="exact"/>
      <w:jc w:val="center"/>
      <w:outlineLvl w:val="1"/>
    </w:pPr>
    <w:rPr>
      <w:rFonts w:ascii="Arial Narrow" w:hAnsi="Arial Narrow"/>
      <w:b/>
      <w:sz w:val="36"/>
    </w:rPr>
  </w:style>
  <w:style w:type="paragraph" w:customStyle="1" w:styleId="AppHeading2">
    <w:name w:val="AppHeading 2"/>
    <w:next w:val="Normal"/>
    <w:qFormat/>
    <w:rsid w:val="005E64B8"/>
    <w:pPr>
      <w:keepNext/>
      <w:numPr>
        <w:ilvl w:val="1"/>
        <w:numId w:val="16"/>
      </w:numPr>
      <w:spacing w:before="300" w:after="100"/>
    </w:pPr>
    <w:rPr>
      <w:rFonts w:ascii="Arial Narrow" w:hAnsi="Arial Narrow"/>
      <w:b/>
      <w:sz w:val="32"/>
    </w:rPr>
  </w:style>
  <w:style w:type="paragraph" w:customStyle="1" w:styleId="AppHeading3">
    <w:name w:val="AppHeading 3"/>
    <w:next w:val="Normal"/>
    <w:qFormat/>
    <w:rsid w:val="005E64B8"/>
    <w:pPr>
      <w:keepNext/>
      <w:numPr>
        <w:ilvl w:val="2"/>
        <w:numId w:val="16"/>
      </w:numPr>
      <w:spacing w:before="240" w:after="80"/>
    </w:pPr>
    <w:rPr>
      <w:rFonts w:ascii="Arial Narrow" w:hAnsi="Arial Narrow"/>
      <w:b/>
      <w:sz w:val="28"/>
    </w:rPr>
  </w:style>
  <w:style w:type="paragraph" w:customStyle="1" w:styleId="AppHeading4">
    <w:name w:val="AppHeading 4"/>
    <w:next w:val="Normal"/>
    <w:qFormat/>
    <w:rsid w:val="005E64B8"/>
    <w:pPr>
      <w:numPr>
        <w:ilvl w:val="3"/>
        <w:numId w:val="16"/>
      </w:numPr>
      <w:tabs>
        <w:tab w:val="num" w:pos="1080"/>
      </w:tabs>
      <w:spacing w:before="240" w:after="120"/>
    </w:pPr>
    <w:rPr>
      <w:rFonts w:ascii="Arial Narrow" w:hAnsi="Arial Narrow"/>
      <w:b/>
      <w:sz w:val="26"/>
    </w:rPr>
  </w:style>
  <w:style w:type="paragraph" w:customStyle="1" w:styleId="BackMatterHeading">
    <w:name w:val="Back Matter Heading"/>
    <w:next w:val="Normal"/>
    <w:qFormat/>
    <w:rsid w:val="005E64B8"/>
    <w:pPr>
      <w:keepNext/>
      <w:spacing w:before="120" w:after="480"/>
      <w:jc w:val="center"/>
    </w:pPr>
    <w:rPr>
      <w:rFonts w:ascii="Arial Narrow" w:hAnsi="Arial Narrow"/>
      <w:b/>
      <w:sz w:val="36"/>
    </w:rPr>
  </w:style>
  <w:style w:type="paragraph" w:customStyle="1" w:styleId="BulletListMultiple">
    <w:name w:val="Bullet List Multiple"/>
    <w:link w:val="BulletListMultipleCharChar"/>
    <w:qFormat/>
    <w:rsid w:val="005E64B8"/>
    <w:pPr>
      <w:numPr>
        <w:numId w:val="1"/>
      </w:numPr>
      <w:spacing w:before="80" w:after="80"/>
    </w:pPr>
    <w:rPr>
      <w:sz w:val="24"/>
      <w:szCs w:val="24"/>
    </w:rPr>
  </w:style>
  <w:style w:type="character" w:customStyle="1" w:styleId="BulletListMultipleCharChar">
    <w:name w:val="Bullet List Multiple Char Char"/>
    <w:link w:val="BulletListMultiple"/>
    <w:rsid w:val="00FE5CD6"/>
    <w:rPr>
      <w:sz w:val="24"/>
      <w:szCs w:val="24"/>
    </w:rPr>
  </w:style>
  <w:style w:type="paragraph" w:customStyle="1" w:styleId="BulletListMultipleLast">
    <w:name w:val="Bullet List Multiple Last"/>
    <w:next w:val="Normal"/>
    <w:link w:val="BulletListMultipleLastCharChar"/>
    <w:qFormat/>
    <w:rsid w:val="005E64B8"/>
    <w:pPr>
      <w:numPr>
        <w:numId w:val="2"/>
      </w:numPr>
      <w:spacing w:before="80" w:after="280"/>
    </w:pPr>
    <w:rPr>
      <w:sz w:val="24"/>
      <w:szCs w:val="24"/>
    </w:rPr>
  </w:style>
  <w:style w:type="character" w:customStyle="1" w:styleId="BulletListMultipleLastCharChar">
    <w:name w:val="Bullet List Multiple Last Char Char"/>
    <w:link w:val="BulletListMultipleLast"/>
    <w:rsid w:val="00FE5CD6"/>
    <w:rPr>
      <w:sz w:val="24"/>
      <w:szCs w:val="24"/>
    </w:rPr>
  </w:style>
  <w:style w:type="paragraph" w:customStyle="1" w:styleId="BulletListSingle">
    <w:name w:val="Bullet List Single"/>
    <w:link w:val="BulletListSingleCharChar"/>
    <w:qFormat/>
    <w:rsid w:val="005E64B8"/>
    <w:pPr>
      <w:numPr>
        <w:numId w:val="3"/>
      </w:numPr>
      <w:spacing w:before="60"/>
    </w:pPr>
    <w:rPr>
      <w:sz w:val="24"/>
      <w:szCs w:val="24"/>
    </w:rPr>
  </w:style>
  <w:style w:type="character" w:customStyle="1" w:styleId="BulletListSingleCharChar">
    <w:name w:val="Bullet List Single Char Char"/>
    <w:link w:val="BulletListSingle"/>
    <w:rsid w:val="00FE5CD6"/>
    <w:rPr>
      <w:sz w:val="24"/>
      <w:szCs w:val="24"/>
    </w:rPr>
  </w:style>
  <w:style w:type="paragraph" w:customStyle="1" w:styleId="BulletListSingleLast">
    <w:name w:val="Bullet List Single Last"/>
    <w:next w:val="Normal"/>
    <w:qFormat/>
    <w:rsid w:val="005E64B8"/>
    <w:pPr>
      <w:numPr>
        <w:numId w:val="4"/>
      </w:numPr>
      <w:spacing w:before="60" w:after="280"/>
    </w:pPr>
    <w:rPr>
      <w:sz w:val="24"/>
      <w:szCs w:val="24"/>
    </w:rPr>
  </w:style>
  <w:style w:type="paragraph" w:customStyle="1" w:styleId="Classification">
    <w:name w:val="Classification"/>
    <w:qFormat/>
    <w:rsid w:val="005E64B8"/>
    <w:pPr>
      <w:spacing w:before="120"/>
      <w:jc w:val="right"/>
    </w:pPr>
    <w:rPr>
      <w:rFonts w:ascii="Arial Narrow" w:hAnsi="Arial Narrow"/>
      <w:b/>
      <w:sz w:val="32"/>
      <w:szCs w:val="24"/>
    </w:rPr>
  </w:style>
  <w:style w:type="paragraph" w:customStyle="1" w:styleId="DocTitle">
    <w:name w:val="Doc Title"/>
    <w:qFormat/>
    <w:rsid w:val="005E64B8"/>
    <w:pPr>
      <w:spacing w:before="1080" w:after="960"/>
      <w:ind w:left="1354"/>
      <w:jc w:val="right"/>
    </w:pPr>
    <w:rPr>
      <w:rFonts w:ascii="Arial Narrow" w:hAnsi="Arial Narrow"/>
      <w:b/>
      <w:sz w:val="46"/>
      <w:szCs w:val="46"/>
    </w:rPr>
  </w:style>
  <w:style w:type="paragraph" w:customStyle="1" w:styleId="TableBulletSmaller">
    <w:name w:val="TableBullet Smaller"/>
    <w:qFormat/>
    <w:rsid w:val="005E64B8"/>
    <w:pPr>
      <w:numPr>
        <w:numId w:val="7"/>
      </w:numPr>
      <w:spacing w:before="120"/>
    </w:pPr>
    <w:rPr>
      <w:rFonts w:ascii="Arial" w:hAnsi="Arial"/>
      <w:noProof/>
      <w:sz w:val="16"/>
      <w:szCs w:val="24"/>
    </w:rPr>
  </w:style>
  <w:style w:type="paragraph" w:customStyle="1" w:styleId="ESFigureCaption">
    <w:name w:val="ES FigureCaption"/>
    <w:aliases w:val="efc"/>
    <w:next w:val="Normal"/>
    <w:qFormat/>
    <w:rsid w:val="005E64B8"/>
    <w:pPr>
      <w:keepNext/>
      <w:spacing w:before="120" w:after="240"/>
      <w:jc w:val="center"/>
    </w:pPr>
    <w:rPr>
      <w:rFonts w:ascii="Arial Narrow" w:hAnsi="Arial Narrow"/>
      <w:b/>
      <w:sz w:val="24"/>
      <w:szCs w:val="24"/>
    </w:rPr>
  </w:style>
  <w:style w:type="paragraph" w:customStyle="1" w:styleId="ESTableCaption">
    <w:name w:val="ES TableCaption"/>
    <w:aliases w:val="etc"/>
    <w:next w:val="Normal"/>
    <w:qFormat/>
    <w:rsid w:val="005E64B8"/>
    <w:pPr>
      <w:keepNext/>
      <w:spacing w:before="240" w:after="120"/>
      <w:jc w:val="center"/>
    </w:pPr>
    <w:rPr>
      <w:rFonts w:ascii="Arial Narrow" w:hAnsi="Arial Narrow"/>
      <w:b/>
      <w:sz w:val="24"/>
      <w:szCs w:val="24"/>
    </w:rPr>
  </w:style>
  <w:style w:type="paragraph" w:customStyle="1" w:styleId="ESHeading1">
    <w:name w:val="ESHeading 1"/>
    <w:qFormat/>
    <w:rsid w:val="005E64B8"/>
    <w:pPr>
      <w:keepNext/>
      <w:numPr>
        <w:numId w:val="17"/>
      </w:numPr>
      <w:spacing w:before="120" w:after="280" w:line="400" w:lineRule="exact"/>
      <w:jc w:val="center"/>
      <w:outlineLvl w:val="0"/>
    </w:pPr>
    <w:rPr>
      <w:rFonts w:ascii="Arial Narrow" w:hAnsi="Arial Narrow"/>
      <w:b/>
      <w:color w:val="003893"/>
      <w:sz w:val="36"/>
    </w:rPr>
  </w:style>
  <w:style w:type="paragraph" w:customStyle="1" w:styleId="ESHeading2">
    <w:name w:val="ESHeading 2"/>
    <w:next w:val="Normal"/>
    <w:qFormat/>
    <w:rsid w:val="005E64B8"/>
    <w:pPr>
      <w:keepNext/>
      <w:numPr>
        <w:ilvl w:val="1"/>
        <w:numId w:val="17"/>
      </w:numPr>
      <w:spacing w:before="300" w:after="100"/>
      <w:outlineLvl w:val="1"/>
    </w:pPr>
    <w:rPr>
      <w:rFonts w:ascii="Arial Narrow" w:hAnsi="Arial Narrow"/>
      <w:b/>
      <w:color w:val="003893"/>
      <w:sz w:val="32"/>
    </w:rPr>
  </w:style>
  <w:style w:type="paragraph" w:customStyle="1" w:styleId="ESHeading3">
    <w:name w:val="ESHeading 3"/>
    <w:next w:val="Normal"/>
    <w:qFormat/>
    <w:rsid w:val="005E64B8"/>
    <w:pPr>
      <w:keepNext/>
      <w:numPr>
        <w:ilvl w:val="2"/>
        <w:numId w:val="17"/>
      </w:numPr>
      <w:spacing w:before="240" w:after="80"/>
      <w:outlineLvl w:val="2"/>
    </w:pPr>
    <w:rPr>
      <w:rFonts w:ascii="Arial Narrow" w:hAnsi="Arial Narrow"/>
      <w:b/>
      <w:color w:val="003893"/>
      <w:sz w:val="28"/>
      <w:szCs w:val="28"/>
    </w:rPr>
  </w:style>
  <w:style w:type="paragraph" w:customStyle="1" w:styleId="ESHeading4">
    <w:name w:val="ESHeading 4"/>
    <w:next w:val="Normal"/>
    <w:qFormat/>
    <w:rsid w:val="005E64B8"/>
    <w:pPr>
      <w:keepNext/>
      <w:numPr>
        <w:ilvl w:val="3"/>
        <w:numId w:val="17"/>
      </w:numPr>
      <w:spacing w:before="120" w:after="120"/>
      <w:outlineLvl w:val="3"/>
    </w:pPr>
    <w:rPr>
      <w:rFonts w:ascii="Arial Narrow" w:hAnsi="Arial Narrow"/>
      <w:b/>
      <w:color w:val="003893"/>
      <w:sz w:val="26"/>
      <w:szCs w:val="26"/>
    </w:rPr>
  </w:style>
  <w:style w:type="paragraph" w:customStyle="1" w:styleId="Figure">
    <w:name w:val="Figure"/>
    <w:basedOn w:val="Normal"/>
    <w:next w:val="FigureCaption"/>
    <w:qFormat/>
    <w:rsid w:val="00831D9A"/>
    <w:pPr>
      <w:pBdr>
        <w:top w:val="nil"/>
        <w:left w:val="nil"/>
        <w:bottom w:val="nil"/>
        <w:right w:val="nil"/>
        <w:between w:val="nil"/>
      </w:pBdr>
      <w:spacing w:after="0" w:line="240" w:lineRule="auto"/>
    </w:pPr>
    <w:rPr>
      <w:rFonts w:ascii="Verdana" w:eastAsia="Verdana" w:hAnsi="Verdana"/>
      <w:color w:val="000000"/>
      <w:sz w:val="16"/>
      <w:szCs w:val="16"/>
    </w:rPr>
  </w:style>
  <w:style w:type="paragraph" w:customStyle="1" w:styleId="FigureCaption">
    <w:name w:val="FigureCaption"/>
    <w:aliases w:val="fc"/>
    <w:qFormat/>
    <w:rsid w:val="005E64B8"/>
    <w:pPr>
      <w:spacing w:before="100" w:after="400"/>
      <w:jc w:val="center"/>
    </w:pPr>
    <w:rPr>
      <w:rFonts w:ascii="Arial Narrow" w:hAnsi="Arial Narrow"/>
      <w:b/>
      <w:sz w:val="24"/>
      <w:szCs w:val="24"/>
    </w:rPr>
  </w:style>
  <w:style w:type="paragraph" w:customStyle="1" w:styleId="FigureTableTOC">
    <w:name w:val="Figure/Table/TOC"/>
    <w:basedOn w:val="Normal"/>
    <w:qFormat/>
    <w:rsid w:val="00FE5CD6"/>
    <w:pPr>
      <w:tabs>
        <w:tab w:val="right" w:pos="8914"/>
      </w:tabs>
      <w:ind w:left="360"/>
    </w:pPr>
    <w:rPr>
      <w:rFonts w:ascii="Arial" w:hAnsi="Arial"/>
      <w:b/>
      <w:sz w:val="22"/>
    </w:rPr>
  </w:style>
  <w:style w:type="paragraph" w:styleId="Footer">
    <w:name w:val="footer"/>
    <w:basedOn w:val="Normal"/>
    <w:link w:val="FooterChar"/>
    <w:qFormat/>
    <w:rsid w:val="002A3E6E"/>
    <w:pPr>
      <w:pBdr>
        <w:top w:val="single" w:sz="4" w:space="4" w:color="000000"/>
        <w:left w:val="nil"/>
        <w:bottom w:val="nil"/>
        <w:right w:val="nil"/>
        <w:between w:val="nil"/>
      </w:pBdr>
      <w:tabs>
        <w:tab w:val="center" w:pos="4680"/>
        <w:tab w:val="right" w:pos="9360"/>
      </w:tabs>
      <w:spacing w:before="120" w:after="0" w:line="240" w:lineRule="auto"/>
    </w:pPr>
    <w:rPr>
      <w:rFonts w:ascii="Arial Narrow" w:eastAsia="Arial Narrow" w:hAnsi="Arial Narrow" w:cs="Arial Narrow"/>
      <w:color w:val="000000"/>
      <w:sz w:val="18"/>
      <w:szCs w:val="18"/>
    </w:rPr>
  </w:style>
  <w:style w:type="character" w:customStyle="1" w:styleId="FooterChar">
    <w:name w:val="Footer Char"/>
    <w:basedOn w:val="DefaultParagraphFont"/>
    <w:link w:val="Footer"/>
    <w:semiHidden/>
    <w:rsid w:val="002A3E6E"/>
    <w:rPr>
      <w:rFonts w:ascii="Arial Narrow" w:eastAsia="Arial Narrow" w:hAnsi="Arial Narrow" w:cs="Arial Narrow"/>
      <w:color w:val="000000"/>
      <w:sz w:val="18"/>
      <w:szCs w:val="18"/>
    </w:rPr>
  </w:style>
  <w:style w:type="paragraph" w:customStyle="1" w:styleId="Footer2">
    <w:name w:val="Footer2"/>
    <w:aliases w:val="f2"/>
    <w:next w:val="Normal"/>
    <w:qFormat/>
    <w:rsid w:val="005E64B8"/>
    <w:pPr>
      <w:spacing w:before="120"/>
      <w:jc w:val="center"/>
    </w:pPr>
    <w:rPr>
      <w:rFonts w:ascii="Arial" w:hAnsi="Arial"/>
      <w:b/>
      <w:sz w:val="24"/>
      <w:szCs w:val="24"/>
    </w:rPr>
  </w:style>
  <w:style w:type="character" w:styleId="FootnoteReference">
    <w:name w:val="footnote reference"/>
    <w:basedOn w:val="DefaultParagraphFont"/>
    <w:unhideWhenUsed/>
    <w:qFormat/>
    <w:rsid w:val="00570E30"/>
    <w:rPr>
      <w:vertAlign w:val="superscript"/>
    </w:rPr>
  </w:style>
  <w:style w:type="paragraph" w:styleId="FootnoteText">
    <w:name w:val="footnote text"/>
    <w:basedOn w:val="Normal"/>
    <w:link w:val="FootnoteTextChar"/>
    <w:unhideWhenUsed/>
    <w:qFormat/>
    <w:rsid w:val="005B5EB6"/>
    <w:pPr>
      <w:spacing w:after="40" w:line="240" w:lineRule="auto"/>
    </w:pPr>
    <w:rPr>
      <w:rFonts w:ascii="Times New Roman" w:hAnsi="Times New Roman"/>
      <w:szCs w:val="20"/>
    </w:rPr>
  </w:style>
  <w:style w:type="character" w:customStyle="1" w:styleId="FootnoteTextChar">
    <w:name w:val="Footnote Text Char"/>
    <w:basedOn w:val="DefaultParagraphFont"/>
    <w:link w:val="FootnoteText"/>
    <w:rsid w:val="005B5EB6"/>
    <w:rPr>
      <w:rFonts w:eastAsiaTheme="minorHAnsi" w:cstheme="minorBidi"/>
    </w:rPr>
  </w:style>
  <w:style w:type="paragraph" w:customStyle="1" w:styleId="FrontMatterHeader">
    <w:name w:val="Front Matter Header"/>
    <w:next w:val="Normal"/>
    <w:qFormat/>
    <w:rsid w:val="005E64B8"/>
    <w:pPr>
      <w:keepNext/>
      <w:spacing w:before="120" w:after="360"/>
      <w:jc w:val="center"/>
    </w:pPr>
    <w:rPr>
      <w:rFonts w:ascii="Arial Narrow" w:hAnsi="Arial Narrow"/>
      <w:b/>
      <w:sz w:val="36"/>
    </w:rPr>
  </w:style>
  <w:style w:type="paragraph" w:customStyle="1" w:styleId="GlossaryDefinition">
    <w:name w:val="GlossaryDefinition"/>
    <w:qFormat/>
    <w:rsid w:val="005E64B8"/>
    <w:pPr>
      <w:spacing w:before="120" w:after="120"/>
    </w:pPr>
    <w:rPr>
      <w:sz w:val="24"/>
      <w:szCs w:val="24"/>
    </w:rPr>
  </w:style>
  <w:style w:type="paragraph" w:customStyle="1" w:styleId="GlossaryTerm">
    <w:name w:val="GlossaryTerm"/>
    <w:qFormat/>
    <w:rsid w:val="005E64B8"/>
    <w:pPr>
      <w:spacing w:before="120" w:after="120"/>
    </w:pPr>
    <w:rPr>
      <w:b/>
      <w:sz w:val="24"/>
      <w:szCs w:val="24"/>
    </w:rPr>
  </w:style>
  <w:style w:type="paragraph" w:styleId="Header">
    <w:name w:val="header"/>
    <w:basedOn w:val="Normal"/>
    <w:link w:val="HeaderChar"/>
    <w:qFormat/>
    <w:rsid w:val="002A3E6E"/>
    <w:pPr>
      <w:pBdr>
        <w:top w:val="nil"/>
        <w:left w:val="nil"/>
        <w:bottom w:val="single" w:sz="4" w:space="1" w:color="000000"/>
        <w:right w:val="nil"/>
        <w:between w:val="nil"/>
      </w:pBdr>
      <w:tabs>
        <w:tab w:val="right" w:pos="9360"/>
      </w:tabs>
      <w:spacing w:before="120" w:after="240" w:line="240" w:lineRule="auto"/>
    </w:pPr>
    <w:rPr>
      <w:rFonts w:ascii="Arial Narrow" w:eastAsia="Arial Narrow" w:hAnsi="Arial Narrow"/>
      <w:color w:val="000000"/>
      <w:sz w:val="18"/>
    </w:rPr>
  </w:style>
  <w:style w:type="character" w:customStyle="1" w:styleId="HeaderChar">
    <w:name w:val="Header Char"/>
    <w:basedOn w:val="DefaultParagraphFont"/>
    <w:link w:val="Header"/>
    <w:semiHidden/>
    <w:rsid w:val="002A3E6E"/>
    <w:rPr>
      <w:rFonts w:ascii="Arial Narrow" w:eastAsia="Arial Narrow" w:hAnsi="Arial Narrow" w:cstheme="minorBidi"/>
      <w:color w:val="000000"/>
      <w:sz w:val="18"/>
      <w:szCs w:val="22"/>
    </w:rPr>
  </w:style>
  <w:style w:type="paragraph" w:customStyle="1" w:styleId="Header2">
    <w:name w:val="Header2"/>
    <w:qFormat/>
    <w:rsid w:val="005E64B8"/>
    <w:pPr>
      <w:pBdr>
        <w:bottom w:val="single" w:sz="4" w:space="1" w:color="auto"/>
      </w:pBdr>
      <w:tabs>
        <w:tab w:val="right" w:pos="9360"/>
      </w:tabs>
      <w:spacing w:before="120" w:after="240"/>
    </w:pPr>
    <w:rPr>
      <w:rFonts w:ascii="Arial Narrow" w:hAnsi="Arial Narrow"/>
      <w:sz w:val="18"/>
      <w:szCs w:val="24"/>
    </w:rPr>
  </w:style>
  <w:style w:type="paragraph" w:customStyle="1" w:styleId="Authors">
    <w:name w:val="Authors"/>
    <w:basedOn w:val="ProgramName"/>
    <w:qFormat/>
    <w:rsid w:val="00FE5CD6"/>
    <w:rPr>
      <w:rFonts w:ascii="Arial" w:hAnsi="Arial"/>
      <w:b w:val="0"/>
      <w:sz w:val="28"/>
    </w:rPr>
  </w:style>
  <w:style w:type="paragraph" w:customStyle="1" w:styleId="ProgramName">
    <w:name w:val="Program Name"/>
    <w:link w:val="ProgramNameChar"/>
    <w:qFormat/>
    <w:rsid w:val="005E64B8"/>
    <w:pPr>
      <w:spacing w:before="400"/>
      <w:jc w:val="right"/>
    </w:pPr>
    <w:rPr>
      <w:rFonts w:ascii="Arial Narrow" w:hAnsi="Arial Narrow"/>
      <w:b/>
      <w:sz w:val="40"/>
      <w:szCs w:val="24"/>
    </w:rPr>
  </w:style>
  <w:style w:type="character" w:customStyle="1" w:styleId="ProgramNameChar">
    <w:name w:val="Program Name Char"/>
    <w:link w:val="ProgramName"/>
    <w:rsid w:val="00FE5CD6"/>
    <w:rPr>
      <w:rFonts w:ascii="Arial Narrow" w:hAnsi="Arial Narrow"/>
      <w:b/>
      <w:sz w:val="40"/>
      <w:szCs w:val="24"/>
    </w:rPr>
  </w:style>
  <w:style w:type="character" w:styleId="PageNumber">
    <w:name w:val="page number"/>
    <w:basedOn w:val="DefaultParagraphFont"/>
    <w:qFormat/>
    <w:rsid w:val="00570E30"/>
  </w:style>
  <w:style w:type="paragraph" w:customStyle="1" w:styleId="PubDate">
    <w:name w:val="PubDate"/>
    <w:qFormat/>
    <w:rsid w:val="001C19B1"/>
    <w:pPr>
      <w:spacing w:before="600" w:after="240"/>
      <w:jc w:val="right"/>
    </w:pPr>
    <w:rPr>
      <w:rFonts w:ascii="Arial Narrow" w:hAnsi="Arial Narrow"/>
      <w:b/>
      <w:sz w:val="32"/>
      <w:szCs w:val="24"/>
    </w:rPr>
  </w:style>
  <w:style w:type="paragraph" w:customStyle="1" w:styleId="Quotation">
    <w:name w:val="Quotation"/>
    <w:next w:val="Normal"/>
    <w:qFormat/>
    <w:rsid w:val="005E64B8"/>
    <w:pPr>
      <w:spacing w:before="120" w:after="120"/>
      <w:ind w:left="720" w:right="720"/>
    </w:pPr>
    <w:rPr>
      <w:sz w:val="24"/>
      <w:szCs w:val="24"/>
    </w:rPr>
  </w:style>
  <w:style w:type="paragraph" w:customStyle="1" w:styleId="BulletList-SecondLevel">
    <w:name w:val="Bullet List - Second Level"/>
    <w:basedOn w:val="Normal"/>
    <w:qFormat/>
    <w:rsid w:val="005E64B8"/>
    <w:pPr>
      <w:numPr>
        <w:numId w:val="5"/>
      </w:numPr>
      <w:spacing w:after="0"/>
    </w:pPr>
  </w:style>
  <w:style w:type="paragraph" w:customStyle="1" w:styleId="TableBullet">
    <w:name w:val="TableBullet"/>
    <w:qFormat/>
    <w:rsid w:val="005E64B8"/>
    <w:pPr>
      <w:numPr>
        <w:numId w:val="6"/>
      </w:numPr>
      <w:spacing w:before="20" w:after="20"/>
    </w:pPr>
    <w:rPr>
      <w:rFonts w:ascii="Arial" w:eastAsia="SimSun" w:hAnsi="Arial"/>
    </w:rPr>
  </w:style>
  <w:style w:type="paragraph" w:customStyle="1" w:styleId="TableTextSmaller">
    <w:name w:val="Table Text Smaller"/>
    <w:qFormat/>
    <w:rsid w:val="005E64B8"/>
    <w:pPr>
      <w:spacing w:before="40" w:after="40"/>
    </w:pPr>
    <w:rPr>
      <w:rFonts w:ascii="Arial" w:hAnsi="Arial"/>
      <w:noProof/>
      <w:sz w:val="16"/>
      <w:szCs w:val="24"/>
    </w:rPr>
  </w:style>
  <w:style w:type="paragraph" w:customStyle="1" w:styleId="TableCaption">
    <w:name w:val="TableCaption"/>
    <w:aliases w:val="tc"/>
    <w:next w:val="Normal"/>
    <w:qFormat/>
    <w:rsid w:val="005E64B8"/>
    <w:pPr>
      <w:keepNext/>
      <w:keepLines/>
      <w:spacing w:before="400" w:after="100"/>
      <w:jc w:val="center"/>
    </w:pPr>
    <w:rPr>
      <w:rFonts w:ascii="Arial Narrow" w:hAnsi="Arial Narrow"/>
      <w:b/>
      <w:sz w:val="24"/>
      <w:szCs w:val="24"/>
    </w:rPr>
  </w:style>
  <w:style w:type="paragraph" w:customStyle="1" w:styleId="TableColumnHeading">
    <w:name w:val="TableColumnHeading"/>
    <w:next w:val="Normal"/>
    <w:qFormat/>
    <w:rsid w:val="005E64B8"/>
    <w:pPr>
      <w:spacing w:before="60" w:after="60"/>
      <w:jc w:val="center"/>
    </w:pPr>
    <w:rPr>
      <w:rFonts w:ascii="Arial" w:hAnsi="Arial"/>
      <w:b/>
      <w:szCs w:val="24"/>
    </w:rPr>
  </w:style>
  <w:style w:type="paragraph" w:customStyle="1" w:styleId="TableDecimalNumber">
    <w:name w:val="TableDecimalNumber"/>
    <w:qFormat/>
    <w:rsid w:val="005E64B8"/>
    <w:pPr>
      <w:tabs>
        <w:tab w:val="decimal" w:pos="1292"/>
      </w:tabs>
      <w:spacing w:before="40" w:after="40"/>
    </w:pPr>
    <w:rPr>
      <w:rFonts w:ascii="Arial" w:hAnsi="Arial"/>
      <w:noProof/>
      <w:sz w:val="18"/>
      <w:szCs w:val="24"/>
    </w:rPr>
  </w:style>
  <w:style w:type="paragraph" w:customStyle="1" w:styleId="TableDivHead2">
    <w:name w:val="TableDivHead2"/>
    <w:next w:val="Normal"/>
    <w:qFormat/>
    <w:rsid w:val="005E64B8"/>
    <w:pPr>
      <w:spacing w:before="40" w:after="40"/>
    </w:pPr>
    <w:rPr>
      <w:rFonts w:ascii="Arial" w:hAnsi="Arial"/>
      <w:b/>
      <w:sz w:val="24"/>
      <w:szCs w:val="24"/>
    </w:rPr>
  </w:style>
  <w:style w:type="paragraph" w:customStyle="1" w:styleId="TableDivHeading">
    <w:name w:val="TableDivHeading"/>
    <w:qFormat/>
    <w:rsid w:val="005E64B8"/>
    <w:pPr>
      <w:keepNext/>
      <w:widowControl w:val="0"/>
      <w:spacing w:before="40" w:after="40"/>
    </w:pPr>
    <w:rPr>
      <w:rFonts w:ascii="Arial" w:hAnsi="Arial"/>
      <w:b/>
      <w:sz w:val="24"/>
      <w:szCs w:val="24"/>
    </w:rPr>
  </w:style>
  <w:style w:type="paragraph" w:customStyle="1" w:styleId="TableSubHeading">
    <w:name w:val="TableSubHeading"/>
    <w:aliases w:val="tsh"/>
    <w:qFormat/>
    <w:rsid w:val="005E64B8"/>
    <w:pPr>
      <w:keepNext/>
      <w:widowControl w:val="0"/>
      <w:spacing w:before="40" w:after="40"/>
    </w:pPr>
    <w:rPr>
      <w:rFonts w:ascii="Arial" w:hAnsi="Arial"/>
      <w:b/>
      <w:sz w:val="24"/>
      <w:szCs w:val="24"/>
    </w:rPr>
  </w:style>
  <w:style w:type="paragraph" w:customStyle="1" w:styleId="TableText">
    <w:name w:val="TableText"/>
    <w:aliases w:val="tt"/>
    <w:link w:val="TableTextChar"/>
    <w:qFormat/>
    <w:rsid w:val="005E64B8"/>
    <w:pPr>
      <w:spacing w:before="40" w:after="40"/>
    </w:pPr>
    <w:rPr>
      <w:rFonts w:ascii="Arial" w:hAnsi="Arial"/>
    </w:rPr>
  </w:style>
  <w:style w:type="character" w:customStyle="1" w:styleId="TableTextChar">
    <w:name w:val="TableText Char"/>
    <w:aliases w:val="tt Char"/>
    <w:link w:val="TableText"/>
    <w:rsid w:val="00FE5CD6"/>
    <w:rPr>
      <w:rFonts w:ascii="Arial" w:hAnsi="Arial"/>
    </w:rPr>
  </w:style>
  <w:style w:type="paragraph" w:customStyle="1" w:styleId="TableVerticalHeading">
    <w:name w:val="TableVerticalHeading"/>
    <w:aliases w:val="tvh"/>
    <w:qFormat/>
    <w:rsid w:val="005E64B8"/>
    <w:pPr>
      <w:widowControl w:val="0"/>
      <w:spacing w:before="120"/>
      <w:jc w:val="center"/>
    </w:pPr>
    <w:rPr>
      <w:rFonts w:ascii="Arial" w:hAnsi="Arial"/>
      <w:b/>
      <w:sz w:val="24"/>
      <w:szCs w:val="24"/>
    </w:rPr>
  </w:style>
  <w:style w:type="paragraph" w:styleId="TOC1">
    <w:name w:val="toc 1"/>
    <w:basedOn w:val="Normal"/>
    <w:next w:val="Normal"/>
    <w:qFormat/>
    <w:rsid w:val="007F4BD6"/>
    <w:pPr>
      <w:tabs>
        <w:tab w:val="right" w:leader="dot" w:pos="9360"/>
      </w:tabs>
      <w:spacing w:before="120" w:after="120" w:line="240" w:lineRule="auto"/>
      <w:ind w:left="432" w:right="720" w:hanging="432"/>
    </w:pPr>
    <w:rPr>
      <w:rFonts w:ascii="Times New Roman" w:hAnsi="Times New Roman"/>
      <w:b/>
      <w:sz w:val="24"/>
    </w:rPr>
  </w:style>
  <w:style w:type="paragraph" w:styleId="TOC2">
    <w:name w:val="toc 2"/>
    <w:basedOn w:val="Normal"/>
    <w:next w:val="Normal"/>
    <w:qFormat/>
    <w:rsid w:val="00126382"/>
    <w:pPr>
      <w:tabs>
        <w:tab w:val="right" w:leader="dot" w:pos="9360"/>
      </w:tabs>
      <w:spacing w:before="120" w:after="120" w:line="240" w:lineRule="auto"/>
      <w:ind w:left="1008" w:right="720" w:hanging="576"/>
    </w:pPr>
    <w:rPr>
      <w:rFonts w:ascii="Times New Roman" w:hAnsi="Times New Roman"/>
      <w:sz w:val="24"/>
    </w:rPr>
  </w:style>
  <w:style w:type="paragraph" w:styleId="TOC3">
    <w:name w:val="toc 3"/>
    <w:basedOn w:val="Normal"/>
    <w:next w:val="Normal"/>
    <w:qFormat/>
    <w:rsid w:val="00126382"/>
    <w:pPr>
      <w:tabs>
        <w:tab w:val="right" w:leader="dot" w:pos="9360"/>
      </w:tabs>
      <w:spacing w:before="120" w:after="120" w:line="240" w:lineRule="auto"/>
      <w:ind w:left="1440" w:hanging="432"/>
    </w:pPr>
    <w:rPr>
      <w:rFonts w:ascii="Times New Roman" w:hAnsi="Times New Roman"/>
      <w:sz w:val="24"/>
    </w:rPr>
  </w:style>
  <w:style w:type="paragraph" w:styleId="TOC4">
    <w:name w:val="toc 4"/>
    <w:basedOn w:val="Normal"/>
    <w:next w:val="Normal"/>
    <w:qFormat/>
    <w:rsid w:val="00570E30"/>
    <w:pPr>
      <w:spacing w:after="100"/>
      <w:ind w:left="1728" w:hanging="432"/>
    </w:pPr>
    <w:rPr>
      <w:rFonts w:asciiTheme="majorHAnsi" w:hAnsiTheme="majorHAnsi"/>
      <w:sz w:val="19"/>
    </w:rPr>
  </w:style>
  <w:style w:type="paragraph" w:styleId="TOC5">
    <w:name w:val="toc 5"/>
    <w:basedOn w:val="Normal"/>
    <w:next w:val="Normal"/>
    <w:qFormat/>
    <w:rsid w:val="00570E30"/>
    <w:pPr>
      <w:spacing w:after="100"/>
      <w:ind w:left="880"/>
    </w:pPr>
    <w:rPr>
      <w:rFonts w:asciiTheme="majorHAnsi" w:hAnsiTheme="majorHAnsi"/>
    </w:rPr>
  </w:style>
  <w:style w:type="paragraph" w:customStyle="1" w:styleId="Version">
    <w:name w:val="Version"/>
    <w:basedOn w:val="Normal"/>
    <w:link w:val="VersionCharChar"/>
    <w:qFormat/>
    <w:rsid w:val="00FE5CD6"/>
    <w:pPr>
      <w:spacing w:before="600" w:after="240"/>
      <w:jc w:val="right"/>
    </w:pPr>
    <w:rPr>
      <w:rFonts w:ascii="Arial Narrow" w:hAnsi="Arial Narrow"/>
      <w:b/>
      <w:sz w:val="32"/>
      <w:szCs w:val="32"/>
    </w:rPr>
  </w:style>
  <w:style w:type="character" w:customStyle="1" w:styleId="VersionCharChar">
    <w:name w:val="Version Char Char"/>
    <w:link w:val="Version"/>
    <w:rsid w:val="00FE5CD6"/>
    <w:rPr>
      <w:rFonts w:ascii="Arial Narrow" w:eastAsia="Times New Roman" w:hAnsi="Arial Narrow" w:cs="Times New Roman"/>
      <w:b/>
      <w:sz w:val="32"/>
      <w:szCs w:val="32"/>
    </w:rPr>
  </w:style>
  <w:style w:type="paragraph" w:styleId="TOC6">
    <w:name w:val="toc 6"/>
    <w:basedOn w:val="Normal"/>
    <w:next w:val="Normal"/>
    <w:qFormat/>
    <w:rsid w:val="00570E30"/>
    <w:pPr>
      <w:spacing w:after="100"/>
      <w:ind w:left="1100"/>
    </w:pPr>
    <w:rPr>
      <w:rFonts w:asciiTheme="majorHAnsi" w:hAnsiTheme="majorHAnsi"/>
    </w:rPr>
  </w:style>
  <w:style w:type="paragraph" w:styleId="TOC7">
    <w:name w:val="toc 7"/>
    <w:basedOn w:val="Normal"/>
    <w:next w:val="Normal"/>
    <w:qFormat/>
    <w:rsid w:val="00570E30"/>
    <w:pPr>
      <w:spacing w:after="100"/>
      <w:ind w:left="1320"/>
    </w:pPr>
    <w:rPr>
      <w:rFonts w:asciiTheme="majorHAnsi" w:hAnsiTheme="majorHAnsi"/>
    </w:rPr>
  </w:style>
  <w:style w:type="paragraph" w:styleId="TOC8">
    <w:name w:val="toc 8"/>
    <w:basedOn w:val="Normal"/>
    <w:next w:val="Normal"/>
    <w:qFormat/>
    <w:rsid w:val="00B2075E"/>
    <w:pPr>
      <w:tabs>
        <w:tab w:val="right" w:leader="dot" w:pos="9360"/>
      </w:tabs>
      <w:spacing w:before="120" w:after="120" w:line="240" w:lineRule="auto"/>
      <w:ind w:left="1080" w:right="720" w:hanging="1080"/>
    </w:pPr>
    <w:rPr>
      <w:rFonts w:ascii="Times New Roman" w:hAnsi="Times New Roman"/>
      <w:b/>
      <w:sz w:val="24"/>
    </w:rPr>
  </w:style>
  <w:style w:type="paragraph" w:styleId="TOC9">
    <w:name w:val="toc 9"/>
    <w:basedOn w:val="Normal"/>
    <w:next w:val="Normal"/>
    <w:qFormat/>
    <w:rsid w:val="00D372E0"/>
    <w:pPr>
      <w:tabs>
        <w:tab w:val="right" w:leader="dot" w:pos="9360"/>
      </w:tabs>
      <w:spacing w:before="120" w:after="120" w:line="240" w:lineRule="auto"/>
      <w:ind w:left="720" w:right="720" w:hanging="720"/>
    </w:pPr>
    <w:rPr>
      <w:rFonts w:ascii="Times New Roman" w:hAnsi="Times New Roman"/>
      <w:sz w:val="24"/>
    </w:rPr>
  </w:style>
  <w:style w:type="paragraph" w:customStyle="1" w:styleId="UnnumberedHeading">
    <w:name w:val="Unnumbered Heading"/>
    <w:next w:val="Normal"/>
    <w:qFormat/>
    <w:rsid w:val="005E64B8"/>
    <w:pPr>
      <w:keepNext/>
      <w:keepLines/>
      <w:spacing w:before="240" w:after="60"/>
    </w:pPr>
    <w:rPr>
      <w:rFonts w:ascii="Arial Narrow" w:hAnsi="Arial Narrow"/>
      <w:b/>
      <w:sz w:val="26"/>
      <w:szCs w:val="24"/>
    </w:rPr>
  </w:style>
  <w:style w:type="paragraph" w:customStyle="1" w:styleId="Reference">
    <w:name w:val="Reference"/>
    <w:basedOn w:val="ListContinue"/>
    <w:qFormat/>
    <w:rsid w:val="00570E30"/>
    <w:pPr>
      <w:keepLines/>
      <w:spacing w:line="240" w:lineRule="atLeast"/>
      <w:ind w:left="288" w:hanging="288"/>
    </w:pPr>
    <w:rPr>
      <w:sz w:val="18"/>
    </w:rPr>
  </w:style>
  <w:style w:type="paragraph" w:customStyle="1" w:styleId="Disclaimer">
    <w:name w:val="Disclaimer"/>
    <w:basedOn w:val="Footer"/>
    <w:qFormat/>
    <w:rsid w:val="00570E30"/>
    <w:pPr>
      <w:pBdr>
        <w:top w:val="single" w:sz="6" w:space="4" w:color="0B2949" w:themeColor="accent1"/>
      </w:pBdr>
      <w:spacing w:before="80" w:after="80"/>
    </w:pPr>
    <w:rPr>
      <w:rFonts w:eastAsia="Times New Roman" w:cs="Times New Roman"/>
      <w:szCs w:val="20"/>
    </w:rPr>
  </w:style>
  <w:style w:type="paragraph" w:customStyle="1" w:styleId="LineSpacer">
    <w:name w:val="Line Spacer"/>
    <w:qFormat/>
    <w:rsid w:val="005E64B8"/>
    <w:pPr>
      <w:spacing w:before="120"/>
    </w:pPr>
    <w:rPr>
      <w:noProof/>
      <w:sz w:val="24"/>
      <w:szCs w:val="24"/>
    </w:rPr>
  </w:style>
  <w:style w:type="paragraph" w:customStyle="1" w:styleId="TableBulletIndented">
    <w:name w:val="TableBullet Indented"/>
    <w:qFormat/>
    <w:rsid w:val="005E64B8"/>
    <w:pPr>
      <w:numPr>
        <w:numId w:val="10"/>
      </w:numPr>
      <w:spacing w:before="120"/>
    </w:pPr>
    <w:rPr>
      <w:rFonts w:ascii="Arial" w:hAnsi="Arial"/>
    </w:rPr>
  </w:style>
  <w:style w:type="paragraph" w:customStyle="1" w:styleId="HeaderLineSpacer">
    <w:name w:val="Header Line Spacer"/>
    <w:basedOn w:val="Header"/>
    <w:qFormat/>
    <w:rsid w:val="00FE5CD6"/>
    <w:rPr>
      <w:b/>
      <w:noProof/>
      <w:szCs w:val="18"/>
    </w:rPr>
  </w:style>
  <w:style w:type="paragraph" w:customStyle="1" w:styleId="TableTextCenter">
    <w:name w:val="TableTextCenter"/>
    <w:basedOn w:val="Normal"/>
    <w:qFormat/>
    <w:rsid w:val="00FE5CD6"/>
    <w:pPr>
      <w:tabs>
        <w:tab w:val="center" w:pos="4320"/>
      </w:tabs>
      <w:spacing w:before="40" w:after="40"/>
      <w:jc w:val="center"/>
    </w:pPr>
    <w:rPr>
      <w:rFonts w:ascii="Arial" w:hAnsi="Arial"/>
      <w:noProof/>
      <w:szCs w:val="20"/>
    </w:rPr>
  </w:style>
  <w:style w:type="paragraph" w:customStyle="1" w:styleId="CustomerProgram">
    <w:name w:val="CustomerProgram"/>
    <w:basedOn w:val="ProgramName"/>
    <w:link w:val="CustomerProgramChar"/>
    <w:qFormat/>
    <w:rsid w:val="00FE5CD6"/>
    <w:rPr>
      <w:sz w:val="32"/>
    </w:rPr>
  </w:style>
  <w:style w:type="character" w:customStyle="1" w:styleId="CustomerProgramChar">
    <w:name w:val="CustomerProgram Char"/>
    <w:link w:val="CustomerProgram"/>
    <w:rsid w:val="00FE5CD6"/>
    <w:rPr>
      <w:rFonts w:ascii="Arial Narrow" w:eastAsia="Times New Roman" w:hAnsi="Arial Narrow" w:cs="Times New Roman"/>
      <w:b/>
      <w:sz w:val="32"/>
      <w:szCs w:val="24"/>
    </w:rPr>
  </w:style>
  <w:style w:type="paragraph" w:customStyle="1" w:styleId="Draft1">
    <w:name w:val="Draft1"/>
    <w:basedOn w:val="Normal"/>
    <w:qFormat/>
    <w:rsid w:val="00FE5CD6"/>
    <w:pPr>
      <w:spacing w:before="600" w:after="240"/>
      <w:jc w:val="right"/>
    </w:pPr>
    <w:rPr>
      <w:rFonts w:ascii="Arial Narrow" w:hAnsi="Arial Narrow"/>
      <w:b/>
      <w:sz w:val="32"/>
    </w:rPr>
  </w:style>
  <w:style w:type="paragraph" w:styleId="BalloonText">
    <w:name w:val="Balloon Text"/>
    <w:basedOn w:val="Normal"/>
    <w:link w:val="BalloonTextChar"/>
    <w:qFormat/>
    <w:rsid w:val="00570E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rsid w:val="00570E30"/>
    <w:rPr>
      <w:rFonts w:ascii="Segoe UI" w:eastAsiaTheme="minorHAnsi" w:hAnsi="Segoe UI" w:cs="Segoe UI"/>
      <w:sz w:val="18"/>
      <w:szCs w:val="18"/>
    </w:rPr>
  </w:style>
  <w:style w:type="paragraph" w:styleId="Caption">
    <w:name w:val="caption"/>
    <w:basedOn w:val="TableTextLeft"/>
    <w:next w:val="Normal"/>
    <w:qFormat/>
    <w:rsid w:val="00570E30"/>
    <w:pPr>
      <w:spacing w:before="240" w:after="60"/>
    </w:pPr>
    <w:rPr>
      <w:b/>
      <w:bCs/>
      <w:szCs w:val="20"/>
    </w:rPr>
  </w:style>
  <w:style w:type="character" w:styleId="CommentReference">
    <w:name w:val="annotation reference"/>
    <w:basedOn w:val="DefaultParagraphFont"/>
    <w:qFormat/>
    <w:rsid w:val="00570E30"/>
    <w:rPr>
      <w:sz w:val="16"/>
      <w:szCs w:val="16"/>
    </w:rPr>
  </w:style>
  <w:style w:type="paragraph" w:styleId="CommentText">
    <w:name w:val="annotation text"/>
    <w:basedOn w:val="Normal"/>
    <w:link w:val="CommentTextChar"/>
    <w:qFormat/>
    <w:rsid w:val="00570E30"/>
    <w:pPr>
      <w:spacing w:line="240" w:lineRule="auto"/>
    </w:pPr>
    <w:rPr>
      <w:szCs w:val="20"/>
    </w:rPr>
  </w:style>
  <w:style w:type="character" w:customStyle="1" w:styleId="CommentTextChar">
    <w:name w:val="Comment Text Char"/>
    <w:basedOn w:val="DefaultParagraphFont"/>
    <w:link w:val="CommentText"/>
    <w:rsid w:val="00570E30"/>
    <w:rPr>
      <w:rFonts w:asciiTheme="minorHAnsi" w:eastAsiaTheme="minorHAnsi" w:hAnsiTheme="minorHAnsi" w:cstheme="minorBidi"/>
    </w:rPr>
  </w:style>
  <w:style w:type="paragraph" w:styleId="CommentSubject">
    <w:name w:val="annotation subject"/>
    <w:basedOn w:val="CommentText"/>
    <w:next w:val="CommentText"/>
    <w:link w:val="CommentSubjectChar"/>
    <w:qFormat/>
    <w:rsid w:val="00570E30"/>
    <w:rPr>
      <w:b/>
      <w:bCs/>
    </w:rPr>
  </w:style>
  <w:style w:type="character" w:customStyle="1" w:styleId="CommentSubjectChar">
    <w:name w:val="Comment Subject Char"/>
    <w:basedOn w:val="CommentTextChar"/>
    <w:link w:val="CommentSubject"/>
    <w:rsid w:val="00570E30"/>
    <w:rPr>
      <w:rFonts w:asciiTheme="minorHAnsi" w:eastAsiaTheme="minorHAnsi" w:hAnsiTheme="minorHAnsi" w:cstheme="minorBidi"/>
      <w:b/>
      <w:bCs/>
    </w:rPr>
  </w:style>
  <w:style w:type="character" w:customStyle="1" w:styleId="CommentSubjectChar1">
    <w:name w:val="Comment Subject Char1"/>
    <w:qFormat/>
    <w:rsid w:val="00FE5CD6"/>
    <w:rPr>
      <w:rFonts w:ascii="Times New Roman" w:eastAsia="Times New Roman" w:hAnsi="Times New Roman" w:cs="Times New Roman"/>
      <w:b/>
      <w:bCs/>
      <w:sz w:val="20"/>
      <w:szCs w:val="24"/>
    </w:rPr>
  </w:style>
  <w:style w:type="paragraph" w:styleId="DocumentMap">
    <w:name w:val="Document Map"/>
    <w:basedOn w:val="Normal"/>
    <w:link w:val="DocumentMapChar"/>
    <w:qFormat/>
    <w:rsid w:val="00570E30"/>
    <w:pPr>
      <w:spacing w:after="0" w:line="240" w:lineRule="auto"/>
    </w:pPr>
    <w:rPr>
      <w:rFonts w:ascii="Segoe UI" w:hAnsi="Segoe UI" w:cs="Segoe UI"/>
      <w:sz w:val="16"/>
      <w:szCs w:val="16"/>
    </w:rPr>
  </w:style>
  <w:style w:type="character" w:customStyle="1" w:styleId="DocumentMapChar">
    <w:name w:val="Document Map Char"/>
    <w:basedOn w:val="DefaultParagraphFont"/>
    <w:link w:val="DocumentMap"/>
    <w:rsid w:val="00570E30"/>
    <w:rPr>
      <w:rFonts w:ascii="Segoe UI" w:eastAsiaTheme="minorHAnsi" w:hAnsi="Segoe UI" w:cs="Segoe UI"/>
      <w:sz w:val="16"/>
      <w:szCs w:val="16"/>
    </w:rPr>
  </w:style>
  <w:style w:type="character" w:styleId="EndnoteReference">
    <w:name w:val="endnote reference"/>
    <w:basedOn w:val="DefaultParagraphFont"/>
    <w:unhideWhenUsed/>
    <w:qFormat/>
    <w:rsid w:val="00570E30"/>
    <w:rPr>
      <w:vertAlign w:val="superscript"/>
    </w:rPr>
  </w:style>
  <w:style w:type="paragraph" w:styleId="EndnoteText">
    <w:name w:val="endnote text"/>
    <w:basedOn w:val="Normal"/>
    <w:link w:val="EndnoteTextChar"/>
    <w:unhideWhenUsed/>
    <w:qFormat/>
    <w:rsid w:val="00570E30"/>
    <w:pPr>
      <w:spacing w:after="60" w:line="220" w:lineRule="atLeast"/>
    </w:pPr>
    <w:rPr>
      <w:sz w:val="18"/>
      <w:szCs w:val="20"/>
    </w:rPr>
  </w:style>
  <w:style w:type="character" w:customStyle="1" w:styleId="EndnoteTextChar">
    <w:name w:val="Endnote Text Char"/>
    <w:basedOn w:val="DefaultParagraphFont"/>
    <w:link w:val="EndnoteText"/>
    <w:rsid w:val="00570E30"/>
    <w:rPr>
      <w:rFonts w:asciiTheme="minorHAnsi" w:eastAsiaTheme="minorHAnsi" w:hAnsiTheme="minorHAnsi" w:cstheme="minorBidi"/>
      <w:sz w:val="18"/>
    </w:rPr>
  </w:style>
  <w:style w:type="paragraph" w:styleId="Index1">
    <w:name w:val="index 1"/>
    <w:basedOn w:val="Normal"/>
    <w:next w:val="Normal"/>
    <w:autoRedefine/>
    <w:qFormat/>
    <w:rsid w:val="00570E30"/>
    <w:pPr>
      <w:spacing w:after="0" w:line="240" w:lineRule="auto"/>
      <w:ind w:left="200" w:hanging="200"/>
    </w:pPr>
  </w:style>
  <w:style w:type="paragraph" w:styleId="Index2">
    <w:name w:val="index 2"/>
    <w:basedOn w:val="Normal"/>
    <w:next w:val="Normal"/>
    <w:autoRedefine/>
    <w:qFormat/>
    <w:rsid w:val="00570E30"/>
    <w:pPr>
      <w:spacing w:after="0" w:line="240" w:lineRule="auto"/>
      <w:ind w:left="440" w:hanging="220"/>
    </w:pPr>
  </w:style>
  <w:style w:type="paragraph" w:styleId="Index3">
    <w:name w:val="index 3"/>
    <w:basedOn w:val="Normal"/>
    <w:next w:val="Normal"/>
    <w:autoRedefine/>
    <w:qFormat/>
    <w:rsid w:val="00570E30"/>
    <w:pPr>
      <w:spacing w:after="0" w:line="240" w:lineRule="auto"/>
      <w:ind w:left="660" w:hanging="220"/>
    </w:pPr>
  </w:style>
  <w:style w:type="paragraph" w:styleId="Index4">
    <w:name w:val="index 4"/>
    <w:basedOn w:val="Normal"/>
    <w:next w:val="Normal"/>
    <w:autoRedefine/>
    <w:qFormat/>
    <w:rsid w:val="00570E30"/>
    <w:pPr>
      <w:spacing w:after="0" w:line="240" w:lineRule="auto"/>
      <w:ind w:left="880" w:hanging="220"/>
    </w:pPr>
  </w:style>
  <w:style w:type="paragraph" w:styleId="Index5">
    <w:name w:val="index 5"/>
    <w:basedOn w:val="Normal"/>
    <w:next w:val="Normal"/>
    <w:autoRedefine/>
    <w:qFormat/>
    <w:rsid w:val="00570E30"/>
    <w:pPr>
      <w:spacing w:after="0" w:line="240" w:lineRule="auto"/>
      <w:ind w:left="1100" w:hanging="220"/>
    </w:pPr>
  </w:style>
  <w:style w:type="paragraph" w:styleId="Index6">
    <w:name w:val="index 6"/>
    <w:basedOn w:val="Normal"/>
    <w:next w:val="Normal"/>
    <w:autoRedefine/>
    <w:qFormat/>
    <w:rsid w:val="00570E30"/>
    <w:pPr>
      <w:spacing w:after="0" w:line="240" w:lineRule="auto"/>
      <w:ind w:left="1320" w:hanging="220"/>
    </w:pPr>
  </w:style>
  <w:style w:type="paragraph" w:styleId="Index7">
    <w:name w:val="index 7"/>
    <w:basedOn w:val="Normal"/>
    <w:next w:val="Normal"/>
    <w:autoRedefine/>
    <w:qFormat/>
    <w:rsid w:val="00570E30"/>
    <w:pPr>
      <w:spacing w:after="0" w:line="240" w:lineRule="auto"/>
      <w:ind w:left="1540" w:hanging="220"/>
    </w:pPr>
  </w:style>
  <w:style w:type="paragraph" w:styleId="Index8">
    <w:name w:val="index 8"/>
    <w:basedOn w:val="Normal"/>
    <w:next w:val="Normal"/>
    <w:autoRedefine/>
    <w:qFormat/>
    <w:rsid w:val="00570E30"/>
    <w:pPr>
      <w:spacing w:after="0" w:line="240" w:lineRule="auto"/>
      <w:ind w:left="1760" w:hanging="220"/>
    </w:pPr>
  </w:style>
  <w:style w:type="paragraph" w:styleId="Index9">
    <w:name w:val="index 9"/>
    <w:basedOn w:val="Normal"/>
    <w:next w:val="Normal"/>
    <w:autoRedefine/>
    <w:qFormat/>
    <w:rsid w:val="00570E30"/>
    <w:pPr>
      <w:spacing w:after="0" w:line="240" w:lineRule="auto"/>
      <w:ind w:left="1980" w:hanging="220"/>
    </w:pPr>
  </w:style>
  <w:style w:type="paragraph" w:styleId="IndexHeading">
    <w:name w:val="index heading"/>
    <w:basedOn w:val="Normal"/>
    <w:next w:val="Index1"/>
    <w:qFormat/>
    <w:rsid w:val="00570E30"/>
    <w:rPr>
      <w:rFonts w:asciiTheme="majorHAnsi" w:eastAsiaTheme="majorEastAsia" w:hAnsiTheme="majorHAnsi" w:cstheme="majorBidi"/>
      <w:b/>
      <w:bCs/>
    </w:rPr>
  </w:style>
  <w:style w:type="paragraph" w:styleId="MacroText">
    <w:name w:val="macro"/>
    <w:link w:val="MacroTextChar"/>
    <w:qFormat/>
    <w:rsid w:val="00570E30"/>
    <w:pPr>
      <w:tabs>
        <w:tab w:val="left" w:pos="480"/>
        <w:tab w:val="left" w:pos="960"/>
        <w:tab w:val="left" w:pos="1440"/>
        <w:tab w:val="left" w:pos="1920"/>
        <w:tab w:val="left" w:pos="2400"/>
        <w:tab w:val="left" w:pos="2880"/>
        <w:tab w:val="left" w:pos="3360"/>
        <w:tab w:val="left" w:pos="3840"/>
        <w:tab w:val="left" w:pos="4320"/>
      </w:tabs>
      <w:spacing w:line="264" w:lineRule="auto"/>
    </w:pPr>
    <w:rPr>
      <w:rFonts w:ascii="Consolas" w:eastAsiaTheme="minorHAnsi" w:hAnsi="Consolas" w:cstheme="minorBidi"/>
    </w:rPr>
  </w:style>
  <w:style w:type="character" w:customStyle="1" w:styleId="MacroTextChar">
    <w:name w:val="Macro Text Char"/>
    <w:basedOn w:val="DefaultParagraphFont"/>
    <w:link w:val="MacroText"/>
    <w:rsid w:val="00570E30"/>
    <w:rPr>
      <w:rFonts w:ascii="Consolas" w:eastAsiaTheme="minorHAnsi" w:hAnsi="Consolas" w:cstheme="minorBidi"/>
    </w:rPr>
  </w:style>
  <w:style w:type="paragraph" w:styleId="TableofAuthorities">
    <w:name w:val="table of authorities"/>
    <w:basedOn w:val="Normal"/>
    <w:next w:val="Normal"/>
    <w:qFormat/>
    <w:rsid w:val="00570E30"/>
    <w:pPr>
      <w:spacing w:after="0"/>
      <w:ind w:left="220" w:hanging="220"/>
    </w:pPr>
  </w:style>
  <w:style w:type="paragraph" w:styleId="TableofFigures">
    <w:name w:val="table of figures"/>
    <w:basedOn w:val="Normal"/>
    <w:next w:val="Normal"/>
    <w:qFormat/>
    <w:rsid w:val="00570E30"/>
    <w:pPr>
      <w:spacing w:after="0"/>
    </w:pPr>
  </w:style>
  <w:style w:type="paragraph" w:styleId="TOAHeading">
    <w:name w:val="toa heading"/>
    <w:basedOn w:val="Normal"/>
    <w:next w:val="Normal"/>
    <w:qFormat/>
    <w:rsid w:val="00570E30"/>
    <w:pPr>
      <w:spacing w:before="120"/>
    </w:pPr>
    <w:rPr>
      <w:rFonts w:asciiTheme="majorHAnsi" w:eastAsiaTheme="majorEastAsia" w:hAnsiTheme="majorHAnsi" w:cstheme="majorBidi"/>
      <w:b/>
      <w:bCs/>
      <w:sz w:val="24"/>
      <w:szCs w:val="24"/>
    </w:rPr>
  </w:style>
  <w:style w:type="paragraph" w:customStyle="1" w:styleId="VersionDateLineFooter">
    <w:name w:val="VersionDateLine Footer"/>
    <w:basedOn w:val="Footer"/>
    <w:qFormat/>
    <w:rsid w:val="00FE5CD6"/>
    <w:pPr>
      <w:spacing w:before="0"/>
    </w:pPr>
  </w:style>
  <w:style w:type="paragraph" w:customStyle="1" w:styleId="NumberedList0">
    <w:name w:val="Numbered List"/>
    <w:basedOn w:val="Normal"/>
    <w:qFormat/>
    <w:rsid w:val="005E64B8"/>
    <w:pPr>
      <w:numPr>
        <w:numId w:val="8"/>
      </w:numPr>
    </w:pPr>
  </w:style>
  <w:style w:type="paragraph" w:customStyle="1" w:styleId="NumberedListLast">
    <w:name w:val="Numbered List Last"/>
    <w:basedOn w:val="NumberedList0"/>
    <w:qFormat/>
    <w:rsid w:val="00FE5CD6"/>
    <w:pPr>
      <w:spacing w:after="280"/>
    </w:pPr>
  </w:style>
  <w:style w:type="paragraph" w:customStyle="1" w:styleId="Instruction">
    <w:name w:val="Instruction"/>
    <w:basedOn w:val="Normal"/>
    <w:qFormat/>
    <w:rsid w:val="00FE5CD6"/>
    <w:rPr>
      <w:color w:val="0070C0"/>
    </w:rPr>
  </w:style>
  <w:style w:type="table" w:styleId="TableGrid">
    <w:name w:val="Table Grid"/>
    <w:basedOn w:val="TableNormal"/>
    <w:rsid w:val="00570E30"/>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nhideWhenUsed/>
    <w:qFormat/>
    <w:rsid w:val="00570E30"/>
    <w:rPr>
      <w:color w:val="0563C1" w:themeColor="hyperlink"/>
      <w:u w:val="single"/>
    </w:rPr>
  </w:style>
  <w:style w:type="paragraph" w:customStyle="1" w:styleId="NumberedList2bulleted">
    <w:name w:val="Numbered List 2 (bulleted)"/>
    <w:qFormat/>
    <w:rsid w:val="005E64B8"/>
    <w:pPr>
      <w:numPr>
        <w:numId w:val="9"/>
      </w:numPr>
      <w:spacing w:before="60" w:after="60"/>
      <w:ind w:left="1080"/>
    </w:pPr>
    <w:rPr>
      <w:rFonts w:cs="Arial"/>
      <w:bCs/>
      <w:kern w:val="32"/>
      <w:sz w:val="24"/>
      <w:szCs w:val="24"/>
    </w:rPr>
  </w:style>
  <w:style w:type="paragraph" w:customStyle="1" w:styleId="TableVerticalHeading1">
    <w:name w:val="TableVerticalHeading1"/>
    <w:aliases w:val="tvh1"/>
    <w:next w:val="TableVerticalHeading"/>
    <w:qFormat/>
    <w:rsid w:val="005E64B8"/>
    <w:pPr>
      <w:widowControl w:val="0"/>
      <w:spacing w:before="120"/>
      <w:jc w:val="center"/>
    </w:pPr>
    <w:rPr>
      <w:rFonts w:ascii="Arial" w:hAnsi="Arial"/>
      <w:b/>
      <w:sz w:val="24"/>
      <w:szCs w:val="24"/>
    </w:rPr>
  </w:style>
  <w:style w:type="paragraph" w:customStyle="1" w:styleId="CoverFooter">
    <w:name w:val="CoverFooter"/>
    <w:basedOn w:val="Normal"/>
    <w:qFormat/>
    <w:rsid w:val="00FE5CD6"/>
  </w:style>
  <w:style w:type="paragraph" w:customStyle="1" w:styleId="CommentSubject1">
    <w:name w:val="Comment Subject1"/>
    <w:basedOn w:val="CommentText"/>
    <w:next w:val="CommentText"/>
    <w:qFormat/>
    <w:rsid w:val="00FE5CD6"/>
    <w:rPr>
      <w:b/>
      <w:bCs/>
    </w:rPr>
  </w:style>
  <w:style w:type="character" w:styleId="FollowedHyperlink">
    <w:name w:val="FollowedHyperlink"/>
    <w:basedOn w:val="DefaultParagraphFont"/>
    <w:qFormat/>
    <w:rsid w:val="00570E30"/>
    <w:rPr>
      <w:color w:val="0563C1" w:themeColor="followedHyperlink"/>
      <w:u w:val="single"/>
    </w:rPr>
  </w:style>
  <w:style w:type="paragraph" w:customStyle="1" w:styleId="Caption-Figure">
    <w:name w:val="Caption - Figure"/>
    <w:next w:val="Normal"/>
    <w:qFormat/>
    <w:rsid w:val="005E64B8"/>
    <w:pPr>
      <w:spacing w:before="120" w:after="240"/>
      <w:jc w:val="center"/>
    </w:pPr>
    <w:rPr>
      <w:rFonts w:ascii="Arial Narrow" w:eastAsia="SimSun" w:hAnsi="Arial Narrow"/>
      <w:b/>
      <w:color w:val="1F497D"/>
      <w:sz w:val="24"/>
      <w:szCs w:val="24"/>
      <w:lang w:eastAsia="zh-CN"/>
    </w:rPr>
  </w:style>
  <w:style w:type="paragraph" w:customStyle="1" w:styleId="footnotedescription">
    <w:name w:val="footnote description"/>
    <w:next w:val="Normal"/>
    <w:link w:val="footnotedescriptionCharChar"/>
    <w:qFormat/>
    <w:rsid w:val="005E64B8"/>
    <w:pPr>
      <w:spacing w:before="120"/>
    </w:pPr>
    <w:rPr>
      <w:rFonts w:ascii="Calibri" w:eastAsia="Calibri" w:hAnsi="Calibri" w:cs="Calibri"/>
      <w:sz w:val="18"/>
      <w:szCs w:val="24"/>
      <w:lang w:eastAsia="zh-CN"/>
    </w:rPr>
  </w:style>
  <w:style w:type="character" w:customStyle="1" w:styleId="footnotedescriptionCharChar">
    <w:name w:val="footnote description Char Char"/>
    <w:link w:val="footnotedescription"/>
    <w:rsid w:val="00FE5CD6"/>
    <w:rPr>
      <w:rFonts w:ascii="Calibri" w:eastAsia="Calibri" w:hAnsi="Calibri" w:cs="Calibri"/>
      <w:sz w:val="18"/>
      <w:szCs w:val="24"/>
      <w:lang w:eastAsia="zh-CN"/>
    </w:rPr>
  </w:style>
  <w:style w:type="paragraph" w:customStyle="1" w:styleId="DocumentMapCharChar">
    <w:name w:val="Document Map Char Char"/>
    <w:basedOn w:val="Normal"/>
    <w:qFormat/>
    <w:rsid w:val="00FE5CD6"/>
    <w:rPr>
      <w:rFonts w:ascii="Tahoma" w:hAnsi="Tahoma" w:cs="Tahoma"/>
    </w:rPr>
  </w:style>
  <w:style w:type="paragraph" w:customStyle="1" w:styleId="Index11">
    <w:name w:val="Index 11"/>
    <w:basedOn w:val="Normal"/>
    <w:next w:val="Normal"/>
    <w:qFormat/>
    <w:rsid w:val="00FE5CD6"/>
    <w:pPr>
      <w:ind w:left="240" w:hanging="240"/>
    </w:pPr>
  </w:style>
  <w:style w:type="paragraph" w:customStyle="1" w:styleId="Index21">
    <w:name w:val="Index 21"/>
    <w:basedOn w:val="Normal"/>
    <w:next w:val="Normal"/>
    <w:qFormat/>
    <w:rsid w:val="00FE5CD6"/>
    <w:pPr>
      <w:ind w:left="480" w:hanging="240"/>
    </w:pPr>
  </w:style>
  <w:style w:type="paragraph" w:customStyle="1" w:styleId="Index31">
    <w:name w:val="Index 31"/>
    <w:basedOn w:val="Normal"/>
    <w:next w:val="Normal"/>
    <w:qFormat/>
    <w:rsid w:val="00FE5CD6"/>
    <w:pPr>
      <w:ind w:left="720" w:hanging="240"/>
    </w:pPr>
  </w:style>
  <w:style w:type="paragraph" w:customStyle="1" w:styleId="Index41">
    <w:name w:val="Index 41"/>
    <w:basedOn w:val="Normal"/>
    <w:next w:val="Normal"/>
    <w:qFormat/>
    <w:rsid w:val="00FE5CD6"/>
    <w:pPr>
      <w:ind w:left="960" w:hanging="240"/>
    </w:pPr>
  </w:style>
  <w:style w:type="paragraph" w:customStyle="1" w:styleId="Index51">
    <w:name w:val="Index 51"/>
    <w:basedOn w:val="Normal"/>
    <w:next w:val="Normal"/>
    <w:qFormat/>
    <w:rsid w:val="00FE5CD6"/>
    <w:pPr>
      <w:ind w:left="1200" w:hanging="240"/>
    </w:pPr>
  </w:style>
  <w:style w:type="paragraph" w:customStyle="1" w:styleId="Index61">
    <w:name w:val="Index 61"/>
    <w:basedOn w:val="Normal"/>
    <w:next w:val="Normal"/>
    <w:qFormat/>
    <w:rsid w:val="00FE5CD6"/>
    <w:pPr>
      <w:ind w:left="1440" w:hanging="240"/>
    </w:pPr>
  </w:style>
  <w:style w:type="paragraph" w:customStyle="1" w:styleId="Index71">
    <w:name w:val="Index 71"/>
    <w:basedOn w:val="Normal"/>
    <w:next w:val="Normal"/>
    <w:qFormat/>
    <w:rsid w:val="00FE5CD6"/>
    <w:pPr>
      <w:ind w:left="1680" w:hanging="240"/>
    </w:pPr>
  </w:style>
  <w:style w:type="paragraph" w:customStyle="1" w:styleId="Index81">
    <w:name w:val="Index 81"/>
    <w:basedOn w:val="Normal"/>
    <w:next w:val="Normal"/>
    <w:qFormat/>
    <w:rsid w:val="00FE5CD6"/>
    <w:pPr>
      <w:ind w:left="1920" w:hanging="240"/>
    </w:pPr>
  </w:style>
  <w:style w:type="paragraph" w:customStyle="1" w:styleId="Index91">
    <w:name w:val="Index 91"/>
    <w:basedOn w:val="Normal"/>
    <w:next w:val="Normal"/>
    <w:qFormat/>
    <w:rsid w:val="00FE5CD6"/>
    <w:pPr>
      <w:ind w:left="2160" w:hanging="240"/>
    </w:pPr>
  </w:style>
  <w:style w:type="paragraph" w:customStyle="1" w:styleId="IndexHeading1">
    <w:name w:val="Index Heading1"/>
    <w:basedOn w:val="Normal"/>
    <w:next w:val="Index11"/>
    <w:qFormat/>
    <w:rsid w:val="00FE5CD6"/>
    <w:rPr>
      <w:rFonts w:ascii="Arial" w:hAnsi="Arial" w:cs="Arial"/>
      <w:b/>
      <w:bCs/>
    </w:rPr>
  </w:style>
  <w:style w:type="paragraph" w:customStyle="1" w:styleId="MacroText1">
    <w:name w:val="Macro Text1"/>
    <w:qFormat/>
    <w:rsid w:val="005E64B8"/>
    <w:pPr>
      <w:tabs>
        <w:tab w:val="left" w:pos="480"/>
        <w:tab w:val="left" w:pos="960"/>
        <w:tab w:val="left" w:pos="1440"/>
        <w:tab w:val="left" w:pos="1920"/>
        <w:tab w:val="left" w:pos="2400"/>
        <w:tab w:val="left" w:pos="2880"/>
        <w:tab w:val="left" w:pos="3360"/>
        <w:tab w:val="left" w:pos="3840"/>
        <w:tab w:val="left" w:pos="4320"/>
      </w:tabs>
      <w:spacing w:before="120" w:after="120"/>
    </w:pPr>
    <w:rPr>
      <w:rFonts w:ascii="Courier New" w:eastAsia="SimSun" w:hAnsi="Courier New" w:cs="Courier New"/>
      <w:sz w:val="24"/>
      <w:szCs w:val="24"/>
      <w:lang w:eastAsia="zh-CN"/>
    </w:rPr>
  </w:style>
  <w:style w:type="paragraph" w:customStyle="1" w:styleId="TableofAuthorities1">
    <w:name w:val="Table of Authorities1"/>
    <w:basedOn w:val="Normal"/>
    <w:next w:val="Normal"/>
    <w:qFormat/>
    <w:rsid w:val="00FE5CD6"/>
    <w:pPr>
      <w:ind w:left="240" w:hanging="240"/>
    </w:pPr>
  </w:style>
  <w:style w:type="paragraph" w:customStyle="1" w:styleId="TableofFigures1">
    <w:name w:val="Table of Figures1"/>
    <w:basedOn w:val="Normal"/>
    <w:next w:val="Normal"/>
    <w:qFormat/>
    <w:rsid w:val="00FE5CD6"/>
  </w:style>
  <w:style w:type="paragraph" w:customStyle="1" w:styleId="TOAHeading1">
    <w:name w:val="TOA Heading1"/>
    <w:basedOn w:val="Normal"/>
    <w:next w:val="Normal"/>
    <w:qFormat/>
    <w:rsid w:val="00FE5CD6"/>
    <w:rPr>
      <w:rFonts w:ascii="Arial" w:hAnsi="Arial" w:cs="Arial"/>
      <w:b/>
      <w:bCs/>
    </w:rPr>
  </w:style>
  <w:style w:type="paragraph" w:customStyle="1" w:styleId="ListParagraph1">
    <w:name w:val="List Paragraph1"/>
    <w:basedOn w:val="Normal"/>
    <w:qFormat/>
    <w:rsid w:val="00FE5CD6"/>
    <w:pPr>
      <w:spacing w:after="0"/>
      <w:ind w:left="720"/>
      <w:contextualSpacing/>
    </w:pPr>
  </w:style>
  <w:style w:type="paragraph" w:customStyle="1" w:styleId="Revision1">
    <w:name w:val="Revision1"/>
    <w:qFormat/>
    <w:rsid w:val="005E64B8"/>
    <w:pPr>
      <w:spacing w:before="120"/>
    </w:pPr>
    <w:rPr>
      <w:rFonts w:ascii="Calibri" w:eastAsia="Calibri" w:hAnsi="Calibri" w:cs="Calibri"/>
      <w:sz w:val="24"/>
      <w:szCs w:val="24"/>
      <w:lang w:eastAsia="zh-CN"/>
    </w:rPr>
  </w:style>
  <w:style w:type="paragraph" w:customStyle="1" w:styleId="HTMLPreformattedCharChar">
    <w:name w:val="HTML Preformatted Char Char"/>
    <w:basedOn w:val="Normal"/>
    <w:link w:val="HTMLPreformattedCharCharChar"/>
    <w:qFormat/>
    <w:rsid w:val="00FE5CD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Verdana" w:hAnsi="Verdana" w:cs="Courier New"/>
      <w:sz w:val="17"/>
      <w:szCs w:val="17"/>
    </w:rPr>
  </w:style>
  <w:style w:type="character" w:customStyle="1" w:styleId="HTMLPreformattedCharCharChar">
    <w:name w:val="HTML Preformatted Char Char Char"/>
    <w:link w:val="HTMLPreformattedCharChar"/>
    <w:rsid w:val="00FE5CD6"/>
    <w:rPr>
      <w:rFonts w:ascii="Verdana" w:eastAsia="Times New Roman" w:hAnsi="Verdana" w:cs="Courier New"/>
      <w:sz w:val="17"/>
      <w:szCs w:val="17"/>
    </w:rPr>
  </w:style>
  <w:style w:type="paragraph" w:customStyle="1" w:styleId="NoSpacing1">
    <w:name w:val="No Spacing1"/>
    <w:qFormat/>
    <w:rsid w:val="005E64B8"/>
    <w:pPr>
      <w:spacing w:before="120"/>
    </w:pPr>
    <w:rPr>
      <w:rFonts w:ascii="Calibri" w:eastAsia="Calibri" w:hAnsi="Calibri"/>
      <w:sz w:val="24"/>
      <w:szCs w:val="24"/>
    </w:rPr>
  </w:style>
  <w:style w:type="paragraph" w:customStyle="1" w:styleId="TextIndent1">
    <w:name w:val="Text Indent 1"/>
    <w:basedOn w:val="Normal"/>
    <w:qFormat/>
    <w:rsid w:val="00FE5CD6"/>
    <w:pPr>
      <w:spacing w:after="200" w:line="276" w:lineRule="auto"/>
      <w:ind w:left="720"/>
    </w:pPr>
    <w:rPr>
      <w:rFonts w:eastAsia="Calibri" w:cs="Calibri"/>
    </w:rPr>
  </w:style>
  <w:style w:type="paragraph" w:customStyle="1" w:styleId="BulletListMultipleInd3">
    <w:name w:val="Bullet List Multiple Ind 3"/>
    <w:basedOn w:val="BulletListMultiple"/>
    <w:qFormat/>
    <w:rsid w:val="00FE5CD6"/>
    <w:pPr>
      <w:numPr>
        <w:ilvl w:val="2"/>
        <w:numId w:val="11"/>
      </w:numPr>
      <w:tabs>
        <w:tab w:val="left" w:pos="720"/>
      </w:tabs>
      <w:ind w:left="1980" w:hanging="270"/>
    </w:pPr>
  </w:style>
  <w:style w:type="paragraph" w:customStyle="1" w:styleId="TextIndent2">
    <w:name w:val="Text Indent 2"/>
    <w:basedOn w:val="Normal"/>
    <w:qFormat/>
    <w:rsid w:val="00FE5CD6"/>
    <w:pPr>
      <w:spacing w:before="100" w:beforeAutospacing="1" w:after="100" w:afterAutospacing="1"/>
      <w:ind w:left="1080"/>
    </w:pPr>
    <w:rPr>
      <w:color w:val="1A1A1A"/>
    </w:rPr>
  </w:style>
  <w:style w:type="paragraph" w:customStyle="1" w:styleId="BulletListMultipleInd1">
    <w:name w:val="Bullet List Multiple Ind 1"/>
    <w:basedOn w:val="BulletListMultiple"/>
    <w:qFormat/>
    <w:rsid w:val="00FE5CD6"/>
    <w:pPr>
      <w:numPr>
        <w:numId w:val="0"/>
      </w:numPr>
      <w:ind w:left="1080" w:hanging="360"/>
    </w:pPr>
  </w:style>
  <w:style w:type="paragraph" w:customStyle="1" w:styleId="TextIndent3">
    <w:name w:val="Text Indent 3"/>
    <w:basedOn w:val="Normal"/>
    <w:qFormat/>
    <w:rsid w:val="00FE5CD6"/>
    <w:pPr>
      <w:spacing w:before="100" w:beforeAutospacing="1" w:after="100" w:afterAutospacing="1"/>
      <w:ind w:left="1800"/>
    </w:pPr>
    <w:rPr>
      <w:color w:val="1A1A1A"/>
    </w:rPr>
  </w:style>
  <w:style w:type="paragraph" w:customStyle="1" w:styleId="TextIndent4">
    <w:name w:val="Text Indent 4"/>
    <w:basedOn w:val="Normal"/>
    <w:qFormat/>
    <w:rsid w:val="00FE5CD6"/>
    <w:pPr>
      <w:spacing w:before="100" w:beforeAutospacing="1" w:after="100" w:afterAutospacing="1"/>
      <w:ind w:left="2610"/>
    </w:pPr>
    <w:rPr>
      <w:color w:val="1A1A1A"/>
    </w:rPr>
  </w:style>
  <w:style w:type="paragraph" w:customStyle="1" w:styleId="BaseText">
    <w:name w:val="Base Text"/>
    <w:basedOn w:val="Normal"/>
    <w:qFormat/>
    <w:rsid w:val="00FE5CD6"/>
    <w:pPr>
      <w:spacing w:after="200" w:line="276" w:lineRule="auto"/>
    </w:pPr>
  </w:style>
  <w:style w:type="paragraph" w:customStyle="1" w:styleId="BaseTextIndent">
    <w:name w:val="Base Text Indent"/>
    <w:basedOn w:val="TextIndent1"/>
    <w:qFormat/>
    <w:rsid w:val="00FE5CD6"/>
    <w:pPr>
      <w:ind w:left="360"/>
    </w:pPr>
  </w:style>
  <w:style w:type="paragraph" w:customStyle="1" w:styleId="box">
    <w:name w:val="box"/>
    <w:basedOn w:val="Normal"/>
    <w:qFormat/>
    <w:rsid w:val="00FE5CD6"/>
    <w:pPr>
      <w:spacing w:before="100" w:beforeAutospacing="1" w:after="100" w:afterAutospacing="1"/>
    </w:pPr>
    <w:rPr>
      <w:rFonts w:eastAsia="Calibri"/>
    </w:rPr>
  </w:style>
  <w:style w:type="paragraph" w:customStyle="1" w:styleId="subheading">
    <w:name w:val="subheading"/>
    <w:basedOn w:val="Normal"/>
    <w:qFormat/>
    <w:rsid w:val="00FE5CD6"/>
    <w:pPr>
      <w:spacing w:before="100" w:beforeAutospacing="1" w:after="100" w:afterAutospacing="1"/>
    </w:pPr>
    <w:rPr>
      <w:rFonts w:eastAsia="Calibri"/>
    </w:rPr>
  </w:style>
  <w:style w:type="paragraph" w:customStyle="1" w:styleId="Default">
    <w:name w:val="Default"/>
    <w:qFormat/>
    <w:rsid w:val="005E64B8"/>
    <w:pPr>
      <w:autoSpaceDE w:val="0"/>
      <w:autoSpaceDN w:val="0"/>
      <w:adjustRightInd w:val="0"/>
      <w:spacing w:before="120"/>
    </w:pPr>
    <w:rPr>
      <w:rFonts w:eastAsia="SimSun"/>
      <w:sz w:val="24"/>
      <w:szCs w:val="24"/>
      <w:lang w:eastAsia="zh-CN"/>
    </w:rPr>
  </w:style>
  <w:style w:type="paragraph" w:customStyle="1" w:styleId="Cover-DocTitle">
    <w:name w:val="Cover - Doc Title"/>
    <w:link w:val="Cover-DocTitleCharChar"/>
    <w:qFormat/>
    <w:rsid w:val="005E64B8"/>
    <w:pPr>
      <w:spacing w:before="120" w:after="360"/>
    </w:pPr>
    <w:rPr>
      <w:rFonts w:ascii="Cambria" w:eastAsia="SimSun" w:hAnsi="Cambria"/>
      <w:b/>
      <w:bCs/>
      <w:color w:val="1F497D"/>
      <w:kern w:val="32"/>
      <w:sz w:val="48"/>
      <w:szCs w:val="32"/>
      <w:lang w:eastAsia="zh-CN"/>
    </w:rPr>
  </w:style>
  <w:style w:type="character" w:customStyle="1" w:styleId="Cover-DocTitleCharChar">
    <w:name w:val="Cover - Doc Title Char Char"/>
    <w:link w:val="Cover-DocTitle"/>
    <w:rsid w:val="00FE5CD6"/>
    <w:rPr>
      <w:rFonts w:ascii="Cambria" w:eastAsia="SimSun" w:hAnsi="Cambria"/>
      <w:b/>
      <w:bCs/>
      <w:color w:val="1F497D"/>
      <w:kern w:val="32"/>
      <w:sz w:val="48"/>
      <w:szCs w:val="32"/>
      <w:lang w:eastAsia="zh-CN"/>
    </w:rPr>
  </w:style>
  <w:style w:type="paragraph" w:customStyle="1" w:styleId="TableColumnHeading0">
    <w:name w:val="Table Column Heading"/>
    <w:qFormat/>
    <w:rsid w:val="005E64B8"/>
    <w:pPr>
      <w:spacing w:before="40" w:after="40"/>
      <w:jc w:val="center"/>
    </w:pPr>
    <w:rPr>
      <w:rFonts w:ascii="Arial" w:eastAsia="SimSun" w:hAnsi="Arial"/>
      <w:b/>
      <w:sz w:val="24"/>
      <w:szCs w:val="24"/>
      <w:lang w:eastAsia="zh-CN"/>
    </w:rPr>
  </w:style>
  <w:style w:type="paragraph" w:customStyle="1" w:styleId="Numberedlist">
    <w:name w:val="Numbered list"/>
    <w:basedOn w:val="Normal"/>
    <w:qFormat/>
    <w:rsid w:val="00FE5CD6"/>
    <w:pPr>
      <w:numPr>
        <w:numId w:val="12"/>
      </w:numPr>
    </w:pPr>
  </w:style>
  <w:style w:type="paragraph" w:customStyle="1" w:styleId="Numberedlist2">
    <w:name w:val="Numbered list 2"/>
    <w:basedOn w:val="Normal"/>
    <w:qFormat/>
    <w:rsid w:val="00FE5CD6"/>
    <w:pPr>
      <w:numPr>
        <w:numId w:val="13"/>
      </w:numPr>
    </w:pPr>
  </w:style>
  <w:style w:type="paragraph" w:customStyle="1" w:styleId="Caption-Table">
    <w:name w:val="Caption - Table"/>
    <w:basedOn w:val="Caption-Figure"/>
    <w:next w:val="Normal"/>
    <w:qFormat/>
    <w:rsid w:val="00FE5CD6"/>
  </w:style>
  <w:style w:type="paragraph" w:customStyle="1" w:styleId="BulletSecondLevel">
    <w:name w:val="Bullet Second Level"/>
    <w:qFormat/>
    <w:rsid w:val="005E64B8"/>
    <w:pPr>
      <w:numPr>
        <w:numId w:val="14"/>
      </w:numPr>
      <w:tabs>
        <w:tab w:val="left" w:pos="630"/>
      </w:tabs>
      <w:spacing w:before="40" w:after="40"/>
      <w:ind w:left="634" w:hanging="274"/>
    </w:pPr>
    <w:rPr>
      <w:rFonts w:eastAsia="SimSun"/>
      <w:sz w:val="24"/>
      <w:szCs w:val="24"/>
      <w:lang w:eastAsia="zh-CN"/>
    </w:rPr>
  </w:style>
  <w:style w:type="paragraph" w:customStyle="1" w:styleId="BulletThirdLevel">
    <w:name w:val="Bullet Third Level"/>
    <w:qFormat/>
    <w:rsid w:val="005E64B8"/>
    <w:pPr>
      <w:numPr>
        <w:numId w:val="15"/>
      </w:numPr>
      <w:tabs>
        <w:tab w:val="left" w:pos="900"/>
      </w:tabs>
      <w:spacing w:before="60" w:after="60"/>
      <w:ind w:left="900" w:hanging="180"/>
    </w:pPr>
    <w:rPr>
      <w:rFonts w:eastAsia="SimSun"/>
      <w:sz w:val="24"/>
      <w:szCs w:val="24"/>
      <w:lang w:eastAsia="zh-CN"/>
    </w:rPr>
  </w:style>
  <w:style w:type="paragraph" w:customStyle="1" w:styleId="NormalWebCharChar">
    <w:name w:val="Normal (Web) Char Char"/>
    <w:basedOn w:val="Normal"/>
    <w:qFormat/>
    <w:rsid w:val="00FE5CD6"/>
    <w:pPr>
      <w:spacing w:before="100" w:beforeAutospacing="1" w:after="100" w:afterAutospacing="1"/>
    </w:pPr>
    <w:rPr>
      <w:rFonts w:ascii="Times" w:hAnsi="Times"/>
    </w:rPr>
  </w:style>
  <w:style w:type="character" w:customStyle="1" w:styleId="PageNumber1">
    <w:name w:val="Page Number1"/>
    <w:basedOn w:val="DefaultParagraphFont"/>
    <w:qFormat/>
    <w:rsid w:val="00FE5CD6"/>
  </w:style>
  <w:style w:type="character" w:customStyle="1" w:styleId="ProgramNameCharChar">
    <w:name w:val="Program Name Char Char"/>
    <w:qFormat/>
    <w:rsid w:val="00FE5CD6"/>
    <w:rPr>
      <w:rFonts w:ascii="Arial Narrow" w:hAnsi="Arial Narrow"/>
      <w:b/>
      <w:sz w:val="40"/>
      <w:lang w:val="en-US" w:eastAsia="en-US"/>
    </w:rPr>
  </w:style>
  <w:style w:type="character" w:customStyle="1" w:styleId="CustomerProgramCharChar">
    <w:name w:val="CustomerProgram Char Char"/>
    <w:qFormat/>
    <w:rsid w:val="00FE5CD6"/>
    <w:rPr>
      <w:rFonts w:ascii="Arial Narrow" w:hAnsi="Arial Narrow"/>
      <w:b/>
      <w:sz w:val="32"/>
      <w:lang w:val="en-US" w:eastAsia="en-US"/>
    </w:rPr>
  </w:style>
  <w:style w:type="character" w:customStyle="1" w:styleId="TableTextCharChar">
    <w:name w:val="TableText Char Char"/>
    <w:qFormat/>
    <w:rsid w:val="00FE5CD6"/>
    <w:rPr>
      <w:rFonts w:ascii="Arial" w:hAnsi="Arial"/>
    </w:rPr>
  </w:style>
  <w:style w:type="character" w:customStyle="1" w:styleId="CommentReference1">
    <w:name w:val="Comment Reference1"/>
    <w:qFormat/>
    <w:rsid w:val="00FE5CD6"/>
    <w:rPr>
      <w:sz w:val="16"/>
      <w:szCs w:val="16"/>
    </w:rPr>
  </w:style>
  <w:style w:type="character" w:customStyle="1" w:styleId="footnotemark">
    <w:name w:val="footnote mark"/>
    <w:qFormat/>
    <w:rsid w:val="00FE5CD6"/>
    <w:rPr>
      <w:rFonts w:ascii="Calibri" w:eastAsia="Calibri" w:hAnsi="Calibri" w:cs="Calibri"/>
      <w:sz w:val="18"/>
      <w:vertAlign w:val="superscript"/>
    </w:rPr>
  </w:style>
  <w:style w:type="character" w:customStyle="1" w:styleId="PlainTextChar1">
    <w:name w:val="Plain Text Char1"/>
    <w:qFormat/>
    <w:rsid w:val="00FE5CD6"/>
    <w:rPr>
      <w:rFonts w:ascii="Consolas" w:hAnsi="Consolas" w:cs="Consolas"/>
      <w:sz w:val="21"/>
      <w:szCs w:val="21"/>
    </w:rPr>
  </w:style>
  <w:style w:type="character" w:customStyle="1" w:styleId="vsmetalabeltext">
    <w:name w:val="vsmetalabeltext"/>
    <w:basedOn w:val="DefaultParagraphFont"/>
    <w:qFormat/>
    <w:rsid w:val="00FE5CD6"/>
  </w:style>
  <w:style w:type="character" w:customStyle="1" w:styleId="vsmetalabeltext1">
    <w:name w:val="vsmetalabeltext1"/>
    <w:qFormat/>
    <w:rsid w:val="00FE5CD6"/>
    <w:rPr>
      <w:sz w:val="18"/>
      <w:szCs w:val="18"/>
    </w:rPr>
  </w:style>
  <w:style w:type="character" w:customStyle="1" w:styleId="xmlname">
    <w:name w:val="xmlname"/>
    <w:qFormat/>
    <w:rsid w:val="00FE5CD6"/>
  </w:style>
  <w:style w:type="paragraph" w:styleId="PlainText">
    <w:name w:val="Plain Text"/>
    <w:basedOn w:val="Normal"/>
    <w:link w:val="PlainTextChar"/>
    <w:qFormat/>
    <w:rsid w:val="00570E30"/>
    <w:pPr>
      <w:spacing w:after="0" w:line="240" w:lineRule="auto"/>
    </w:pPr>
    <w:rPr>
      <w:rFonts w:ascii="Consolas" w:hAnsi="Consolas"/>
      <w:sz w:val="21"/>
      <w:szCs w:val="21"/>
    </w:rPr>
  </w:style>
  <w:style w:type="character" w:customStyle="1" w:styleId="PlainTextChar">
    <w:name w:val="Plain Text Char"/>
    <w:basedOn w:val="DefaultParagraphFont"/>
    <w:link w:val="PlainText"/>
    <w:rsid w:val="00570E30"/>
    <w:rPr>
      <w:rFonts w:ascii="Consolas" w:eastAsiaTheme="minorHAnsi" w:hAnsi="Consolas" w:cstheme="minorBidi"/>
      <w:sz w:val="21"/>
      <w:szCs w:val="21"/>
    </w:rPr>
  </w:style>
  <w:style w:type="paragraph" w:styleId="ListParagraph">
    <w:name w:val="List Paragraph"/>
    <w:basedOn w:val="Normal"/>
    <w:qFormat/>
    <w:rsid w:val="00570E30"/>
    <w:pPr>
      <w:ind w:left="1267" w:hanging="1267"/>
      <w:contextualSpacing/>
    </w:pPr>
  </w:style>
  <w:style w:type="paragraph" w:styleId="Revision">
    <w:name w:val="Revision"/>
    <w:hidden/>
    <w:uiPriority w:val="99"/>
    <w:semiHidden/>
    <w:rsid w:val="00570E30"/>
    <w:rPr>
      <w:rFonts w:asciiTheme="minorHAnsi" w:eastAsiaTheme="minorHAnsi" w:hAnsiTheme="minorHAnsi" w:cstheme="minorBidi"/>
      <w:szCs w:val="22"/>
    </w:rPr>
  </w:style>
  <w:style w:type="paragraph" w:styleId="NormalWeb">
    <w:name w:val="Normal (Web)"/>
    <w:basedOn w:val="Normal"/>
    <w:qFormat/>
    <w:rsid w:val="00570E30"/>
    <w:rPr>
      <w:rFonts w:ascii="Times New Roman" w:hAnsi="Times New Roman" w:cs="Times New Roman"/>
      <w:sz w:val="24"/>
      <w:szCs w:val="24"/>
    </w:rPr>
  </w:style>
  <w:style w:type="paragraph" w:styleId="NoSpacing">
    <w:name w:val="No Spacing"/>
    <w:qFormat/>
    <w:rsid w:val="00570E30"/>
    <w:pPr>
      <w:spacing w:line="280" w:lineRule="atLeast"/>
    </w:pPr>
    <w:rPr>
      <w:rFonts w:asciiTheme="minorHAnsi" w:eastAsiaTheme="minorHAnsi" w:hAnsiTheme="minorHAnsi" w:cstheme="minorBidi"/>
      <w:szCs w:val="22"/>
    </w:rPr>
  </w:style>
  <w:style w:type="character" w:styleId="Emphasis">
    <w:name w:val="Emphasis"/>
    <w:basedOn w:val="DefaultParagraphFont"/>
    <w:qFormat/>
    <w:rsid w:val="00570E30"/>
    <w:rPr>
      <w:i/>
      <w:iCs/>
    </w:rPr>
  </w:style>
  <w:style w:type="paragraph" w:styleId="HTMLPreformatted">
    <w:name w:val="HTML Preformatted"/>
    <w:basedOn w:val="Normal"/>
    <w:link w:val="HTMLPreformattedChar"/>
    <w:qFormat/>
    <w:rsid w:val="00570E30"/>
    <w:pPr>
      <w:spacing w:after="0" w:line="240" w:lineRule="auto"/>
    </w:pPr>
    <w:rPr>
      <w:rFonts w:ascii="Consolas" w:hAnsi="Consolas"/>
      <w:szCs w:val="20"/>
    </w:rPr>
  </w:style>
  <w:style w:type="character" w:customStyle="1" w:styleId="HTMLPreformattedChar">
    <w:name w:val="HTML Preformatted Char"/>
    <w:basedOn w:val="DefaultParagraphFont"/>
    <w:link w:val="HTMLPreformatted"/>
    <w:rsid w:val="00570E30"/>
    <w:rPr>
      <w:rFonts w:ascii="Consolas" w:eastAsiaTheme="minorHAnsi" w:hAnsi="Consolas" w:cstheme="minorBidi"/>
    </w:rPr>
  </w:style>
  <w:style w:type="character" w:customStyle="1" w:styleId="tdlabel1">
    <w:name w:val="td_label1"/>
    <w:qFormat/>
    <w:rsid w:val="005E64B8"/>
    <w:rPr>
      <w:b/>
      <w:bCs/>
      <w:color w:val="FFFFFF"/>
    </w:rPr>
  </w:style>
  <w:style w:type="character" w:customStyle="1" w:styleId="Mention1">
    <w:name w:val="Mention1"/>
    <w:unhideWhenUsed/>
    <w:qFormat/>
    <w:rsid w:val="005E64B8"/>
    <w:rPr>
      <w:color w:val="2B579A"/>
      <w:shd w:val="clear" w:color="auto" w:fill="E6E6E6"/>
    </w:rPr>
  </w:style>
  <w:style w:type="character" w:customStyle="1" w:styleId="apple-converted-space">
    <w:name w:val="apple-converted-space"/>
    <w:basedOn w:val="DefaultParagraphFont"/>
    <w:qFormat/>
    <w:rsid w:val="00FE5CD6"/>
  </w:style>
  <w:style w:type="character" w:customStyle="1" w:styleId="UnresolvedMention1">
    <w:name w:val="Unresolved Mention1"/>
    <w:unhideWhenUsed/>
    <w:qFormat/>
    <w:rsid w:val="005E64B8"/>
    <w:rPr>
      <w:color w:val="808080"/>
      <w:shd w:val="clear" w:color="auto" w:fill="E6E6E6"/>
    </w:rPr>
  </w:style>
  <w:style w:type="character" w:customStyle="1" w:styleId="UnresolvedMention2">
    <w:name w:val="Unresolved Mention2"/>
    <w:unhideWhenUsed/>
    <w:qFormat/>
    <w:rsid w:val="005E64B8"/>
    <w:rPr>
      <w:color w:val="808080"/>
      <w:shd w:val="clear" w:color="auto" w:fill="E6E6E6"/>
    </w:rPr>
  </w:style>
  <w:style w:type="character" w:styleId="Strong">
    <w:name w:val="Strong"/>
    <w:basedOn w:val="DefaultParagraphFont"/>
    <w:qFormat/>
    <w:rsid w:val="00570E30"/>
    <w:rPr>
      <w:b/>
      <w:bCs/>
    </w:rPr>
  </w:style>
  <w:style w:type="paragraph" w:customStyle="1" w:styleId="ESHeading5">
    <w:name w:val="ESHeading 5"/>
    <w:qFormat/>
    <w:rsid w:val="005E64B8"/>
    <w:pPr>
      <w:numPr>
        <w:ilvl w:val="4"/>
        <w:numId w:val="17"/>
      </w:numPr>
      <w:spacing w:before="120"/>
    </w:pPr>
    <w:rPr>
      <w:rFonts w:ascii="Arial Narrow" w:hAnsi="Arial Narrow"/>
      <w:i/>
      <w:sz w:val="26"/>
    </w:rPr>
  </w:style>
  <w:style w:type="paragraph" w:customStyle="1" w:styleId="ESHeading6">
    <w:name w:val="ESHeading 6"/>
    <w:qFormat/>
    <w:rsid w:val="005E64B8"/>
    <w:pPr>
      <w:keepNext/>
      <w:numPr>
        <w:ilvl w:val="5"/>
        <w:numId w:val="17"/>
      </w:numPr>
      <w:spacing w:before="120"/>
    </w:pPr>
    <w:rPr>
      <w:rFonts w:ascii="Arial Narrow" w:hAnsi="Arial Narrow"/>
      <w:sz w:val="24"/>
    </w:rPr>
  </w:style>
  <w:style w:type="paragraph" w:customStyle="1" w:styleId="ESHeading7">
    <w:name w:val="ESHeading 7"/>
    <w:qFormat/>
    <w:rsid w:val="005E64B8"/>
    <w:pPr>
      <w:numPr>
        <w:ilvl w:val="6"/>
        <w:numId w:val="17"/>
      </w:numPr>
      <w:tabs>
        <w:tab w:val="num" w:pos="360"/>
      </w:tabs>
      <w:spacing w:before="120"/>
    </w:pPr>
    <w:rPr>
      <w:rFonts w:ascii="Arial Narrow" w:hAnsi="Arial Narrow"/>
      <w:sz w:val="24"/>
    </w:rPr>
  </w:style>
  <w:style w:type="character" w:customStyle="1" w:styleId="UnresolvedMention3">
    <w:name w:val="Unresolved Mention3"/>
    <w:unhideWhenUsed/>
    <w:qFormat/>
    <w:rsid w:val="005E64B8"/>
    <w:rPr>
      <w:color w:val="808080"/>
      <w:shd w:val="clear" w:color="auto" w:fill="E6E6E6"/>
    </w:rPr>
  </w:style>
  <w:style w:type="character" w:customStyle="1" w:styleId="UnresolvedMention4">
    <w:name w:val="Unresolved Mention4"/>
    <w:unhideWhenUsed/>
    <w:qFormat/>
    <w:rsid w:val="005E64B8"/>
    <w:rPr>
      <w:color w:val="808080"/>
      <w:shd w:val="clear" w:color="auto" w:fill="E6E6E6"/>
    </w:rPr>
  </w:style>
  <w:style w:type="paragraph" w:customStyle="1" w:styleId="BulletList">
    <w:name w:val="Bullet List"/>
    <w:basedOn w:val="ListParagraph"/>
    <w:qFormat/>
    <w:rsid w:val="005E64B8"/>
    <w:pPr>
      <w:numPr>
        <w:numId w:val="18"/>
      </w:numPr>
      <w:spacing w:line="276" w:lineRule="auto"/>
    </w:pPr>
    <w:rPr>
      <w:rFonts w:cs="Times New Roman"/>
      <w:sz w:val="24"/>
      <w:szCs w:val="24"/>
    </w:rPr>
  </w:style>
  <w:style w:type="paragraph" w:customStyle="1" w:styleId="ListServeBodyText">
    <w:name w:val="ListServe Body Text"/>
    <w:basedOn w:val="Normal"/>
    <w:qFormat/>
    <w:rsid w:val="00FE5CD6"/>
    <w:pPr>
      <w:spacing w:before="240" w:after="240" w:line="276" w:lineRule="auto"/>
    </w:pPr>
    <w:rPr>
      <w:rFonts w:eastAsia="Calibri"/>
    </w:rPr>
  </w:style>
  <w:style w:type="paragraph" w:styleId="BodyText">
    <w:name w:val="Body Text"/>
    <w:basedOn w:val="Normal"/>
    <w:link w:val="BodyTextChar"/>
    <w:qFormat/>
    <w:rsid w:val="00570E30"/>
    <w:pPr>
      <w:spacing w:after="120"/>
    </w:pPr>
  </w:style>
  <w:style w:type="character" w:customStyle="1" w:styleId="BodyTextChar">
    <w:name w:val="Body Text Char"/>
    <w:basedOn w:val="DefaultParagraphFont"/>
    <w:link w:val="BodyText"/>
    <w:rsid w:val="00570E30"/>
    <w:rPr>
      <w:rFonts w:asciiTheme="minorHAnsi" w:eastAsiaTheme="minorHAnsi" w:hAnsiTheme="minorHAnsi" w:cstheme="minorBidi"/>
      <w:szCs w:val="22"/>
    </w:rPr>
  </w:style>
  <w:style w:type="character" w:styleId="PlaceholderText">
    <w:name w:val="Placeholder Text"/>
    <w:basedOn w:val="DefaultParagraphFont"/>
    <w:qFormat/>
    <w:rsid w:val="00570E30"/>
    <w:rPr>
      <w:color w:val="808080"/>
    </w:rPr>
  </w:style>
  <w:style w:type="character" w:styleId="UnresolvedMention">
    <w:name w:val="Unresolved Mention"/>
    <w:basedOn w:val="DefaultParagraphFont"/>
    <w:qFormat/>
    <w:rsid w:val="00570E30"/>
    <w:rPr>
      <w:color w:val="605E5C"/>
      <w:shd w:val="clear" w:color="auto" w:fill="E1DFDD"/>
    </w:rPr>
  </w:style>
  <w:style w:type="paragraph" w:customStyle="1" w:styleId="list-unstyled">
    <w:name w:val="list-unstyled"/>
    <w:basedOn w:val="Normal"/>
    <w:qFormat/>
    <w:rsid w:val="000B6A4A"/>
    <w:pPr>
      <w:spacing w:before="100" w:beforeAutospacing="1" w:after="100" w:afterAutospacing="1"/>
    </w:pPr>
  </w:style>
  <w:style w:type="character" w:customStyle="1" w:styleId="tdlabel">
    <w:name w:val="td_label"/>
    <w:basedOn w:val="DefaultParagraphFont"/>
    <w:qFormat/>
    <w:rsid w:val="00AE67CE"/>
  </w:style>
  <w:style w:type="paragraph" w:styleId="TOCHeading">
    <w:name w:val="TOC Heading"/>
    <w:basedOn w:val="AppendixTitle"/>
    <w:next w:val="TOC1"/>
    <w:qFormat/>
    <w:rsid w:val="007F4BD6"/>
  </w:style>
  <w:style w:type="character" w:customStyle="1" w:styleId="baec5a81-e4d6-4674-97f3-e9220f0136c1">
    <w:name w:val="baec5a81-e4d6-4674-97f3-e9220f0136c1"/>
    <w:basedOn w:val="DefaultParagraphFont"/>
    <w:qFormat/>
    <w:rsid w:val="00DA6EF6"/>
  </w:style>
  <w:style w:type="character" w:customStyle="1" w:styleId="Date1">
    <w:name w:val="Date1"/>
    <w:basedOn w:val="DefaultParagraphFont"/>
    <w:qFormat/>
    <w:rsid w:val="00F908B8"/>
  </w:style>
  <w:style w:type="paragraph" w:customStyle="1" w:styleId="HeadingBlue">
    <w:name w:val="Heading Blue"/>
    <w:basedOn w:val="list-unstyled"/>
    <w:qFormat/>
    <w:rsid w:val="00580847"/>
    <w:pPr>
      <w:spacing w:before="0" w:beforeAutospacing="0" w:after="60" w:afterAutospacing="0"/>
      <w:ind w:left="274"/>
    </w:pPr>
    <w:rPr>
      <w:rFonts w:ascii="Verdana" w:hAnsi="Verdana" w:cs="Cambria Math"/>
      <w:b/>
      <w:bCs/>
      <w:color w:val="0000FF"/>
      <w:sz w:val="18"/>
      <w:szCs w:val="16"/>
    </w:rPr>
  </w:style>
  <w:style w:type="paragraph" w:customStyle="1" w:styleId="H1-Style">
    <w:name w:val="H1-Style"/>
    <w:basedOn w:val="Heading1"/>
    <w:link w:val="H1-StyleChar"/>
    <w:qFormat/>
    <w:rsid w:val="00867434"/>
    <w:pPr>
      <w:spacing w:before="360"/>
      <w:outlineLvl w:val="1"/>
    </w:pPr>
  </w:style>
  <w:style w:type="character" w:customStyle="1" w:styleId="H1-StyleChar">
    <w:name w:val="H1-Style Char"/>
    <w:link w:val="H1-Style"/>
    <w:rsid w:val="00867434"/>
    <w:rPr>
      <w:rFonts w:ascii="Arial Narrow" w:eastAsia="Times New Roman" w:hAnsi="Arial Narrow" w:cs="Times New Roman"/>
      <w:b/>
      <w:kern w:val="28"/>
      <w:sz w:val="36"/>
      <w:szCs w:val="20"/>
    </w:rPr>
  </w:style>
  <w:style w:type="paragraph" w:customStyle="1" w:styleId="H2-Style">
    <w:name w:val="H2-Style"/>
    <w:basedOn w:val="Heading2"/>
    <w:link w:val="H2-StyleChar"/>
    <w:qFormat/>
    <w:rsid w:val="00867434"/>
    <w:pPr>
      <w:tabs>
        <w:tab w:val="num" w:pos="720"/>
      </w:tabs>
      <w:outlineLvl w:val="2"/>
    </w:pPr>
  </w:style>
  <w:style w:type="character" w:customStyle="1" w:styleId="H2-StyleChar">
    <w:name w:val="H2-Style Char"/>
    <w:link w:val="H2-Style"/>
    <w:rsid w:val="00867434"/>
    <w:rPr>
      <w:rFonts w:asciiTheme="majorHAnsi" w:eastAsiaTheme="majorEastAsia" w:hAnsiTheme="majorHAnsi" w:cstheme="majorBidi"/>
      <w:color w:val="081E36" w:themeColor="accent1" w:themeShade="BF"/>
      <w:sz w:val="26"/>
      <w:szCs w:val="26"/>
    </w:rPr>
  </w:style>
  <w:style w:type="paragraph" w:customStyle="1" w:styleId="H3-Style">
    <w:name w:val="H3-Style"/>
    <w:basedOn w:val="Heading3"/>
    <w:link w:val="H3-StyleChar"/>
    <w:qFormat/>
    <w:rsid w:val="00867434"/>
    <w:pPr>
      <w:ind w:left="907" w:hanging="907"/>
      <w:outlineLvl w:val="3"/>
    </w:pPr>
  </w:style>
  <w:style w:type="character" w:customStyle="1" w:styleId="H3-StyleChar">
    <w:name w:val="H3-Style Char"/>
    <w:link w:val="H3-Style"/>
    <w:rsid w:val="00867434"/>
    <w:rPr>
      <w:rFonts w:asciiTheme="majorHAnsi" w:eastAsiaTheme="majorEastAsia" w:hAnsiTheme="majorHAnsi" w:cstheme="majorBidi"/>
      <w:color w:val="051424" w:themeColor="accent1" w:themeShade="7F"/>
      <w:sz w:val="24"/>
      <w:szCs w:val="24"/>
    </w:rPr>
  </w:style>
  <w:style w:type="paragraph" w:customStyle="1" w:styleId="pf0">
    <w:name w:val="pf0"/>
    <w:basedOn w:val="Normal"/>
    <w:qFormat/>
    <w:rsid w:val="00B078CB"/>
    <w:pPr>
      <w:spacing w:before="100" w:beforeAutospacing="1" w:after="100" w:afterAutospacing="1"/>
    </w:pPr>
  </w:style>
  <w:style w:type="character" w:customStyle="1" w:styleId="cf01">
    <w:name w:val="cf01"/>
    <w:qFormat/>
    <w:rsid w:val="005E64B8"/>
    <w:rPr>
      <w:rFonts w:ascii="Segoe UI" w:hAnsi="Segoe UI" w:cs="Segoe UI" w:hint="default"/>
      <w:sz w:val="18"/>
      <w:szCs w:val="18"/>
    </w:rPr>
  </w:style>
  <w:style w:type="character" w:customStyle="1" w:styleId="cf11">
    <w:name w:val="cf11"/>
    <w:qFormat/>
    <w:rsid w:val="005E64B8"/>
    <w:rPr>
      <w:rFonts w:ascii="Segoe UI" w:hAnsi="Segoe UI" w:cs="Segoe UI" w:hint="default"/>
      <w:i/>
      <w:iCs/>
      <w:sz w:val="18"/>
      <w:szCs w:val="18"/>
    </w:rPr>
  </w:style>
  <w:style w:type="paragraph" w:styleId="Subtitle">
    <w:name w:val="Subtitle"/>
    <w:basedOn w:val="Normal"/>
    <w:next w:val="Normal"/>
    <w:link w:val="SubtitleChar"/>
    <w:qFormat/>
    <w:rsid w:val="00570E30"/>
    <w:pPr>
      <w:numPr>
        <w:ilvl w:val="1"/>
      </w:numPr>
      <w:spacing w:before="120" w:after="240"/>
    </w:pPr>
    <w:rPr>
      <w:rFonts w:asciiTheme="majorHAnsi" w:eastAsiaTheme="minorEastAsia" w:hAnsiTheme="majorHAnsi"/>
      <w:color w:val="444D54" w:themeColor="accent3" w:themeShade="BF"/>
      <w:spacing w:val="15"/>
      <w:sz w:val="30"/>
    </w:rPr>
  </w:style>
  <w:style w:type="table" w:customStyle="1" w:styleId="7">
    <w:name w:val="7"/>
    <w:basedOn w:val="TableNormal"/>
    <w:tblPr>
      <w:tblStyleRowBandSize w:val="1"/>
      <w:tblStyleColBandSize w:val="1"/>
      <w:tblCellMar>
        <w:top w:w="15" w:type="dxa"/>
        <w:left w:w="15" w:type="dxa"/>
        <w:bottom w:w="15" w:type="dxa"/>
        <w:right w:w="15" w:type="dxa"/>
      </w:tblCellMar>
    </w:tblPr>
  </w:style>
  <w:style w:type="table" w:customStyle="1" w:styleId="6">
    <w:name w:val="6"/>
    <w:basedOn w:val="TableNormal"/>
    <w:tblPr>
      <w:tblStyleRowBandSize w:val="1"/>
      <w:tblStyleColBandSize w:val="1"/>
      <w:tblCellMar>
        <w:top w:w="15" w:type="dxa"/>
        <w:left w:w="15" w:type="dxa"/>
        <w:bottom w:w="15" w:type="dxa"/>
        <w:right w:w="15" w:type="dxa"/>
      </w:tblCellMar>
    </w:tblPr>
  </w:style>
  <w:style w:type="table" w:customStyle="1" w:styleId="5">
    <w:name w:val="5"/>
    <w:basedOn w:val="TableNormal"/>
    <w:tblPr>
      <w:tblStyleRowBandSize w:val="1"/>
      <w:tblStyleColBandSize w:val="1"/>
      <w:tblCellMar>
        <w:top w:w="15" w:type="dxa"/>
        <w:left w:w="15" w:type="dxa"/>
        <w:bottom w:w="15" w:type="dxa"/>
        <w:right w:w="15" w:type="dxa"/>
      </w:tblCellMar>
    </w:tblPr>
  </w:style>
  <w:style w:type="table" w:customStyle="1" w:styleId="4">
    <w:name w:val="4"/>
    <w:basedOn w:val="TableNormal"/>
    <w:rPr>
      <w:sz w:val="24"/>
      <w:szCs w:val="24"/>
    </w:rPr>
    <w:tblPr>
      <w:tblStyleRowBandSize w:val="1"/>
      <w:tblStyleColBandSize w:val="1"/>
    </w:tblPr>
  </w:style>
  <w:style w:type="table" w:customStyle="1" w:styleId="3">
    <w:name w:val="3"/>
    <w:basedOn w:val="TableNormal"/>
    <w:rPr>
      <w:sz w:val="24"/>
      <w:szCs w:val="24"/>
    </w:rPr>
    <w:tblPr>
      <w:tblStyleRowBandSize w:val="1"/>
      <w:tblStyleColBandSize w:val="1"/>
      <w:tblCellMar>
        <w:left w:w="115" w:type="dxa"/>
        <w:right w:w="115" w:type="dxa"/>
      </w:tblCellMar>
    </w:tblPr>
  </w:style>
  <w:style w:type="table" w:customStyle="1" w:styleId="2">
    <w:name w:val="2"/>
    <w:basedOn w:val="TableNormal"/>
    <w:rPr>
      <w:sz w:val="24"/>
      <w:szCs w:val="24"/>
    </w:rPr>
    <w:tblPr>
      <w:tblStyleRowBandSize w:val="1"/>
      <w:tblStyleColBandSize w:val="1"/>
      <w:tblCellMar>
        <w:left w:w="115" w:type="dxa"/>
        <w:right w:w="115" w:type="dxa"/>
      </w:tblCellMar>
    </w:tblPr>
  </w:style>
  <w:style w:type="table" w:customStyle="1" w:styleId="1">
    <w:name w:val="1"/>
    <w:basedOn w:val="TableNormal"/>
    <w:tblPr>
      <w:tblStyleRowBandSize w:val="1"/>
      <w:tblStyleColBandSize w:val="1"/>
      <w:tblCellMar>
        <w:left w:w="115" w:type="dxa"/>
        <w:right w:w="115" w:type="dxa"/>
      </w:tblCellMar>
    </w:tblPr>
  </w:style>
  <w:style w:type="paragraph" w:customStyle="1" w:styleId="TableTextLeft">
    <w:name w:val="Table Text Left"/>
    <w:qFormat/>
    <w:rsid w:val="00865438"/>
    <w:pPr>
      <w:spacing w:before="40" w:after="40"/>
    </w:pPr>
    <w:rPr>
      <w:rFonts w:ascii="Arial" w:eastAsiaTheme="minorHAnsi" w:hAnsi="Arial" w:cstheme="minorBidi"/>
      <w:color w:val="000000" w:themeColor="text1"/>
      <w:szCs w:val="22"/>
    </w:rPr>
  </w:style>
  <w:style w:type="paragraph" w:customStyle="1" w:styleId="Paragraph">
    <w:name w:val="Paragraph"/>
    <w:basedOn w:val="Normal"/>
    <w:qFormat/>
    <w:rsid w:val="00570E30"/>
    <w:pPr>
      <w:spacing w:after="120" w:line="240" w:lineRule="auto"/>
    </w:pPr>
    <w:rPr>
      <w:rFonts w:ascii="Times New Roman" w:hAnsi="Times New Roman"/>
      <w:sz w:val="24"/>
    </w:rPr>
  </w:style>
  <w:style w:type="paragraph" w:customStyle="1" w:styleId="ParagraphContinued">
    <w:name w:val="Paragraph Continued"/>
    <w:basedOn w:val="Paragraph"/>
    <w:next w:val="Paragraph"/>
    <w:qFormat/>
    <w:rsid w:val="0083781F"/>
    <w:pPr>
      <w:spacing w:before="120"/>
    </w:pPr>
  </w:style>
  <w:style w:type="paragraph" w:customStyle="1" w:styleId="H1">
    <w:name w:val="H1"/>
    <w:basedOn w:val="Heading1"/>
    <w:next w:val="Paragraph"/>
    <w:link w:val="H1Char"/>
    <w:qFormat/>
    <w:rsid w:val="00570E30"/>
    <w:pPr>
      <w:spacing w:before="120" w:after="280" w:line="240" w:lineRule="auto"/>
      <w:ind w:left="360" w:hanging="360"/>
      <w:outlineLvl w:val="1"/>
    </w:pPr>
    <w:rPr>
      <w:rFonts w:ascii="Arial Narrow" w:hAnsi="Arial Narrow"/>
      <w:b/>
      <w:color w:val="000000" w:themeColor="text1"/>
      <w:sz w:val="36"/>
    </w:rPr>
  </w:style>
  <w:style w:type="paragraph" w:styleId="ListBullet">
    <w:name w:val="List Bullet"/>
    <w:basedOn w:val="Normal"/>
    <w:qFormat/>
    <w:rsid w:val="00570E30"/>
    <w:pPr>
      <w:numPr>
        <w:numId w:val="23"/>
      </w:numPr>
      <w:spacing w:before="80" w:after="80" w:line="240" w:lineRule="auto"/>
      <w:ind w:left="720" w:hanging="360"/>
    </w:pPr>
    <w:rPr>
      <w:rFonts w:ascii="Times New Roman" w:hAnsi="Times New Roman"/>
      <w:sz w:val="24"/>
    </w:rPr>
  </w:style>
  <w:style w:type="paragraph" w:styleId="ListNumber">
    <w:name w:val="List Number"/>
    <w:basedOn w:val="Normal"/>
    <w:qFormat/>
    <w:rsid w:val="006A5CCC"/>
    <w:pPr>
      <w:numPr>
        <w:numId w:val="24"/>
      </w:numPr>
      <w:adjustRightInd w:val="0"/>
      <w:spacing w:before="80" w:after="80" w:line="240" w:lineRule="auto"/>
    </w:pPr>
    <w:rPr>
      <w:rFonts w:ascii="Times New Roman" w:hAnsi="Times New Roman"/>
      <w:sz w:val="24"/>
    </w:rPr>
  </w:style>
  <w:style w:type="table" w:styleId="GridTable2-Accent1">
    <w:name w:val="Grid Table 2 Accent 1"/>
    <w:basedOn w:val="TableNormal"/>
    <w:rsid w:val="00570E30"/>
    <w:rPr>
      <w:rFonts w:asciiTheme="minorHAnsi" w:eastAsiaTheme="minorHAnsi" w:hAnsiTheme="minorHAnsi" w:cstheme="minorBidi"/>
      <w:sz w:val="22"/>
      <w:szCs w:val="22"/>
    </w:rPr>
    <w:tblPr>
      <w:tblStyleRowBandSize w:val="1"/>
      <w:tblStyleColBandSize w:val="1"/>
      <w:tblBorders>
        <w:top w:val="single" w:sz="2" w:space="0" w:color="217BDD" w:themeColor="accent1" w:themeTint="99"/>
        <w:bottom w:val="single" w:sz="2" w:space="0" w:color="217BDD" w:themeColor="accent1" w:themeTint="99"/>
        <w:insideH w:val="single" w:sz="2" w:space="0" w:color="217BDD" w:themeColor="accent1" w:themeTint="99"/>
        <w:insideV w:val="single" w:sz="2" w:space="0" w:color="217BDD" w:themeColor="accent1" w:themeTint="99"/>
      </w:tblBorders>
    </w:tblPr>
    <w:tblStylePr w:type="firstRow">
      <w:rPr>
        <w:b/>
        <w:bCs/>
      </w:rPr>
      <w:tblPr/>
      <w:tcPr>
        <w:tcBorders>
          <w:top w:val="nil"/>
          <w:bottom w:val="single" w:sz="12" w:space="0" w:color="217BDD" w:themeColor="accent1" w:themeTint="99"/>
          <w:insideH w:val="nil"/>
          <w:insideV w:val="nil"/>
        </w:tcBorders>
        <w:shd w:val="clear" w:color="auto" w:fill="FFFFFF" w:themeFill="background1"/>
      </w:tcPr>
    </w:tblStylePr>
    <w:tblStylePr w:type="lastRow">
      <w:rPr>
        <w:b/>
        <w:bCs/>
      </w:rPr>
      <w:tblPr/>
      <w:tcPr>
        <w:tcBorders>
          <w:top w:val="double" w:sz="2" w:space="0" w:color="217BDD"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B4D3F3" w:themeFill="accent1" w:themeFillTint="33"/>
      </w:tcPr>
    </w:tblStylePr>
    <w:tblStylePr w:type="band1Horz">
      <w:tblPr/>
      <w:tcPr>
        <w:shd w:val="clear" w:color="auto" w:fill="B4D3F3" w:themeFill="accent1" w:themeFillTint="33"/>
      </w:tcPr>
    </w:tblStylePr>
  </w:style>
  <w:style w:type="table" w:styleId="GridTable4-Accent1">
    <w:name w:val="Grid Table 4 Accent 1"/>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217BDD" w:themeColor="accent1" w:themeTint="99"/>
        <w:left w:val="single" w:sz="4" w:space="0" w:color="217BDD" w:themeColor="accent1" w:themeTint="99"/>
        <w:bottom w:val="single" w:sz="4" w:space="0" w:color="217BDD" w:themeColor="accent1" w:themeTint="99"/>
        <w:right w:val="single" w:sz="4" w:space="0" w:color="217BDD" w:themeColor="accent1" w:themeTint="99"/>
        <w:insideH w:val="single" w:sz="4" w:space="0" w:color="217BDD" w:themeColor="accent1" w:themeTint="99"/>
        <w:insideV w:val="single" w:sz="4" w:space="0" w:color="217BDD" w:themeColor="accent1" w:themeTint="99"/>
      </w:tblBorders>
    </w:tblPr>
    <w:tblStylePr w:type="firstRow">
      <w:rPr>
        <w:b/>
        <w:bCs/>
        <w:color w:val="FFFFFF" w:themeColor="background1"/>
      </w:rPr>
      <w:tblPr/>
      <w:tcPr>
        <w:tcBorders>
          <w:top w:val="single" w:sz="4" w:space="0" w:color="0B2949" w:themeColor="accent1"/>
          <w:left w:val="single" w:sz="4" w:space="0" w:color="0B2949" w:themeColor="accent1"/>
          <w:bottom w:val="single" w:sz="4" w:space="0" w:color="0B2949" w:themeColor="accent1"/>
          <w:right w:val="single" w:sz="4" w:space="0" w:color="0B2949" w:themeColor="accent1"/>
          <w:insideH w:val="nil"/>
          <w:insideV w:val="nil"/>
        </w:tcBorders>
        <w:shd w:val="clear" w:color="auto" w:fill="0B2949" w:themeFill="accent1"/>
      </w:tcPr>
    </w:tblStylePr>
    <w:tblStylePr w:type="lastRow">
      <w:rPr>
        <w:b/>
        <w:bCs/>
      </w:rPr>
      <w:tblPr/>
      <w:tcPr>
        <w:tcBorders>
          <w:top w:val="double" w:sz="4" w:space="0" w:color="0B2949" w:themeColor="accent1"/>
        </w:tcBorders>
      </w:tcPr>
    </w:tblStylePr>
    <w:tblStylePr w:type="firstCol">
      <w:rPr>
        <w:b/>
        <w:bCs/>
      </w:rPr>
    </w:tblStylePr>
    <w:tblStylePr w:type="lastCol">
      <w:rPr>
        <w:b/>
        <w:bCs/>
      </w:rPr>
    </w:tblStylePr>
    <w:tblStylePr w:type="band1Vert">
      <w:tblPr/>
      <w:tcPr>
        <w:shd w:val="clear" w:color="auto" w:fill="B4D3F3" w:themeFill="accent1" w:themeFillTint="33"/>
      </w:tcPr>
    </w:tblStylePr>
    <w:tblStylePr w:type="band1Horz">
      <w:tblPr/>
      <w:tcPr>
        <w:shd w:val="clear" w:color="auto" w:fill="B4D3F3" w:themeFill="accent1" w:themeFillTint="33"/>
      </w:tcPr>
    </w:tblStylePr>
  </w:style>
  <w:style w:type="character" w:customStyle="1" w:styleId="TitleChar">
    <w:name w:val="Title Char"/>
    <w:basedOn w:val="DefaultParagraphFont"/>
    <w:link w:val="Title"/>
    <w:rsid w:val="001C19B1"/>
    <w:rPr>
      <w:rFonts w:ascii="Arial Narrow" w:eastAsia="Arial Narrow" w:hAnsi="Arial Narrow" w:cstheme="minorBidi"/>
      <w:b/>
      <w:color w:val="000000"/>
      <w:sz w:val="48"/>
      <w:szCs w:val="22"/>
    </w:rPr>
  </w:style>
  <w:style w:type="paragraph" w:styleId="ListNumber2">
    <w:name w:val="List Number 2"/>
    <w:basedOn w:val="Normal"/>
    <w:qFormat/>
    <w:rsid w:val="00570E30"/>
    <w:pPr>
      <w:numPr>
        <w:numId w:val="30"/>
      </w:numPr>
      <w:adjustRightInd w:val="0"/>
      <w:spacing w:after="80"/>
    </w:pPr>
  </w:style>
  <w:style w:type="paragraph" w:styleId="ListBullet2">
    <w:name w:val="List Bullet 2"/>
    <w:basedOn w:val="Normal"/>
    <w:qFormat/>
    <w:rsid w:val="004647E7"/>
    <w:pPr>
      <w:numPr>
        <w:numId w:val="26"/>
      </w:numPr>
      <w:spacing w:before="80" w:after="80" w:line="240" w:lineRule="auto"/>
      <w:ind w:left="1080"/>
    </w:pPr>
    <w:rPr>
      <w:rFonts w:ascii="Times New Roman" w:hAnsi="Times New Roman"/>
      <w:sz w:val="24"/>
    </w:rPr>
  </w:style>
  <w:style w:type="paragraph" w:styleId="List">
    <w:name w:val="List"/>
    <w:basedOn w:val="Normal"/>
    <w:qFormat/>
    <w:rsid w:val="00570E30"/>
    <w:pPr>
      <w:numPr>
        <w:numId w:val="25"/>
      </w:numPr>
      <w:spacing w:after="80"/>
    </w:pPr>
  </w:style>
  <w:style w:type="paragraph" w:styleId="ListContinue">
    <w:name w:val="List Continue"/>
    <w:basedOn w:val="Normal"/>
    <w:qFormat/>
    <w:rsid w:val="00570E30"/>
    <w:pPr>
      <w:spacing w:after="80"/>
      <w:ind w:left="180"/>
    </w:pPr>
  </w:style>
  <w:style w:type="paragraph" w:styleId="ListContinue2">
    <w:name w:val="List Continue 2"/>
    <w:basedOn w:val="Normal"/>
    <w:qFormat/>
    <w:rsid w:val="00570E30"/>
    <w:pPr>
      <w:spacing w:after="80"/>
      <w:ind w:left="360"/>
    </w:pPr>
  </w:style>
  <w:style w:type="paragraph" w:customStyle="1" w:styleId="Acknowledgment">
    <w:name w:val="Acknowledgment"/>
    <w:basedOn w:val="H1"/>
    <w:next w:val="ParagraphContinued"/>
    <w:qFormat/>
    <w:rsid w:val="00570E30"/>
    <w:rPr>
      <w:b w:val="0"/>
      <w:bCs/>
    </w:rPr>
  </w:style>
  <w:style w:type="paragraph" w:styleId="ListBullet3">
    <w:name w:val="List Bullet 3"/>
    <w:basedOn w:val="Normal"/>
    <w:qFormat/>
    <w:rsid w:val="00570E30"/>
    <w:pPr>
      <w:numPr>
        <w:numId w:val="27"/>
      </w:numPr>
      <w:spacing w:after="100"/>
      <w:ind w:left="547" w:hanging="187"/>
    </w:pPr>
  </w:style>
  <w:style w:type="paragraph" w:styleId="NoteHeading">
    <w:name w:val="Note Heading"/>
    <w:basedOn w:val="H1"/>
    <w:next w:val="Notes"/>
    <w:link w:val="NoteHeadingChar"/>
    <w:qFormat/>
    <w:rsid w:val="00570E30"/>
    <w:pPr>
      <w:outlineLvl w:val="9"/>
    </w:pPr>
    <w:rPr>
      <w:color w:val="0B2949" w:themeColor="accent1"/>
      <w:sz w:val="20"/>
    </w:rPr>
  </w:style>
  <w:style w:type="character" w:customStyle="1" w:styleId="NoteHeadingChar">
    <w:name w:val="Note Heading Char"/>
    <w:basedOn w:val="DefaultParagraphFont"/>
    <w:link w:val="NoteHeading"/>
    <w:semiHidden/>
    <w:rsid w:val="00570E30"/>
    <w:rPr>
      <w:rFonts w:asciiTheme="majorHAnsi" w:eastAsiaTheme="majorEastAsia" w:hAnsiTheme="majorHAnsi" w:cstheme="majorBidi"/>
      <w:color w:val="0B2949" w:themeColor="accent1"/>
      <w:szCs w:val="32"/>
    </w:rPr>
  </w:style>
  <w:style w:type="paragraph" w:customStyle="1" w:styleId="Anchor">
    <w:name w:val="Anchor"/>
    <w:qFormat/>
    <w:rsid w:val="00570E30"/>
    <w:pPr>
      <w:spacing w:line="20" w:lineRule="exact"/>
    </w:pPr>
    <w:rPr>
      <w:rFonts w:asciiTheme="minorHAnsi" w:eastAsiaTheme="minorHAnsi" w:hAnsiTheme="minorHAnsi" w:cstheme="minorBidi"/>
      <w:b/>
      <w:bCs/>
      <w:color w:val="FFFFFF" w:themeColor="background1"/>
      <w:sz w:val="2"/>
      <w:szCs w:val="22"/>
    </w:rPr>
  </w:style>
  <w:style w:type="paragraph" w:customStyle="1" w:styleId="AppendixTitle">
    <w:name w:val="Appendix Title"/>
    <w:basedOn w:val="H1-Num"/>
    <w:next w:val="H2"/>
    <w:unhideWhenUsed/>
    <w:qFormat/>
    <w:rsid w:val="00F07F06"/>
    <w:pPr>
      <w:jc w:val="center"/>
    </w:pPr>
  </w:style>
  <w:style w:type="paragraph" w:customStyle="1" w:styleId="AttachmentTitle">
    <w:name w:val="Attachment Title"/>
    <w:basedOn w:val="H1"/>
    <w:next w:val="H2"/>
    <w:qFormat/>
    <w:rsid w:val="00570E30"/>
    <w:pPr>
      <w:jc w:val="center"/>
    </w:pPr>
    <w:rPr>
      <w:bCs/>
    </w:rPr>
  </w:style>
  <w:style w:type="paragraph" w:customStyle="1" w:styleId="Banner">
    <w:name w:val="Banner"/>
    <w:basedOn w:val="H1"/>
    <w:qFormat/>
    <w:rsid w:val="00570E30"/>
    <w:pPr>
      <w:shd w:val="clear" w:color="auto" w:fill="FFFFFF" w:themeFill="background1"/>
      <w:spacing w:after="180"/>
    </w:pPr>
    <w:rPr>
      <w:bCs/>
      <w:color w:val="0B2949" w:themeColor="accent1"/>
    </w:rPr>
  </w:style>
  <w:style w:type="paragraph" w:styleId="Bibliography">
    <w:name w:val="Bibliography"/>
    <w:basedOn w:val="Normal"/>
    <w:qFormat/>
    <w:rsid w:val="00570E30"/>
    <w:pPr>
      <w:spacing w:after="80" w:line="240" w:lineRule="atLeast"/>
    </w:pPr>
    <w:rPr>
      <w:sz w:val="18"/>
    </w:rPr>
  </w:style>
  <w:style w:type="paragraph" w:styleId="BlockText">
    <w:name w:val="Block Text"/>
    <w:basedOn w:val="Normal"/>
    <w:qFormat/>
    <w:rsid w:val="00570E30"/>
    <w:pPr>
      <w:pBdr>
        <w:top w:val="single" w:sz="2" w:space="10" w:color="0B2949" w:themeColor="accent1"/>
        <w:left w:val="single" w:sz="2" w:space="10" w:color="0B2949" w:themeColor="accent1"/>
        <w:bottom w:val="single" w:sz="2" w:space="10" w:color="0B2949" w:themeColor="accent1"/>
        <w:right w:val="single" w:sz="2" w:space="10" w:color="0B2949" w:themeColor="accent1"/>
      </w:pBdr>
      <w:ind w:left="1152" w:right="1152"/>
    </w:pPr>
    <w:rPr>
      <w:rFonts w:eastAsiaTheme="minorEastAsia"/>
      <w:i/>
      <w:iCs/>
      <w:color w:val="0B2949" w:themeColor="accent1"/>
    </w:rPr>
  </w:style>
  <w:style w:type="paragraph" w:styleId="BodyText2">
    <w:name w:val="Body Text 2"/>
    <w:basedOn w:val="Normal"/>
    <w:link w:val="BodyText2Char"/>
    <w:qFormat/>
    <w:rsid w:val="00570E30"/>
    <w:pPr>
      <w:spacing w:after="120" w:line="480" w:lineRule="auto"/>
    </w:pPr>
  </w:style>
  <w:style w:type="character" w:customStyle="1" w:styleId="BodyText2Char">
    <w:name w:val="Body Text 2 Char"/>
    <w:basedOn w:val="DefaultParagraphFont"/>
    <w:link w:val="BodyText2"/>
    <w:semiHidden/>
    <w:rsid w:val="00570E30"/>
    <w:rPr>
      <w:rFonts w:asciiTheme="minorHAnsi" w:eastAsiaTheme="minorHAnsi" w:hAnsiTheme="minorHAnsi" w:cstheme="minorBidi"/>
      <w:szCs w:val="22"/>
    </w:rPr>
  </w:style>
  <w:style w:type="paragraph" w:styleId="BodyText3">
    <w:name w:val="Body Text 3"/>
    <w:basedOn w:val="Normal"/>
    <w:link w:val="BodyText3Char"/>
    <w:qFormat/>
    <w:rsid w:val="00570E30"/>
    <w:pPr>
      <w:spacing w:after="120"/>
    </w:pPr>
    <w:rPr>
      <w:sz w:val="16"/>
      <w:szCs w:val="16"/>
    </w:rPr>
  </w:style>
  <w:style w:type="character" w:customStyle="1" w:styleId="BodyText3Char">
    <w:name w:val="Body Text 3 Char"/>
    <w:basedOn w:val="DefaultParagraphFont"/>
    <w:link w:val="BodyText3"/>
    <w:semiHidden/>
    <w:rsid w:val="00570E30"/>
    <w:rPr>
      <w:rFonts w:asciiTheme="minorHAnsi" w:eastAsiaTheme="minorHAnsi" w:hAnsiTheme="minorHAnsi" w:cstheme="minorBidi"/>
      <w:sz w:val="16"/>
      <w:szCs w:val="16"/>
    </w:rPr>
  </w:style>
  <w:style w:type="paragraph" w:styleId="BodyTextFirstIndent">
    <w:name w:val="Body Text First Indent"/>
    <w:basedOn w:val="BodyText"/>
    <w:link w:val="BodyTextFirstIndentChar"/>
    <w:qFormat/>
    <w:rsid w:val="00570E30"/>
    <w:pPr>
      <w:spacing w:after="160"/>
      <w:ind w:firstLine="360"/>
    </w:pPr>
  </w:style>
  <w:style w:type="character" w:customStyle="1" w:styleId="BodyTextFirstIndentChar">
    <w:name w:val="Body Text First Indent Char"/>
    <w:basedOn w:val="BodyTextChar"/>
    <w:link w:val="BodyTextFirstIndent"/>
    <w:semiHidden/>
    <w:rsid w:val="00570E30"/>
    <w:rPr>
      <w:rFonts w:asciiTheme="minorHAnsi" w:eastAsiaTheme="minorHAnsi" w:hAnsiTheme="minorHAnsi" w:cstheme="minorBidi"/>
      <w:szCs w:val="22"/>
    </w:rPr>
  </w:style>
  <w:style w:type="paragraph" w:styleId="BodyTextIndent">
    <w:name w:val="Body Text Indent"/>
    <w:basedOn w:val="Normal"/>
    <w:link w:val="BodyTextIndentChar"/>
    <w:qFormat/>
    <w:rsid w:val="00570E30"/>
    <w:pPr>
      <w:spacing w:after="120"/>
      <w:ind w:left="360"/>
    </w:pPr>
  </w:style>
  <w:style w:type="character" w:customStyle="1" w:styleId="BodyTextIndentChar">
    <w:name w:val="Body Text Indent Char"/>
    <w:basedOn w:val="DefaultParagraphFont"/>
    <w:link w:val="BodyTextIndent"/>
    <w:semiHidden/>
    <w:rsid w:val="00570E30"/>
    <w:rPr>
      <w:rFonts w:asciiTheme="minorHAnsi" w:eastAsiaTheme="minorHAnsi" w:hAnsiTheme="minorHAnsi" w:cstheme="minorBidi"/>
      <w:szCs w:val="22"/>
    </w:rPr>
  </w:style>
  <w:style w:type="paragraph" w:styleId="BodyTextFirstIndent2">
    <w:name w:val="Body Text First Indent 2"/>
    <w:basedOn w:val="BodyTextIndent"/>
    <w:link w:val="BodyTextFirstIndent2Char"/>
    <w:qFormat/>
    <w:rsid w:val="00570E30"/>
    <w:pPr>
      <w:spacing w:after="160"/>
      <w:ind w:firstLine="360"/>
    </w:pPr>
  </w:style>
  <w:style w:type="character" w:customStyle="1" w:styleId="BodyTextFirstIndent2Char">
    <w:name w:val="Body Text First Indent 2 Char"/>
    <w:basedOn w:val="BodyTextIndentChar"/>
    <w:link w:val="BodyTextFirstIndent2"/>
    <w:semiHidden/>
    <w:rsid w:val="00570E30"/>
    <w:rPr>
      <w:rFonts w:asciiTheme="minorHAnsi" w:eastAsiaTheme="minorHAnsi" w:hAnsiTheme="minorHAnsi" w:cstheme="minorBidi"/>
      <w:szCs w:val="22"/>
    </w:rPr>
  </w:style>
  <w:style w:type="paragraph" w:styleId="BodyTextIndent2">
    <w:name w:val="Body Text Indent 2"/>
    <w:basedOn w:val="Normal"/>
    <w:link w:val="BodyTextIndent2Char"/>
    <w:qFormat/>
    <w:rsid w:val="00570E30"/>
    <w:pPr>
      <w:spacing w:after="120" w:line="480" w:lineRule="auto"/>
      <w:ind w:left="360"/>
    </w:pPr>
  </w:style>
  <w:style w:type="character" w:customStyle="1" w:styleId="BodyTextIndent2Char">
    <w:name w:val="Body Text Indent 2 Char"/>
    <w:basedOn w:val="DefaultParagraphFont"/>
    <w:link w:val="BodyTextIndent2"/>
    <w:semiHidden/>
    <w:rsid w:val="00570E30"/>
    <w:rPr>
      <w:rFonts w:asciiTheme="minorHAnsi" w:eastAsiaTheme="minorHAnsi" w:hAnsiTheme="minorHAnsi" w:cstheme="minorBidi"/>
      <w:szCs w:val="22"/>
    </w:rPr>
  </w:style>
  <w:style w:type="paragraph" w:styleId="BodyTextIndent3">
    <w:name w:val="Body Text Indent 3"/>
    <w:basedOn w:val="Normal"/>
    <w:link w:val="BodyTextIndent3Char"/>
    <w:qFormat/>
    <w:rsid w:val="00570E30"/>
    <w:pPr>
      <w:spacing w:after="120"/>
      <w:ind w:left="360"/>
    </w:pPr>
    <w:rPr>
      <w:sz w:val="16"/>
      <w:szCs w:val="16"/>
    </w:rPr>
  </w:style>
  <w:style w:type="character" w:customStyle="1" w:styleId="BodyTextIndent3Char">
    <w:name w:val="Body Text Indent 3 Char"/>
    <w:basedOn w:val="DefaultParagraphFont"/>
    <w:link w:val="BodyTextIndent3"/>
    <w:semiHidden/>
    <w:rsid w:val="00570E30"/>
    <w:rPr>
      <w:rFonts w:asciiTheme="minorHAnsi" w:eastAsiaTheme="minorHAnsi" w:hAnsiTheme="minorHAnsi" w:cstheme="minorBidi"/>
      <w:sz w:val="16"/>
      <w:szCs w:val="16"/>
    </w:rPr>
  </w:style>
  <w:style w:type="character" w:styleId="BookTitle">
    <w:name w:val="Book Title"/>
    <w:basedOn w:val="DefaultParagraphFont"/>
    <w:qFormat/>
    <w:rsid w:val="00570E30"/>
    <w:rPr>
      <w:b/>
      <w:bCs/>
      <w:i/>
      <w:iCs/>
      <w:spacing w:val="5"/>
    </w:rPr>
  </w:style>
  <w:style w:type="paragraph" w:customStyle="1" w:styleId="Blank">
    <w:name w:val="Blank"/>
    <w:basedOn w:val="Normal"/>
    <w:qFormat/>
    <w:rsid w:val="00570E30"/>
    <w:pPr>
      <w:spacing w:before="5120" w:after="0"/>
      <w:jc w:val="center"/>
    </w:pPr>
    <w:rPr>
      <w:b/>
      <w:bCs/>
    </w:rPr>
  </w:style>
  <w:style w:type="paragraph" w:customStyle="1" w:styleId="Byline">
    <w:name w:val="Byline"/>
    <w:basedOn w:val="Normal"/>
    <w:qFormat/>
    <w:rsid w:val="00570E30"/>
    <w:pPr>
      <w:spacing w:before="120" w:after="120"/>
      <w:ind w:right="288"/>
    </w:pPr>
    <w:rPr>
      <w:rFonts w:asciiTheme="majorHAnsi" w:hAnsiTheme="majorHAnsi"/>
      <w:bCs/>
      <w:color w:val="444D54" w:themeColor="accent3" w:themeShade="BF"/>
    </w:rPr>
  </w:style>
  <w:style w:type="paragraph" w:customStyle="1" w:styleId="Callout">
    <w:name w:val="Callout"/>
    <w:basedOn w:val="Normal"/>
    <w:qFormat/>
    <w:rsid w:val="00570E30"/>
    <w:pPr>
      <w:ind w:left="720" w:right="720"/>
    </w:pPr>
    <w:rPr>
      <w:bCs/>
      <w:color w:val="000000" w:themeColor="text1"/>
      <w:sz w:val="22"/>
    </w:rPr>
  </w:style>
  <w:style w:type="paragraph" w:styleId="Date">
    <w:name w:val="Date"/>
    <w:basedOn w:val="Normal"/>
    <w:next w:val="Normal"/>
    <w:link w:val="DateChar"/>
    <w:qFormat/>
    <w:rsid w:val="00570E30"/>
    <w:pPr>
      <w:spacing w:after="120"/>
    </w:pPr>
    <w:rPr>
      <w:rFonts w:asciiTheme="majorHAnsi" w:hAnsiTheme="majorHAnsi"/>
      <w:b/>
      <w:color w:val="444D54" w:themeColor="accent3" w:themeShade="BF"/>
    </w:rPr>
  </w:style>
  <w:style w:type="character" w:customStyle="1" w:styleId="DateChar">
    <w:name w:val="Date Char"/>
    <w:basedOn w:val="DefaultParagraphFont"/>
    <w:link w:val="Date"/>
    <w:semiHidden/>
    <w:rsid w:val="00570E30"/>
    <w:rPr>
      <w:rFonts w:asciiTheme="majorHAnsi" w:eastAsiaTheme="minorHAnsi" w:hAnsiTheme="majorHAnsi" w:cstheme="minorBidi"/>
      <w:b/>
      <w:color w:val="444D54" w:themeColor="accent3" w:themeShade="BF"/>
      <w:szCs w:val="22"/>
    </w:rPr>
  </w:style>
  <w:style w:type="paragraph" w:customStyle="1" w:styleId="CoverTitle">
    <w:name w:val="Cover Title"/>
    <w:qFormat/>
    <w:rsid w:val="00570E30"/>
    <w:pPr>
      <w:spacing w:before="6720" w:after="240" w:line="600" w:lineRule="atLeast"/>
      <w:outlineLvl w:val="0"/>
    </w:pPr>
    <w:rPr>
      <w:rFonts w:asciiTheme="majorHAnsi" w:eastAsiaTheme="minorHAnsi" w:hAnsiTheme="majorHAnsi" w:cstheme="minorBidi"/>
      <w:b/>
      <w:bCs/>
      <w:color w:val="FFFFFF" w:themeColor="background1"/>
      <w:spacing w:val="5"/>
      <w:sz w:val="52"/>
      <w:szCs w:val="22"/>
    </w:rPr>
  </w:style>
  <w:style w:type="paragraph" w:customStyle="1" w:styleId="CoverDate">
    <w:name w:val="Cover Date"/>
    <w:qFormat/>
    <w:rsid w:val="00570E30"/>
    <w:pPr>
      <w:spacing w:before="360" w:line="264" w:lineRule="auto"/>
    </w:pPr>
    <w:rPr>
      <w:rFonts w:asciiTheme="majorHAnsi" w:eastAsiaTheme="minorHAnsi" w:hAnsiTheme="majorHAnsi" w:cstheme="minorBidi"/>
      <w:b/>
      <w:bCs/>
      <w:color w:val="0B2949" w:themeColor="accent1"/>
      <w:sz w:val="24"/>
      <w:szCs w:val="22"/>
    </w:rPr>
  </w:style>
  <w:style w:type="paragraph" w:styleId="ListNumber3">
    <w:name w:val="List Number 3"/>
    <w:basedOn w:val="Normal"/>
    <w:qFormat/>
    <w:rsid w:val="00570E30"/>
    <w:pPr>
      <w:numPr>
        <w:numId w:val="31"/>
      </w:numPr>
      <w:adjustRightInd w:val="0"/>
      <w:spacing w:after="80"/>
    </w:pPr>
  </w:style>
  <w:style w:type="paragraph" w:styleId="ListNumber4">
    <w:name w:val="List Number 4"/>
    <w:basedOn w:val="Normal"/>
    <w:qFormat/>
    <w:rsid w:val="00570E30"/>
    <w:pPr>
      <w:numPr>
        <w:numId w:val="32"/>
      </w:numPr>
      <w:spacing w:after="80"/>
    </w:pPr>
  </w:style>
  <w:style w:type="paragraph" w:customStyle="1" w:styleId="CoverSubtitle">
    <w:name w:val="Cover Subtitle"/>
    <w:qFormat/>
    <w:rsid w:val="00570E30"/>
    <w:pPr>
      <w:spacing w:line="400" w:lineRule="atLeast"/>
    </w:pPr>
    <w:rPr>
      <w:rFonts w:asciiTheme="majorHAnsi" w:eastAsiaTheme="minorHAnsi" w:hAnsiTheme="majorHAnsi" w:cstheme="minorBidi"/>
      <w:color w:val="FFFFFF" w:themeColor="background1"/>
      <w:spacing w:val="5"/>
      <w:sz w:val="36"/>
      <w:szCs w:val="22"/>
    </w:rPr>
  </w:style>
  <w:style w:type="paragraph" w:customStyle="1" w:styleId="CoverText">
    <w:name w:val="Cover Text"/>
    <w:qFormat/>
    <w:rsid w:val="00570E30"/>
    <w:pPr>
      <w:spacing w:after="240" w:line="280" w:lineRule="atLeast"/>
      <w:contextualSpacing/>
    </w:pPr>
    <w:rPr>
      <w:rFonts w:asciiTheme="minorHAnsi" w:eastAsiaTheme="minorHAnsi" w:hAnsiTheme="minorHAnsi" w:cstheme="minorBidi"/>
      <w:color w:val="0B2949" w:themeColor="accent1"/>
      <w:szCs w:val="22"/>
    </w:rPr>
  </w:style>
  <w:style w:type="paragraph" w:customStyle="1" w:styleId="CoverHead">
    <w:name w:val="Cover Head"/>
    <w:basedOn w:val="CoverDate"/>
    <w:qFormat/>
    <w:rsid w:val="00570E30"/>
    <w:pPr>
      <w:spacing w:before="0" w:after="90" w:line="280" w:lineRule="atLeast"/>
    </w:pPr>
    <w:rPr>
      <w:rFonts w:asciiTheme="minorHAnsi" w:hAnsiTheme="minorHAnsi"/>
      <w:sz w:val="20"/>
    </w:rPr>
  </w:style>
  <w:style w:type="paragraph" w:customStyle="1" w:styleId="CoverAuthor">
    <w:name w:val="Cover Author"/>
    <w:basedOn w:val="CoverDate"/>
    <w:qFormat/>
    <w:rsid w:val="00570E30"/>
    <w:pPr>
      <w:spacing w:before="120"/>
    </w:pPr>
    <w:rPr>
      <w:b w:val="0"/>
    </w:rPr>
  </w:style>
  <w:style w:type="paragraph" w:customStyle="1" w:styleId="Addressee">
    <w:name w:val="Addressee"/>
    <w:basedOn w:val="Normal"/>
    <w:qFormat/>
    <w:rsid w:val="00570E30"/>
    <w:pPr>
      <w:tabs>
        <w:tab w:val="left" w:pos="576"/>
      </w:tabs>
      <w:spacing w:before="240"/>
      <w:ind w:left="576" w:hanging="576"/>
    </w:pPr>
  </w:style>
  <w:style w:type="paragraph" w:customStyle="1" w:styleId="PubinfoAuthor">
    <w:name w:val="Pubinfo Author"/>
    <w:basedOn w:val="Pubinfo"/>
    <w:qFormat/>
    <w:rsid w:val="00570E30"/>
    <w:pPr>
      <w:spacing w:after="0"/>
    </w:pPr>
  </w:style>
  <w:style w:type="paragraph" w:customStyle="1" w:styleId="ExhibitFootnote">
    <w:name w:val="Exhibit Footnote"/>
    <w:basedOn w:val="TableTextLeft"/>
    <w:unhideWhenUsed/>
    <w:qFormat/>
    <w:rsid w:val="00570E30"/>
    <w:pPr>
      <w:spacing w:line="200" w:lineRule="atLeast"/>
    </w:pPr>
    <w:rPr>
      <w:sz w:val="16"/>
    </w:rPr>
  </w:style>
  <w:style w:type="paragraph" w:styleId="Closing">
    <w:name w:val="Closing"/>
    <w:basedOn w:val="Normal"/>
    <w:link w:val="ClosingChar"/>
    <w:qFormat/>
    <w:rsid w:val="00570E30"/>
    <w:pPr>
      <w:spacing w:after="240" w:line="240" w:lineRule="auto"/>
      <w:ind w:left="4320"/>
      <w:contextualSpacing/>
    </w:pPr>
  </w:style>
  <w:style w:type="character" w:customStyle="1" w:styleId="ClosingChar">
    <w:name w:val="Closing Char"/>
    <w:basedOn w:val="DefaultParagraphFont"/>
    <w:link w:val="Closing"/>
    <w:semiHidden/>
    <w:rsid w:val="00570E30"/>
    <w:rPr>
      <w:rFonts w:asciiTheme="minorHAnsi" w:eastAsiaTheme="minorHAnsi" w:hAnsiTheme="minorHAnsi" w:cstheme="minorBidi"/>
      <w:szCs w:val="22"/>
    </w:rPr>
  </w:style>
  <w:style w:type="paragraph" w:customStyle="1" w:styleId="ESH1">
    <w:name w:val="ES H1"/>
    <w:basedOn w:val="H1"/>
    <w:next w:val="ESParagraph"/>
    <w:unhideWhenUsed/>
    <w:qFormat/>
    <w:rsid w:val="00570E30"/>
    <w:pPr>
      <w:outlineLvl w:val="9"/>
    </w:pPr>
  </w:style>
  <w:style w:type="paragraph" w:customStyle="1" w:styleId="ESH2">
    <w:name w:val="ES H2"/>
    <w:basedOn w:val="ESH1"/>
    <w:next w:val="ESParagraph"/>
    <w:unhideWhenUsed/>
    <w:qFormat/>
    <w:rsid w:val="00570E30"/>
    <w:rPr>
      <w:b w:val="0"/>
      <w:color w:val="0B2949" w:themeColor="accent1"/>
      <w:sz w:val="24"/>
    </w:rPr>
  </w:style>
  <w:style w:type="paragraph" w:customStyle="1" w:styleId="ESListBullet">
    <w:name w:val="ES List Bullet"/>
    <w:basedOn w:val="ESParagraph"/>
    <w:unhideWhenUsed/>
    <w:qFormat/>
    <w:rsid w:val="00570E30"/>
    <w:pPr>
      <w:numPr>
        <w:numId w:val="34"/>
      </w:numPr>
    </w:pPr>
  </w:style>
  <w:style w:type="paragraph" w:customStyle="1" w:styleId="ESListNumber">
    <w:name w:val="ES List Number"/>
    <w:basedOn w:val="ESParagraph"/>
    <w:unhideWhenUsed/>
    <w:qFormat/>
    <w:rsid w:val="00570E30"/>
    <w:pPr>
      <w:numPr>
        <w:numId w:val="35"/>
      </w:numPr>
    </w:pPr>
  </w:style>
  <w:style w:type="paragraph" w:customStyle="1" w:styleId="ESParagraph">
    <w:name w:val="ES Paragraph"/>
    <w:basedOn w:val="Normal"/>
    <w:unhideWhenUsed/>
    <w:qFormat/>
    <w:rsid w:val="00570E30"/>
    <w:rPr>
      <w:rFonts w:asciiTheme="majorHAnsi" w:hAnsiTheme="majorHAnsi"/>
      <w:color w:val="000000" w:themeColor="text1"/>
    </w:rPr>
  </w:style>
  <w:style w:type="paragraph" w:customStyle="1" w:styleId="ESParagraphContinued">
    <w:name w:val="ES Paragraph Continued"/>
    <w:basedOn w:val="ESParagraph"/>
    <w:next w:val="ESParagraph"/>
    <w:unhideWhenUsed/>
    <w:qFormat/>
    <w:rsid w:val="00570E30"/>
    <w:pPr>
      <w:spacing w:before="160"/>
    </w:pPr>
  </w:style>
  <w:style w:type="paragraph" w:customStyle="1" w:styleId="ExhibitSource">
    <w:name w:val="Exhibit Source"/>
    <w:basedOn w:val="TableTextLeft"/>
    <w:unhideWhenUsed/>
    <w:qFormat/>
    <w:rsid w:val="00570E30"/>
    <w:pPr>
      <w:tabs>
        <w:tab w:val="left" w:pos="648"/>
      </w:tabs>
      <w:spacing w:line="200" w:lineRule="atLeast"/>
      <w:ind w:left="648" w:hanging="648"/>
    </w:pPr>
    <w:rPr>
      <w:sz w:val="16"/>
    </w:rPr>
  </w:style>
  <w:style w:type="paragraph" w:customStyle="1" w:styleId="ExhibitSignificance">
    <w:name w:val="Exhibit Significance"/>
    <w:basedOn w:val="TableTextLeft"/>
    <w:unhideWhenUsed/>
    <w:qFormat/>
    <w:rsid w:val="00570E30"/>
    <w:pPr>
      <w:tabs>
        <w:tab w:val="right" w:pos="180"/>
        <w:tab w:val="left" w:pos="270"/>
      </w:tabs>
      <w:spacing w:line="200" w:lineRule="atLeast"/>
      <w:ind w:left="274" w:hanging="274"/>
    </w:pPr>
    <w:rPr>
      <w:sz w:val="16"/>
    </w:rPr>
  </w:style>
  <w:style w:type="paragraph" w:customStyle="1" w:styleId="ExhibitTitle">
    <w:name w:val="Exhibit Title"/>
    <w:basedOn w:val="TableTextLeft"/>
    <w:qFormat/>
    <w:rsid w:val="00570E30"/>
    <w:pPr>
      <w:keepNext/>
      <w:keepLines/>
      <w:spacing w:before="0" w:after="80"/>
    </w:pPr>
    <w:rPr>
      <w:color w:val="0B2949" w:themeColor="accent1"/>
      <w:sz w:val="22"/>
    </w:rPr>
  </w:style>
  <w:style w:type="paragraph" w:customStyle="1" w:styleId="FAQQuestion">
    <w:name w:val="FAQ Question"/>
    <w:basedOn w:val="H1"/>
    <w:next w:val="ParagraphContinued"/>
    <w:unhideWhenUsed/>
    <w:qFormat/>
    <w:rsid w:val="00570E30"/>
    <w:rPr>
      <w:color w:val="0B2949" w:themeColor="accent1"/>
    </w:rPr>
  </w:style>
  <w:style w:type="paragraph" w:customStyle="1" w:styleId="Feature1">
    <w:name w:val="Feature1"/>
    <w:basedOn w:val="Normal"/>
    <w:qFormat/>
    <w:rsid w:val="00570E30"/>
    <w:pPr>
      <w:spacing w:after="0"/>
    </w:pPr>
  </w:style>
  <w:style w:type="paragraph" w:customStyle="1" w:styleId="Feature1Title">
    <w:name w:val="Feature1 Title"/>
    <w:basedOn w:val="H1"/>
    <w:next w:val="Feature1"/>
    <w:qFormat/>
    <w:rsid w:val="00570E30"/>
  </w:style>
  <w:style w:type="paragraph" w:customStyle="1" w:styleId="Feature1ListBullet">
    <w:name w:val="Feature1 List Bullet"/>
    <w:basedOn w:val="Feature1"/>
    <w:qFormat/>
    <w:rsid w:val="00570E30"/>
  </w:style>
  <w:style w:type="paragraph" w:customStyle="1" w:styleId="Feature1ListNumber">
    <w:name w:val="Feature1 List Number"/>
    <w:basedOn w:val="Feature1"/>
    <w:qFormat/>
    <w:rsid w:val="00570E30"/>
  </w:style>
  <w:style w:type="paragraph" w:customStyle="1" w:styleId="Feature1Head">
    <w:name w:val="Feature1 Head"/>
    <w:basedOn w:val="Feature1Title"/>
    <w:next w:val="Feature1"/>
    <w:qFormat/>
    <w:rsid w:val="00570E30"/>
    <w:pPr>
      <w:spacing w:after="80"/>
      <w:outlineLvl w:val="9"/>
    </w:pPr>
  </w:style>
  <w:style w:type="paragraph" w:customStyle="1" w:styleId="Feature20">
    <w:name w:val="Feature2"/>
    <w:basedOn w:val="Normal"/>
    <w:qFormat/>
    <w:rsid w:val="00570E30"/>
    <w:pPr>
      <w:spacing w:after="0"/>
    </w:pPr>
  </w:style>
  <w:style w:type="paragraph" w:customStyle="1" w:styleId="Feature2Title">
    <w:name w:val="Feature2 Title"/>
    <w:basedOn w:val="H1"/>
    <w:qFormat/>
    <w:rsid w:val="00570E30"/>
  </w:style>
  <w:style w:type="paragraph" w:customStyle="1" w:styleId="Feature2Head">
    <w:name w:val="Feature2 Head"/>
    <w:basedOn w:val="Feature2Title"/>
    <w:next w:val="Feature20"/>
    <w:qFormat/>
    <w:rsid w:val="00570E30"/>
  </w:style>
  <w:style w:type="paragraph" w:customStyle="1" w:styleId="Feature2ListBullet">
    <w:name w:val="Feature2 List Bullet"/>
    <w:basedOn w:val="Feature20"/>
    <w:qFormat/>
    <w:rsid w:val="00570E30"/>
  </w:style>
  <w:style w:type="paragraph" w:customStyle="1" w:styleId="Feature2ListNumber">
    <w:name w:val="Feature2 List Number"/>
    <w:basedOn w:val="Feature20"/>
    <w:qFormat/>
    <w:rsid w:val="00570E30"/>
  </w:style>
  <w:style w:type="paragraph" w:customStyle="1" w:styleId="Feature1ListHead">
    <w:name w:val="Feature1 List Head"/>
    <w:basedOn w:val="Feature1"/>
    <w:next w:val="Feature1ListBullet"/>
    <w:qFormat/>
    <w:rsid w:val="00570E30"/>
    <w:rPr>
      <w:b/>
    </w:rPr>
  </w:style>
  <w:style w:type="paragraph" w:customStyle="1" w:styleId="Feature2ListHead">
    <w:name w:val="Feature2 List Head"/>
    <w:basedOn w:val="Feature20"/>
    <w:next w:val="Feature2ListBullet"/>
    <w:qFormat/>
    <w:rsid w:val="00570E30"/>
    <w:rPr>
      <w:b/>
    </w:rPr>
  </w:style>
  <w:style w:type="paragraph" w:customStyle="1" w:styleId="FigureTitle">
    <w:name w:val="Figure Title"/>
    <w:basedOn w:val="ExhibitTitle"/>
    <w:next w:val="ExhibitSource"/>
    <w:qFormat/>
    <w:rsid w:val="0083781F"/>
    <w:pPr>
      <w:spacing w:before="240" w:after="120"/>
      <w:jc w:val="center"/>
    </w:pPr>
    <w:rPr>
      <w:rFonts w:ascii="Arial Narrow" w:hAnsi="Arial Narrow"/>
      <w:b/>
      <w:color w:val="000000" w:themeColor="text1"/>
      <w:sz w:val="24"/>
    </w:rPr>
  </w:style>
  <w:style w:type="paragraph" w:customStyle="1" w:styleId="H2">
    <w:name w:val="H2"/>
    <w:basedOn w:val="H1"/>
    <w:next w:val="Paragraph"/>
    <w:qFormat/>
    <w:rsid w:val="00D81C30"/>
    <w:pPr>
      <w:spacing w:before="240" w:after="120"/>
      <w:ind w:left="720" w:hanging="720"/>
      <w:outlineLvl w:val="2"/>
    </w:pPr>
    <w:rPr>
      <w:sz w:val="32"/>
    </w:rPr>
  </w:style>
  <w:style w:type="paragraph" w:customStyle="1" w:styleId="H3">
    <w:name w:val="H3"/>
    <w:basedOn w:val="H1"/>
    <w:next w:val="Paragraph"/>
    <w:qFormat/>
    <w:rsid w:val="0083781F"/>
    <w:pPr>
      <w:spacing w:before="240" w:after="120"/>
      <w:ind w:left="720" w:hanging="720"/>
      <w:outlineLvl w:val="3"/>
    </w:pPr>
    <w:rPr>
      <w:sz w:val="28"/>
    </w:rPr>
  </w:style>
  <w:style w:type="paragraph" w:customStyle="1" w:styleId="H4">
    <w:name w:val="H4"/>
    <w:basedOn w:val="H1"/>
    <w:next w:val="ParagraphContinued"/>
    <w:qFormat/>
    <w:rsid w:val="00FE4E10"/>
    <w:pPr>
      <w:spacing w:before="240" w:after="120"/>
      <w:ind w:left="1080" w:hanging="1080"/>
      <w:outlineLvl w:val="4"/>
    </w:pPr>
    <w:rPr>
      <w:sz w:val="26"/>
    </w:rPr>
  </w:style>
  <w:style w:type="paragraph" w:customStyle="1" w:styleId="Introduction">
    <w:name w:val="Introduction"/>
    <w:basedOn w:val="Normal"/>
    <w:qFormat/>
    <w:rsid w:val="00570E30"/>
    <w:pPr>
      <w:spacing w:after="120" w:line="320" w:lineRule="atLeast"/>
    </w:pPr>
    <w:rPr>
      <w:rFonts w:asciiTheme="majorHAnsi" w:hAnsiTheme="majorHAnsi"/>
      <w:color w:val="444D54" w:themeColor="accent3" w:themeShade="BF"/>
      <w:sz w:val="22"/>
    </w:rPr>
  </w:style>
  <w:style w:type="paragraph" w:customStyle="1" w:styleId="Notes">
    <w:name w:val="Notes"/>
    <w:basedOn w:val="Normal"/>
    <w:qFormat/>
    <w:rsid w:val="00570E30"/>
    <w:rPr>
      <w:color w:val="046B5C" w:themeColor="text2"/>
    </w:rPr>
  </w:style>
  <w:style w:type="paragraph" w:customStyle="1" w:styleId="Pubinfo">
    <w:name w:val="Pubinfo"/>
    <w:basedOn w:val="Normal"/>
    <w:qFormat/>
    <w:rsid w:val="00570E30"/>
    <w:rPr>
      <w:b/>
    </w:rPr>
  </w:style>
  <w:style w:type="paragraph" w:customStyle="1" w:styleId="PubinfoCategory">
    <w:name w:val="Pubinfo Category"/>
    <w:basedOn w:val="Pubinfo"/>
    <w:qFormat/>
    <w:rsid w:val="00570E30"/>
  </w:style>
  <w:style w:type="paragraph" w:customStyle="1" w:styleId="PubinfoDate">
    <w:name w:val="Pubinfo Date"/>
    <w:basedOn w:val="PubinfoCategory"/>
    <w:qFormat/>
    <w:rsid w:val="00570E30"/>
  </w:style>
  <w:style w:type="paragraph" w:customStyle="1" w:styleId="PubinfoHead">
    <w:name w:val="Pubinfo Head"/>
    <w:basedOn w:val="Pubinfo"/>
    <w:qFormat/>
    <w:rsid w:val="00570E30"/>
  </w:style>
  <w:style w:type="paragraph" w:customStyle="1" w:styleId="PubinfoList">
    <w:name w:val="Pubinfo List"/>
    <w:basedOn w:val="Pubinfo"/>
    <w:qFormat/>
    <w:rsid w:val="00570E30"/>
  </w:style>
  <w:style w:type="paragraph" w:customStyle="1" w:styleId="PubinfoNumber">
    <w:name w:val="Pubinfo Number"/>
    <w:basedOn w:val="Pubinfo"/>
    <w:qFormat/>
    <w:rsid w:val="00570E30"/>
  </w:style>
  <w:style w:type="paragraph" w:styleId="Quote">
    <w:name w:val="Quote"/>
    <w:basedOn w:val="Normal"/>
    <w:link w:val="QuoteChar"/>
    <w:qFormat/>
    <w:rsid w:val="00570E30"/>
    <w:pPr>
      <w:spacing w:before="40" w:after="60"/>
    </w:pPr>
    <w:rPr>
      <w:rFonts w:asciiTheme="majorHAnsi" w:hAnsiTheme="majorHAnsi"/>
      <w:iCs/>
      <w:color w:val="444D54" w:themeColor="accent3" w:themeShade="BF"/>
      <w:sz w:val="24"/>
      <w:szCs w:val="21"/>
    </w:rPr>
  </w:style>
  <w:style w:type="character" w:customStyle="1" w:styleId="QuoteChar">
    <w:name w:val="Quote Char"/>
    <w:basedOn w:val="DefaultParagraphFont"/>
    <w:link w:val="Quote"/>
    <w:rsid w:val="00570E30"/>
    <w:rPr>
      <w:rFonts w:asciiTheme="majorHAnsi" w:eastAsiaTheme="minorHAnsi" w:hAnsiTheme="majorHAnsi" w:cstheme="minorBidi"/>
      <w:iCs/>
      <w:color w:val="444D54" w:themeColor="accent3" w:themeShade="BF"/>
      <w:sz w:val="24"/>
      <w:szCs w:val="21"/>
    </w:rPr>
  </w:style>
  <w:style w:type="paragraph" w:customStyle="1" w:styleId="QuoteAttribution">
    <w:name w:val="Quote Attribution"/>
    <w:basedOn w:val="Quote"/>
    <w:qFormat/>
    <w:rsid w:val="00570E30"/>
    <w:pPr>
      <w:spacing w:before="0" w:after="160"/>
      <w:jc w:val="right"/>
    </w:pPr>
    <w:rPr>
      <w:sz w:val="20"/>
    </w:rPr>
  </w:style>
  <w:style w:type="character" w:customStyle="1" w:styleId="SubtitleChar">
    <w:name w:val="Subtitle Char"/>
    <w:basedOn w:val="DefaultParagraphFont"/>
    <w:link w:val="Subtitle"/>
    <w:rsid w:val="00570E30"/>
    <w:rPr>
      <w:rFonts w:asciiTheme="majorHAnsi" w:eastAsiaTheme="minorEastAsia" w:hAnsiTheme="majorHAnsi" w:cstheme="minorBidi"/>
      <w:color w:val="444D54" w:themeColor="accent3" w:themeShade="BF"/>
      <w:spacing w:val="15"/>
      <w:sz w:val="30"/>
      <w:szCs w:val="22"/>
    </w:rPr>
  </w:style>
  <w:style w:type="paragraph" w:customStyle="1" w:styleId="SidebarTitle">
    <w:name w:val="Sidebar Title"/>
    <w:basedOn w:val="H1"/>
    <w:next w:val="Sidebar"/>
    <w:qFormat/>
    <w:rsid w:val="00570E30"/>
    <w:pPr>
      <w:spacing w:before="0" w:after="80" w:line="260" w:lineRule="atLeast"/>
      <w:outlineLvl w:val="9"/>
    </w:pPr>
    <w:rPr>
      <w:b w:val="0"/>
      <w:color w:val="0B2949" w:themeColor="accent1"/>
      <w:sz w:val="22"/>
    </w:rPr>
  </w:style>
  <w:style w:type="paragraph" w:customStyle="1" w:styleId="SidebarHead">
    <w:name w:val="Sidebar Head"/>
    <w:basedOn w:val="SidebarTitle"/>
    <w:next w:val="Sidebar"/>
    <w:qFormat/>
    <w:rsid w:val="00570E30"/>
  </w:style>
  <w:style w:type="paragraph" w:customStyle="1" w:styleId="TableTextRight">
    <w:name w:val="Table Text Right"/>
    <w:basedOn w:val="TableTextLeft"/>
    <w:qFormat/>
    <w:rsid w:val="00570E30"/>
    <w:pPr>
      <w:jc w:val="right"/>
    </w:pPr>
  </w:style>
  <w:style w:type="paragraph" w:customStyle="1" w:styleId="TableTextDecimal">
    <w:name w:val="Table Text Decimal"/>
    <w:basedOn w:val="TableTextLeft"/>
    <w:qFormat/>
    <w:rsid w:val="00570E30"/>
    <w:pPr>
      <w:tabs>
        <w:tab w:val="decimal" w:pos="576"/>
      </w:tabs>
    </w:pPr>
  </w:style>
  <w:style w:type="paragraph" w:customStyle="1" w:styleId="TableRowHead">
    <w:name w:val="Table Row Head"/>
    <w:basedOn w:val="TableTextLeft"/>
    <w:qFormat/>
    <w:rsid w:val="00570E30"/>
    <w:pPr>
      <w:keepNext/>
    </w:pPr>
    <w:rPr>
      <w:b/>
      <w:color w:val="auto"/>
    </w:rPr>
  </w:style>
  <w:style w:type="paragraph" w:customStyle="1" w:styleId="TableListNumber">
    <w:name w:val="Table List Number"/>
    <w:basedOn w:val="TableTextLeft"/>
    <w:qFormat/>
    <w:rsid w:val="00570E30"/>
    <w:pPr>
      <w:numPr>
        <w:numId w:val="36"/>
      </w:numPr>
    </w:pPr>
  </w:style>
  <w:style w:type="paragraph" w:customStyle="1" w:styleId="TableListBullet">
    <w:name w:val="Table List Bullet"/>
    <w:basedOn w:val="TableTextLeft"/>
    <w:qFormat/>
    <w:rsid w:val="00E747B5"/>
    <w:pPr>
      <w:numPr>
        <w:numId w:val="37"/>
      </w:numPr>
    </w:pPr>
  </w:style>
  <w:style w:type="paragraph" w:customStyle="1" w:styleId="TableHeaderCenter">
    <w:name w:val="Table Header Center"/>
    <w:basedOn w:val="TableTextLeft"/>
    <w:qFormat/>
    <w:rsid w:val="00865438"/>
    <w:pPr>
      <w:keepNext/>
      <w:jc w:val="center"/>
    </w:pPr>
    <w:rPr>
      <w:color w:val="auto"/>
      <w:sz w:val="22"/>
    </w:rPr>
  </w:style>
  <w:style w:type="paragraph" w:customStyle="1" w:styleId="TableHeaderLeft">
    <w:name w:val="Table Header Left"/>
    <w:basedOn w:val="TableTextLeft"/>
    <w:qFormat/>
    <w:rsid w:val="00F40704"/>
    <w:pPr>
      <w:keepNext/>
    </w:pPr>
    <w:rPr>
      <w:color w:val="FFFFFF" w:themeColor="background1"/>
      <w:sz w:val="22"/>
    </w:rPr>
  </w:style>
  <w:style w:type="paragraph" w:customStyle="1" w:styleId="TableTitle">
    <w:name w:val="Table Title"/>
    <w:basedOn w:val="FigureTitle"/>
    <w:qFormat/>
    <w:rsid w:val="00627252"/>
  </w:style>
  <w:style w:type="paragraph" w:customStyle="1" w:styleId="TableTextCentered">
    <w:name w:val="Table Text Centered"/>
    <w:basedOn w:val="TableTextLeft"/>
    <w:qFormat/>
    <w:rsid w:val="00570E30"/>
    <w:pPr>
      <w:jc w:val="center"/>
    </w:pPr>
  </w:style>
  <w:style w:type="paragraph" w:styleId="List2">
    <w:name w:val="List 2"/>
    <w:basedOn w:val="Normal"/>
    <w:qFormat/>
    <w:rsid w:val="00570E30"/>
    <w:pPr>
      <w:numPr>
        <w:ilvl w:val="1"/>
        <w:numId w:val="25"/>
      </w:numPr>
      <w:contextualSpacing/>
    </w:pPr>
  </w:style>
  <w:style w:type="paragraph" w:styleId="List3">
    <w:name w:val="List 3"/>
    <w:basedOn w:val="Normal"/>
    <w:qFormat/>
    <w:rsid w:val="00570E30"/>
    <w:pPr>
      <w:numPr>
        <w:ilvl w:val="2"/>
        <w:numId w:val="25"/>
      </w:numPr>
      <w:contextualSpacing/>
    </w:pPr>
  </w:style>
  <w:style w:type="paragraph" w:customStyle="1" w:styleId="ListAlpha">
    <w:name w:val="List Alpha"/>
    <w:basedOn w:val="List"/>
    <w:qFormat/>
    <w:rsid w:val="00570E30"/>
    <w:pPr>
      <w:numPr>
        <w:numId w:val="38"/>
      </w:numPr>
    </w:pPr>
  </w:style>
  <w:style w:type="paragraph" w:customStyle="1" w:styleId="ListAlpha2">
    <w:name w:val="List Alpha 2"/>
    <w:basedOn w:val="List2"/>
    <w:qFormat/>
    <w:rsid w:val="00570E30"/>
    <w:pPr>
      <w:numPr>
        <w:ilvl w:val="0"/>
        <w:numId w:val="39"/>
      </w:numPr>
      <w:spacing w:after="80"/>
      <w:contextualSpacing w:val="0"/>
    </w:pPr>
  </w:style>
  <w:style w:type="paragraph" w:customStyle="1" w:styleId="ListAlpha3">
    <w:name w:val="List Alpha 3"/>
    <w:basedOn w:val="List3"/>
    <w:qFormat/>
    <w:rsid w:val="00570E30"/>
    <w:pPr>
      <w:numPr>
        <w:ilvl w:val="0"/>
        <w:numId w:val="40"/>
      </w:numPr>
      <w:spacing w:after="80"/>
      <w:contextualSpacing w:val="0"/>
    </w:pPr>
  </w:style>
  <w:style w:type="paragraph" w:styleId="List4">
    <w:name w:val="List 4"/>
    <w:basedOn w:val="Normal"/>
    <w:qFormat/>
    <w:rsid w:val="00570E30"/>
    <w:pPr>
      <w:numPr>
        <w:ilvl w:val="3"/>
        <w:numId w:val="25"/>
      </w:numPr>
      <w:contextualSpacing/>
    </w:pPr>
  </w:style>
  <w:style w:type="paragraph" w:customStyle="1" w:styleId="Outline1">
    <w:name w:val="Outline 1"/>
    <w:basedOn w:val="List"/>
    <w:qFormat/>
    <w:rsid w:val="00570E30"/>
    <w:pPr>
      <w:numPr>
        <w:numId w:val="0"/>
      </w:numPr>
      <w:spacing w:after="0"/>
    </w:pPr>
  </w:style>
  <w:style w:type="paragraph" w:customStyle="1" w:styleId="Outline2">
    <w:name w:val="Outline 2"/>
    <w:basedOn w:val="List2"/>
    <w:qFormat/>
    <w:rsid w:val="00570E30"/>
    <w:pPr>
      <w:numPr>
        <w:numId w:val="41"/>
      </w:numPr>
      <w:spacing w:after="0"/>
    </w:pPr>
  </w:style>
  <w:style w:type="paragraph" w:customStyle="1" w:styleId="Outline3">
    <w:name w:val="Outline 3"/>
    <w:basedOn w:val="List3"/>
    <w:qFormat/>
    <w:rsid w:val="00570E30"/>
    <w:pPr>
      <w:numPr>
        <w:numId w:val="41"/>
      </w:numPr>
      <w:spacing w:after="0"/>
    </w:pPr>
  </w:style>
  <w:style w:type="paragraph" w:customStyle="1" w:styleId="Outline4">
    <w:name w:val="Outline 4"/>
    <w:basedOn w:val="List4"/>
    <w:qFormat/>
    <w:rsid w:val="00570E30"/>
    <w:pPr>
      <w:numPr>
        <w:ilvl w:val="0"/>
        <w:numId w:val="0"/>
      </w:numPr>
      <w:spacing w:after="0"/>
      <w:ind w:left="1440" w:hanging="360"/>
    </w:pPr>
  </w:style>
  <w:style w:type="character" w:customStyle="1" w:styleId="BoldItalic">
    <w:name w:val="Bold Italic"/>
    <w:basedOn w:val="DefaultParagraphFont"/>
    <w:qFormat/>
    <w:rsid w:val="00570E30"/>
    <w:rPr>
      <w:b/>
      <w:i/>
    </w:rPr>
  </w:style>
  <w:style w:type="character" w:customStyle="1" w:styleId="BoldUnderline">
    <w:name w:val="Bold Underline"/>
    <w:basedOn w:val="DefaultParagraphFont"/>
    <w:qFormat/>
    <w:rsid w:val="00570E30"/>
    <w:rPr>
      <w:b/>
      <w:u w:val="single"/>
    </w:rPr>
  </w:style>
  <w:style w:type="character" w:customStyle="1" w:styleId="HighlightBlue">
    <w:name w:val="Highlight Blue"/>
    <w:basedOn w:val="DefaultParagraphFont"/>
    <w:qFormat/>
    <w:rsid w:val="00570E30"/>
    <w:rPr>
      <w:bdr w:val="none" w:sz="0" w:space="0" w:color="auto"/>
      <w:shd w:val="clear" w:color="auto" w:fill="D9E8F9" w:themeFill="accent1" w:themeFillTint="1A"/>
    </w:rPr>
  </w:style>
  <w:style w:type="character" w:customStyle="1" w:styleId="HighlightYellow">
    <w:name w:val="Highlight Yellow"/>
    <w:basedOn w:val="DefaultParagraphFont"/>
    <w:qFormat/>
    <w:rsid w:val="00570E30"/>
    <w:rPr>
      <w:bdr w:val="none" w:sz="0" w:space="0" w:color="auto"/>
      <w:shd w:val="clear" w:color="auto" w:fill="FCF0D1" w:themeFill="accent4" w:themeFillTint="33"/>
    </w:rPr>
  </w:style>
  <w:style w:type="character" w:customStyle="1" w:styleId="RunIn">
    <w:name w:val="Run In"/>
    <w:basedOn w:val="DefaultParagraphFont"/>
    <w:qFormat/>
    <w:rsid w:val="00570E30"/>
    <w:rPr>
      <w:b/>
      <w:color w:val="000000" w:themeColor="text1"/>
    </w:rPr>
  </w:style>
  <w:style w:type="character" w:customStyle="1" w:styleId="TableTextTight">
    <w:name w:val="Table Text Tight"/>
    <w:basedOn w:val="DefaultParagraphFont"/>
    <w:qFormat/>
    <w:rsid w:val="00570E30"/>
    <w:rPr>
      <w:sz w:val="16"/>
    </w:rPr>
  </w:style>
  <w:style w:type="character" w:customStyle="1" w:styleId="TitleSubtitle">
    <w:name w:val="Title_Subtitle"/>
    <w:basedOn w:val="DefaultParagraphFont"/>
    <w:qFormat/>
    <w:rsid w:val="00570E30"/>
    <w:rPr>
      <w:b/>
    </w:rPr>
  </w:style>
  <w:style w:type="table" w:customStyle="1" w:styleId="AlternateTable">
    <w:name w:val="Alternate Table"/>
    <w:basedOn w:val="TableNormal"/>
    <w:rsid w:val="00570E30"/>
    <w:pPr>
      <w:spacing w:before="40" w:after="20"/>
    </w:pPr>
    <w:rPr>
      <w:rFonts w:asciiTheme="majorHAnsi" w:eastAsiaTheme="minorHAnsi" w:hAnsiTheme="majorHAnsi" w:cstheme="minorBidi"/>
      <w:sz w:val="18"/>
      <w:szCs w:val="22"/>
    </w:rPr>
    <w:tblPr>
      <w:tblBorders>
        <w:bottom w:val="single" w:sz="4" w:space="0" w:color="046B5C" w:themeColor="text2"/>
        <w:insideH w:val="single" w:sz="4" w:space="0" w:color="5B6771" w:themeColor="accent3"/>
      </w:tblBorders>
      <w:tblCellMar>
        <w:left w:w="58" w:type="dxa"/>
        <w:right w:w="58" w:type="dxa"/>
      </w:tblCellMar>
    </w:tblPr>
    <w:trPr>
      <w:cantSplit/>
    </w:trPr>
    <w:tcPr>
      <w:shd w:val="clear" w:color="auto" w:fill="FFFFFF" w:themeFill="background1"/>
      <w:tcMar>
        <w:top w:w="0" w:type="dxa"/>
        <w:bottom w:w="0" w:type="dxa"/>
      </w:tcMar>
    </w:tcPr>
    <w:tblStylePr w:type="firstRow">
      <w:pPr>
        <w:jc w:val="left"/>
      </w:pPr>
      <w:rPr>
        <w:b/>
        <w:color w:val="FFFFFF" w:themeColor="background1"/>
      </w:rPr>
      <w:tblPr/>
      <w:tcPr>
        <w:tcBorders>
          <w:top w:val="nil"/>
          <w:left w:val="nil"/>
          <w:bottom w:val="single" w:sz="4" w:space="0" w:color="046B5C" w:themeColor="text2"/>
          <w:right w:val="nil"/>
          <w:insideH w:val="nil"/>
          <w:insideV w:val="single" w:sz="4" w:space="0" w:color="FFFFFF" w:themeColor="background1"/>
          <w:tl2br w:val="nil"/>
          <w:tr2bl w:val="nil"/>
        </w:tcBorders>
        <w:shd w:val="clear" w:color="auto" w:fill="046B5C" w:themeFill="text2"/>
      </w:tcPr>
    </w:tblStylePr>
    <w:tblStylePr w:type="lastRow">
      <w:rPr>
        <w:color w:val="000000" w:themeColor="text1"/>
      </w:rPr>
      <w:tblPr/>
      <w:tcPr>
        <w:tcBorders>
          <w:bottom w:val="single" w:sz="4" w:space="0" w:color="046B5C" w:themeColor="text2"/>
        </w:tcBorders>
        <w:shd w:val="clear" w:color="auto" w:fill="FFFFFF" w:themeFill="background1"/>
      </w:tcPr>
    </w:tblStylePr>
    <w:tblStylePr w:type="firstCol">
      <w:tblPr/>
      <w:tcPr>
        <w:tcBorders>
          <w:right w:val="single" w:sz="4" w:space="0" w:color="5B6771" w:themeColor="accent3"/>
        </w:tcBorders>
        <w:shd w:val="clear" w:color="auto" w:fill="FFFFFF" w:themeFill="background1"/>
      </w:tcPr>
    </w:tblStylePr>
    <w:tblStylePr w:type="lastCol">
      <w:tblPr/>
      <w:tcPr>
        <w:tcBorders>
          <w:top w:val="nil"/>
          <w:left w:val="nil"/>
          <w:bottom w:val="single" w:sz="4" w:space="0" w:color="5B6771" w:themeColor="accent3"/>
          <w:right w:val="nil"/>
          <w:insideH w:val="nil"/>
          <w:insideV w:val="nil"/>
          <w:tl2br w:val="nil"/>
          <w:tr2bl w:val="nil"/>
        </w:tcBorders>
        <w:shd w:val="clear" w:color="auto" w:fill="FFFFFF" w:themeFill="background1"/>
      </w:tcPr>
    </w:tblStylePr>
    <w:tblStylePr w:type="neCell">
      <w:pPr>
        <w:jc w:val="left"/>
      </w:pPr>
      <w:tblPr/>
      <w:tcPr>
        <w:tcBorders>
          <w:right w:val="single" w:sz="4" w:space="0" w:color="FFFFFF" w:themeColor="background1"/>
        </w:tcBorders>
        <w:shd w:val="clear" w:color="auto" w:fill="046B5C" w:themeFill="text2"/>
      </w:tcPr>
    </w:tblStylePr>
  </w:style>
  <w:style w:type="paragraph" w:customStyle="1" w:styleId="TableTextDecimalWide">
    <w:name w:val="Table Text Decimal Wide"/>
    <w:basedOn w:val="TableTextDecimal"/>
    <w:qFormat/>
    <w:rsid w:val="00570E30"/>
    <w:pPr>
      <w:tabs>
        <w:tab w:val="clear" w:pos="576"/>
        <w:tab w:val="decimal" w:pos="864"/>
      </w:tabs>
    </w:pPr>
  </w:style>
  <w:style w:type="paragraph" w:customStyle="1" w:styleId="TableTextDecimalNarrow">
    <w:name w:val="Table Text Decimal Narrow"/>
    <w:basedOn w:val="TableTextDecimalWide"/>
    <w:qFormat/>
    <w:rsid w:val="00570E30"/>
    <w:pPr>
      <w:tabs>
        <w:tab w:val="clear" w:pos="864"/>
        <w:tab w:val="decimal" w:pos="360"/>
      </w:tabs>
    </w:pPr>
  </w:style>
  <w:style w:type="paragraph" w:styleId="ListBullet4">
    <w:name w:val="List Bullet 4"/>
    <w:basedOn w:val="Normal"/>
    <w:qFormat/>
    <w:rsid w:val="00570E30"/>
    <w:pPr>
      <w:numPr>
        <w:numId w:val="28"/>
      </w:numPr>
      <w:contextualSpacing/>
    </w:pPr>
  </w:style>
  <w:style w:type="paragraph" w:customStyle="1" w:styleId="TitleRule">
    <w:name w:val="Title Rule"/>
    <w:basedOn w:val="Normal"/>
    <w:qFormat/>
    <w:rsid w:val="00570E30"/>
    <w:pPr>
      <w:keepNext/>
      <w:spacing w:before="240" w:after="80"/>
    </w:pPr>
  </w:style>
  <w:style w:type="paragraph" w:styleId="ListBullet5">
    <w:name w:val="List Bullet 5"/>
    <w:basedOn w:val="Normal"/>
    <w:qFormat/>
    <w:rsid w:val="00570E30"/>
    <w:pPr>
      <w:numPr>
        <w:numId w:val="29"/>
      </w:numPr>
      <w:contextualSpacing/>
    </w:pPr>
  </w:style>
  <w:style w:type="paragraph" w:styleId="ListNumber5">
    <w:name w:val="List Number 5"/>
    <w:basedOn w:val="Normal"/>
    <w:qFormat/>
    <w:rsid w:val="00570E30"/>
    <w:pPr>
      <w:numPr>
        <w:numId w:val="33"/>
      </w:numPr>
      <w:spacing w:after="80"/>
    </w:pPr>
  </w:style>
  <w:style w:type="paragraph" w:customStyle="1" w:styleId="Sidebar">
    <w:name w:val="Sidebar"/>
    <w:basedOn w:val="Normal"/>
    <w:qFormat/>
    <w:rsid w:val="00570E30"/>
    <w:pPr>
      <w:tabs>
        <w:tab w:val="right" w:pos="4680"/>
      </w:tabs>
      <w:spacing w:after="60" w:line="260" w:lineRule="atLeast"/>
    </w:pPr>
    <w:rPr>
      <w:rFonts w:asciiTheme="majorHAnsi" w:hAnsiTheme="majorHAnsi"/>
      <w:color w:val="444D54" w:themeColor="accent3" w:themeShade="BF"/>
      <w:sz w:val="18"/>
    </w:rPr>
  </w:style>
  <w:style w:type="paragraph" w:customStyle="1" w:styleId="SidebarListBullet">
    <w:name w:val="Sidebar List Bullet"/>
    <w:basedOn w:val="Sidebar"/>
    <w:qFormat/>
    <w:rsid w:val="00570E30"/>
    <w:pPr>
      <w:numPr>
        <w:numId w:val="46"/>
      </w:numPr>
    </w:pPr>
  </w:style>
  <w:style w:type="paragraph" w:customStyle="1" w:styleId="SidebarListNumber">
    <w:name w:val="Sidebar List Number"/>
    <w:basedOn w:val="Sidebar"/>
    <w:qFormat/>
    <w:rsid w:val="00570E30"/>
    <w:pPr>
      <w:numPr>
        <w:numId w:val="42"/>
      </w:numPr>
      <w:tabs>
        <w:tab w:val="clear" w:pos="576"/>
        <w:tab w:val="num" w:pos="288"/>
      </w:tabs>
      <w:adjustRightInd w:val="0"/>
      <w:ind w:left="288"/>
    </w:pPr>
  </w:style>
  <w:style w:type="paragraph" w:customStyle="1" w:styleId="TableListBullet2">
    <w:name w:val="Table List Bullet 2"/>
    <w:basedOn w:val="TableListBullet"/>
    <w:qFormat/>
    <w:rsid w:val="00570E30"/>
    <w:pPr>
      <w:numPr>
        <w:numId w:val="43"/>
      </w:numPr>
    </w:pPr>
  </w:style>
  <w:style w:type="paragraph" w:customStyle="1" w:styleId="TableListNumber2">
    <w:name w:val="Table List Number 2"/>
    <w:basedOn w:val="TableListNumber"/>
    <w:qFormat/>
    <w:rsid w:val="00570E30"/>
    <w:pPr>
      <w:numPr>
        <w:numId w:val="44"/>
      </w:numPr>
    </w:pPr>
  </w:style>
  <w:style w:type="paragraph" w:styleId="ListContinue3">
    <w:name w:val="List Continue 3"/>
    <w:basedOn w:val="Normal"/>
    <w:qFormat/>
    <w:rsid w:val="00570E30"/>
    <w:pPr>
      <w:spacing w:after="80"/>
      <w:ind w:left="540"/>
    </w:pPr>
  </w:style>
  <w:style w:type="paragraph" w:styleId="List5">
    <w:name w:val="List 5"/>
    <w:basedOn w:val="Normal"/>
    <w:qFormat/>
    <w:rsid w:val="00570E30"/>
    <w:pPr>
      <w:numPr>
        <w:ilvl w:val="4"/>
        <w:numId w:val="25"/>
      </w:numPr>
      <w:contextualSpacing/>
    </w:pPr>
  </w:style>
  <w:style w:type="character" w:customStyle="1" w:styleId="H1Char">
    <w:name w:val="H1 Char"/>
    <w:basedOn w:val="DefaultParagraphFont"/>
    <w:link w:val="H1"/>
    <w:rsid w:val="00570E30"/>
    <w:rPr>
      <w:rFonts w:ascii="Arial Narrow" w:eastAsiaTheme="majorEastAsia" w:hAnsi="Arial Narrow" w:cstheme="majorBidi"/>
      <w:b/>
      <w:color w:val="000000" w:themeColor="text1"/>
      <w:sz w:val="36"/>
      <w:szCs w:val="32"/>
    </w:rPr>
  </w:style>
  <w:style w:type="paragraph" w:customStyle="1" w:styleId="ListHead">
    <w:name w:val="List Head"/>
    <w:basedOn w:val="Paragraph"/>
    <w:qFormat/>
    <w:rsid w:val="00570E30"/>
    <w:pPr>
      <w:spacing w:before="240" w:after="0"/>
    </w:pPr>
    <w:rPr>
      <w:b/>
    </w:rPr>
  </w:style>
  <w:style w:type="character" w:customStyle="1" w:styleId="Bold">
    <w:name w:val="Bold"/>
    <w:basedOn w:val="DefaultParagraphFont"/>
    <w:qFormat/>
    <w:rsid w:val="00570E30"/>
    <w:rPr>
      <w:b/>
    </w:rPr>
  </w:style>
  <w:style w:type="character" w:customStyle="1" w:styleId="Italic">
    <w:name w:val="Italic"/>
    <w:basedOn w:val="DefaultParagraphFont"/>
    <w:qFormat/>
    <w:rsid w:val="00570E30"/>
    <w:rPr>
      <w:i/>
    </w:rPr>
  </w:style>
  <w:style w:type="paragraph" w:customStyle="1" w:styleId="mathematicaorg">
    <w:name w:val="mathematica.org"/>
    <w:link w:val="mathematicaorgChar"/>
    <w:qFormat/>
    <w:rsid w:val="00570E30"/>
    <w:pPr>
      <w:jc w:val="right"/>
    </w:pPr>
    <w:rPr>
      <w:rFonts w:asciiTheme="majorHAnsi" w:hAnsiTheme="majorHAnsi"/>
      <w:noProof/>
      <w:spacing w:val="-2"/>
      <w:sz w:val="18"/>
      <w:szCs w:val="19"/>
    </w:rPr>
  </w:style>
  <w:style w:type="table" w:customStyle="1" w:styleId="CoverTable">
    <w:name w:val="Cover Table"/>
    <w:basedOn w:val="TableNormal"/>
    <w:rsid w:val="00570E30"/>
    <w:rPr>
      <w:rFonts w:asciiTheme="minorHAnsi" w:eastAsiaTheme="minorEastAsia" w:hAnsiTheme="minorHAnsi" w:cstheme="minorBidi"/>
      <w:sz w:val="22"/>
      <w:szCs w:val="24"/>
    </w:rPr>
    <w:tblPr/>
    <w:tcPr>
      <w:noWrap/>
      <w:tcMar>
        <w:left w:w="0" w:type="dxa"/>
        <w:right w:w="0" w:type="dxa"/>
      </w:tcMar>
    </w:tcPr>
  </w:style>
  <w:style w:type="paragraph" w:customStyle="1" w:styleId="CoverRFP">
    <w:name w:val="Cover RFP"/>
    <w:basedOn w:val="CoverDate"/>
    <w:qFormat/>
    <w:rsid w:val="00570E30"/>
    <w:pPr>
      <w:spacing w:before="3000" w:line="252" w:lineRule="auto"/>
    </w:pPr>
    <w:rPr>
      <w:rFonts w:eastAsia="Times New Roman" w:cs="Times New Roman"/>
      <w:bCs w:val="0"/>
      <w:spacing w:val="2"/>
      <w:szCs w:val="20"/>
    </w:rPr>
  </w:style>
  <w:style w:type="numbering" w:customStyle="1" w:styleId="Feature2">
    <w:name w:val="Feature 2"/>
    <w:semiHidden/>
    <w:rsid w:val="00570E30"/>
    <w:pPr>
      <w:numPr>
        <w:numId w:val="19"/>
      </w:numPr>
    </w:pPr>
  </w:style>
  <w:style w:type="paragraph" w:customStyle="1" w:styleId="Covertextborder">
    <w:name w:val="Cover text border"/>
    <w:qFormat/>
    <w:rsid w:val="00570E30"/>
    <w:pPr>
      <w:pBdr>
        <w:bottom w:val="single" w:sz="36" w:space="1" w:color="F1B51C" w:themeColor="accent4"/>
      </w:pBdr>
      <w:spacing w:before="120" w:after="240"/>
      <w:ind w:right="6480"/>
    </w:pPr>
    <w:rPr>
      <w:rFonts w:ascii="Arial" w:eastAsiaTheme="minorHAnsi" w:hAnsi="Arial" w:cs="Arial"/>
      <w:color w:val="0B2949" w:themeColor="accent1"/>
      <w:spacing w:val="2"/>
      <w:sz w:val="8"/>
      <w:szCs w:val="4"/>
    </w:rPr>
  </w:style>
  <w:style w:type="paragraph" w:customStyle="1" w:styleId="CoverRFPNumber">
    <w:name w:val="Cover RFP Number"/>
    <w:qFormat/>
    <w:rsid w:val="00570E30"/>
    <w:pPr>
      <w:widowControl w:val="0"/>
      <w:spacing w:before="1600" w:line="252" w:lineRule="auto"/>
    </w:pPr>
    <w:rPr>
      <w:rFonts w:ascii="Arial" w:eastAsiaTheme="minorHAnsi" w:hAnsi="Arial" w:cs="Arial"/>
      <w:b/>
      <w:color w:val="0B2949" w:themeColor="accent1"/>
      <w:spacing w:val="2"/>
      <w:sz w:val="24"/>
      <w:szCs w:val="24"/>
    </w:rPr>
  </w:style>
  <w:style w:type="paragraph" w:customStyle="1" w:styleId="CoverProposalVolume">
    <w:name w:val="Cover Proposal Volume"/>
    <w:qFormat/>
    <w:rsid w:val="00570E30"/>
    <w:pPr>
      <w:spacing w:line="252" w:lineRule="auto"/>
    </w:pPr>
    <w:rPr>
      <w:rFonts w:ascii="Arial" w:eastAsiaTheme="minorHAnsi" w:hAnsi="Arial" w:cs="Arial"/>
      <w:b/>
      <w:color w:val="0B2949" w:themeColor="accent1"/>
      <w:spacing w:val="2"/>
      <w:sz w:val="24"/>
      <w:szCs w:val="24"/>
    </w:rPr>
  </w:style>
  <w:style w:type="character" w:customStyle="1" w:styleId="Subscript">
    <w:name w:val="Subscript"/>
    <w:basedOn w:val="DefaultParagraphFont"/>
    <w:qFormat/>
    <w:rsid w:val="00570E30"/>
    <w:rPr>
      <w:vertAlign w:val="subscript"/>
    </w:rPr>
  </w:style>
  <w:style w:type="paragraph" w:styleId="Salutation">
    <w:name w:val="Salutation"/>
    <w:basedOn w:val="Normal"/>
    <w:next w:val="Paragraph"/>
    <w:link w:val="SalutationChar"/>
    <w:qFormat/>
    <w:rsid w:val="00570E30"/>
    <w:pPr>
      <w:tabs>
        <w:tab w:val="left" w:pos="1440"/>
      </w:tabs>
      <w:spacing w:line="245" w:lineRule="auto"/>
      <w:ind w:left="1440" w:hanging="1440"/>
    </w:pPr>
  </w:style>
  <w:style w:type="character" w:customStyle="1" w:styleId="SalutationChar">
    <w:name w:val="Salutation Char"/>
    <w:basedOn w:val="DefaultParagraphFont"/>
    <w:link w:val="Salutation"/>
    <w:semiHidden/>
    <w:rsid w:val="00570E30"/>
    <w:rPr>
      <w:rFonts w:asciiTheme="minorHAnsi" w:eastAsiaTheme="minorHAnsi" w:hAnsiTheme="minorHAnsi" w:cstheme="minorBidi"/>
      <w:szCs w:val="22"/>
    </w:rPr>
  </w:style>
  <w:style w:type="numbering" w:styleId="111111">
    <w:name w:val="Outline List 2"/>
    <w:basedOn w:val="NoList"/>
    <w:semiHidden/>
    <w:unhideWhenUsed/>
    <w:rsid w:val="00570E30"/>
    <w:pPr>
      <w:numPr>
        <w:numId w:val="20"/>
      </w:numPr>
    </w:pPr>
  </w:style>
  <w:style w:type="character" w:customStyle="1" w:styleId="Superscript">
    <w:name w:val="Superscript"/>
    <w:basedOn w:val="DefaultParagraphFont"/>
    <w:qFormat/>
    <w:rsid w:val="00570E30"/>
    <w:rPr>
      <w:vertAlign w:val="superscript"/>
    </w:rPr>
  </w:style>
  <w:style w:type="character" w:customStyle="1" w:styleId="Underline">
    <w:name w:val="Underline"/>
    <w:basedOn w:val="DefaultParagraphFont"/>
    <w:qFormat/>
    <w:rsid w:val="00570E30"/>
    <w:rPr>
      <w:u w:val="single"/>
    </w:rPr>
  </w:style>
  <w:style w:type="numbering" w:styleId="1ai">
    <w:name w:val="Outline List 1"/>
    <w:basedOn w:val="NoList"/>
    <w:semiHidden/>
    <w:unhideWhenUsed/>
    <w:rsid w:val="00570E30"/>
    <w:pPr>
      <w:numPr>
        <w:numId w:val="21"/>
      </w:numPr>
    </w:pPr>
  </w:style>
  <w:style w:type="numbering" w:styleId="ArticleSection">
    <w:name w:val="Outline List 3"/>
    <w:basedOn w:val="NoList"/>
    <w:semiHidden/>
    <w:unhideWhenUsed/>
    <w:rsid w:val="00570E30"/>
    <w:pPr>
      <w:numPr>
        <w:numId w:val="22"/>
      </w:numPr>
    </w:pPr>
  </w:style>
  <w:style w:type="table" w:styleId="ColorfulGrid">
    <w:name w:val="Colorful Grid"/>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Borders>
        <w:insideH w:val="single" w:sz="4" w:space="0" w:color="FFFFFF" w:themeColor="background1"/>
      </w:tblBorders>
    </w:tblPr>
    <w:tcPr>
      <w:shd w:val="clear" w:color="auto" w:fill="B4D3F3" w:themeFill="accent1" w:themeFillTint="33"/>
    </w:tcPr>
    <w:tblStylePr w:type="firstRow">
      <w:rPr>
        <w:b/>
        <w:bCs/>
      </w:rPr>
      <w:tblPr/>
      <w:tcPr>
        <w:shd w:val="clear" w:color="auto" w:fill="6AA7E8" w:themeFill="accent1" w:themeFillTint="66"/>
      </w:tcPr>
    </w:tblStylePr>
    <w:tblStylePr w:type="lastRow">
      <w:rPr>
        <w:b/>
        <w:bCs/>
        <w:color w:val="000000" w:themeColor="text1"/>
      </w:rPr>
      <w:tblPr/>
      <w:tcPr>
        <w:shd w:val="clear" w:color="auto" w:fill="6AA7E8" w:themeFill="accent1" w:themeFillTint="66"/>
      </w:tcPr>
    </w:tblStylePr>
    <w:tblStylePr w:type="firstCol">
      <w:rPr>
        <w:color w:val="FFFFFF" w:themeColor="background1"/>
      </w:rPr>
      <w:tblPr/>
      <w:tcPr>
        <w:shd w:val="clear" w:color="auto" w:fill="081E36" w:themeFill="accent1" w:themeFillShade="BF"/>
      </w:tcPr>
    </w:tblStylePr>
    <w:tblStylePr w:type="lastCol">
      <w:rPr>
        <w:color w:val="FFFFFF" w:themeColor="background1"/>
      </w:rPr>
      <w:tblPr/>
      <w:tcPr>
        <w:shd w:val="clear" w:color="auto" w:fill="081E36" w:themeFill="accent1" w:themeFillShade="BF"/>
      </w:tcPr>
    </w:tblStylePr>
    <w:tblStylePr w:type="band1Vert">
      <w:tblPr/>
      <w:tcPr>
        <w:shd w:val="clear" w:color="auto" w:fill="4692E3" w:themeFill="accent1" w:themeFillTint="7F"/>
      </w:tcPr>
    </w:tblStylePr>
    <w:tblStylePr w:type="band1Horz">
      <w:tblPr/>
      <w:tcPr>
        <w:shd w:val="clear" w:color="auto" w:fill="4692E3" w:themeFill="accent1" w:themeFillTint="7F"/>
      </w:tcPr>
    </w:tblStylePr>
  </w:style>
  <w:style w:type="table" w:styleId="ColorfulGrid-Accent2">
    <w:name w:val="Colorful Grid Accent 2"/>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Borders>
        <w:insideH w:val="single" w:sz="4" w:space="0" w:color="FFFFFF" w:themeColor="background1"/>
      </w:tblBorders>
    </w:tblPr>
    <w:tcPr>
      <w:shd w:val="clear" w:color="auto" w:fill="F6D3D2" w:themeFill="accent2" w:themeFillTint="33"/>
    </w:tcPr>
    <w:tblStylePr w:type="firstRow">
      <w:rPr>
        <w:b/>
        <w:bCs/>
      </w:rPr>
      <w:tblPr/>
      <w:tcPr>
        <w:shd w:val="clear" w:color="auto" w:fill="EEA7A6" w:themeFill="accent2" w:themeFillTint="66"/>
      </w:tcPr>
    </w:tblStylePr>
    <w:tblStylePr w:type="lastRow">
      <w:rPr>
        <w:b/>
        <w:bCs/>
        <w:color w:val="000000" w:themeColor="text1"/>
      </w:rPr>
      <w:tblPr/>
      <w:tcPr>
        <w:shd w:val="clear" w:color="auto" w:fill="EEA7A6" w:themeFill="accent2" w:themeFillTint="66"/>
      </w:tcPr>
    </w:tblStylePr>
    <w:tblStylePr w:type="firstCol">
      <w:rPr>
        <w:color w:val="FFFFFF" w:themeColor="background1"/>
      </w:rPr>
      <w:tblPr/>
      <w:tcPr>
        <w:shd w:val="clear" w:color="auto" w:fill="9B201D" w:themeFill="accent2" w:themeFillShade="BF"/>
      </w:tcPr>
    </w:tblStylePr>
    <w:tblStylePr w:type="lastCol">
      <w:rPr>
        <w:color w:val="FFFFFF" w:themeColor="background1"/>
      </w:rPr>
      <w:tblPr/>
      <w:tcPr>
        <w:shd w:val="clear" w:color="auto" w:fill="9B201D" w:themeFill="accent2" w:themeFillShade="BF"/>
      </w:tcPr>
    </w:tblStylePr>
    <w:tblStylePr w:type="band1Vert">
      <w:tblPr/>
      <w:tcPr>
        <w:shd w:val="clear" w:color="auto" w:fill="EA9290" w:themeFill="accent2" w:themeFillTint="7F"/>
      </w:tcPr>
    </w:tblStylePr>
    <w:tblStylePr w:type="band1Horz">
      <w:tblPr/>
      <w:tcPr>
        <w:shd w:val="clear" w:color="auto" w:fill="EA9290" w:themeFill="accent2" w:themeFillTint="7F"/>
      </w:tcPr>
    </w:tblStylePr>
  </w:style>
  <w:style w:type="table" w:styleId="ColorfulGrid-Accent3">
    <w:name w:val="Colorful Grid Accent 3"/>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Borders>
        <w:insideH w:val="single" w:sz="4" w:space="0" w:color="FFFFFF" w:themeColor="background1"/>
      </w:tblBorders>
    </w:tblPr>
    <w:tcPr>
      <w:shd w:val="clear" w:color="auto" w:fill="DDE0E3" w:themeFill="accent3" w:themeFillTint="33"/>
    </w:tcPr>
    <w:tblStylePr w:type="firstRow">
      <w:rPr>
        <w:b/>
        <w:bCs/>
      </w:rPr>
      <w:tblPr/>
      <w:tcPr>
        <w:shd w:val="clear" w:color="auto" w:fill="BBC2C8" w:themeFill="accent3" w:themeFillTint="66"/>
      </w:tcPr>
    </w:tblStylePr>
    <w:tblStylePr w:type="lastRow">
      <w:rPr>
        <w:b/>
        <w:bCs/>
        <w:color w:val="000000" w:themeColor="text1"/>
      </w:rPr>
      <w:tblPr/>
      <w:tcPr>
        <w:shd w:val="clear" w:color="auto" w:fill="BBC2C8" w:themeFill="accent3" w:themeFillTint="66"/>
      </w:tcPr>
    </w:tblStylePr>
    <w:tblStylePr w:type="firstCol">
      <w:rPr>
        <w:color w:val="FFFFFF" w:themeColor="background1"/>
      </w:rPr>
      <w:tblPr/>
      <w:tcPr>
        <w:shd w:val="clear" w:color="auto" w:fill="444D54" w:themeFill="accent3" w:themeFillShade="BF"/>
      </w:tcPr>
    </w:tblStylePr>
    <w:tblStylePr w:type="lastCol">
      <w:rPr>
        <w:color w:val="FFFFFF" w:themeColor="background1"/>
      </w:rPr>
      <w:tblPr/>
      <w:tcPr>
        <w:shd w:val="clear" w:color="auto" w:fill="444D54" w:themeFill="accent3" w:themeFillShade="BF"/>
      </w:tcPr>
    </w:tblStylePr>
    <w:tblStylePr w:type="band1Vert">
      <w:tblPr/>
      <w:tcPr>
        <w:shd w:val="clear" w:color="auto" w:fill="AAB3BB" w:themeFill="accent3" w:themeFillTint="7F"/>
      </w:tcPr>
    </w:tblStylePr>
    <w:tblStylePr w:type="band1Horz">
      <w:tblPr/>
      <w:tcPr>
        <w:shd w:val="clear" w:color="auto" w:fill="AAB3BB" w:themeFill="accent3" w:themeFillTint="7F"/>
      </w:tcPr>
    </w:tblStylePr>
  </w:style>
  <w:style w:type="table" w:styleId="ColorfulGrid-Accent4">
    <w:name w:val="Colorful Grid Accent 4"/>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Borders>
        <w:insideH w:val="single" w:sz="4" w:space="0" w:color="FFFFFF" w:themeColor="background1"/>
      </w:tblBorders>
    </w:tblPr>
    <w:tcPr>
      <w:shd w:val="clear" w:color="auto" w:fill="FCF0D1" w:themeFill="accent4" w:themeFillTint="33"/>
    </w:tcPr>
    <w:tblStylePr w:type="firstRow">
      <w:rPr>
        <w:b/>
        <w:bCs/>
      </w:rPr>
      <w:tblPr/>
      <w:tcPr>
        <w:shd w:val="clear" w:color="auto" w:fill="F9E1A3" w:themeFill="accent4" w:themeFillTint="66"/>
      </w:tcPr>
    </w:tblStylePr>
    <w:tblStylePr w:type="lastRow">
      <w:rPr>
        <w:b/>
        <w:bCs/>
        <w:color w:val="000000" w:themeColor="text1"/>
      </w:rPr>
      <w:tblPr/>
      <w:tcPr>
        <w:shd w:val="clear" w:color="auto" w:fill="F9E1A3" w:themeFill="accent4" w:themeFillTint="66"/>
      </w:tcPr>
    </w:tblStylePr>
    <w:tblStylePr w:type="firstCol">
      <w:rPr>
        <w:color w:val="FFFFFF" w:themeColor="background1"/>
      </w:rPr>
      <w:tblPr/>
      <w:tcPr>
        <w:shd w:val="clear" w:color="auto" w:fill="BD8B0B" w:themeFill="accent4" w:themeFillShade="BF"/>
      </w:tcPr>
    </w:tblStylePr>
    <w:tblStylePr w:type="lastCol">
      <w:rPr>
        <w:color w:val="FFFFFF" w:themeColor="background1"/>
      </w:rPr>
      <w:tblPr/>
      <w:tcPr>
        <w:shd w:val="clear" w:color="auto" w:fill="BD8B0B" w:themeFill="accent4" w:themeFillShade="BF"/>
      </w:tcPr>
    </w:tblStylePr>
    <w:tblStylePr w:type="band1Vert">
      <w:tblPr/>
      <w:tcPr>
        <w:shd w:val="clear" w:color="auto" w:fill="F8DA8D" w:themeFill="accent4" w:themeFillTint="7F"/>
      </w:tcPr>
    </w:tblStylePr>
    <w:tblStylePr w:type="band1Horz">
      <w:tblPr/>
      <w:tcPr>
        <w:shd w:val="clear" w:color="auto" w:fill="F8DA8D" w:themeFill="accent4" w:themeFillTint="7F"/>
      </w:tcPr>
    </w:tblStylePr>
  </w:style>
  <w:style w:type="table" w:styleId="ColorfulGrid-Accent5">
    <w:name w:val="Colorful Grid Accent 5"/>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Borders>
        <w:insideH w:val="single" w:sz="4" w:space="0" w:color="FFFFFF" w:themeColor="background1"/>
      </w:tblBorders>
    </w:tblPr>
    <w:tcPr>
      <w:shd w:val="clear" w:color="auto" w:fill="C4F5F5" w:themeFill="accent5" w:themeFillTint="33"/>
    </w:tcPr>
    <w:tblStylePr w:type="firstRow">
      <w:rPr>
        <w:b/>
        <w:bCs/>
      </w:rPr>
      <w:tblPr/>
      <w:tcPr>
        <w:shd w:val="clear" w:color="auto" w:fill="8AEBEC" w:themeFill="accent5" w:themeFillTint="66"/>
      </w:tcPr>
    </w:tblStylePr>
    <w:tblStylePr w:type="lastRow">
      <w:rPr>
        <w:b/>
        <w:bCs/>
        <w:color w:val="000000" w:themeColor="text1"/>
      </w:rPr>
      <w:tblPr/>
      <w:tcPr>
        <w:shd w:val="clear" w:color="auto" w:fill="8AEBEC" w:themeFill="accent5" w:themeFillTint="66"/>
      </w:tcPr>
    </w:tblStylePr>
    <w:tblStylePr w:type="firstCol">
      <w:rPr>
        <w:color w:val="FFFFFF" w:themeColor="background1"/>
      </w:rPr>
      <w:tblPr/>
      <w:tcPr>
        <w:shd w:val="clear" w:color="auto" w:fill="126D6E" w:themeFill="accent5" w:themeFillShade="BF"/>
      </w:tcPr>
    </w:tblStylePr>
    <w:tblStylePr w:type="lastCol">
      <w:rPr>
        <w:color w:val="FFFFFF" w:themeColor="background1"/>
      </w:rPr>
      <w:tblPr/>
      <w:tcPr>
        <w:shd w:val="clear" w:color="auto" w:fill="126D6E" w:themeFill="accent5" w:themeFillShade="BF"/>
      </w:tcPr>
    </w:tblStylePr>
    <w:tblStylePr w:type="band1Vert">
      <w:tblPr/>
      <w:tcPr>
        <w:shd w:val="clear" w:color="auto" w:fill="6DE6E7" w:themeFill="accent5" w:themeFillTint="7F"/>
      </w:tcPr>
    </w:tblStylePr>
    <w:tblStylePr w:type="band1Horz">
      <w:tblPr/>
      <w:tcPr>
        <w:shd w:val="clear" w:color="auto" w:fill="6DE6E7" w:themeFill="accent5" w:themeFillTint="7F"/>
      </w:tcPr>
    </w:tblStylePr>
  </w:style>
  <w:style w:type="table" w:styleId="ColorfulGrid-Accent6">
    <w:name w:val="Colorful Grid Accent 6"/>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Borders>
        <w:insideH w:val="single" w:sz="4" w:space="0" w:color="FFFFFF" w:themeColor="background1"/>
      </w:tblBorders>
    </w:tblPr>
    <w:tcPr>
      <w:shd w:val="clear" w:color="auto" w:fill="C6F7E5" w:themeFill="accent6" w:themeFillTint="33"/>
    </w:tcPr>
    <w:tblStylePr w:type="firstRow">
      <w:rPr>
        <w:b/>
        <w:bCs/>
      </w:rPr>
      <w:tblPr/>
      <w:tcPr>
        <w:shd w:val="clear" w:color="auto" w:fill="8EEFCC" w:themeFill="accent6" w:themeFillTint="66"/>
      </w:tcPr>
    </w:tblStylePr>
    <w:tblStylePr w:type="lastRow">
      <w:rPr>
        <w:b/>
        <w:bCs/>
        <w:color w:val="000000" w:themeColor="text1"/>
      </w:rPr>
      <w:tblPr/>
      <w:tcPr>
        <w:shd w:val="clear" w:color="auto" w:fill="8EEFCC" w:themeFill="accent6" w:themeFillTint="66"/>
      </w:tcPr>
    </w:tblStylePr>
    <w:tblStylePr w:type="firstCol">
      <w:rPr>
        <w:color w:val="FFFFFF" w:themeColor="background1"/>
      </w:rPr>
      <w:tblPr/>
      <w:tcPr>
        <w:shd w:val="clear" w:color="auto" w:fill="117C55" w:themeFill="accent6" w:themeFillShade="BF"/>
      </w:tcPr>
    </w:tblStylePr>
    <w:tblStylePr w:type="lastCol">
      <w:rPr>
        <w:color w:val="FFFFFF" w:themeColor="background1"/>
      </w:rPr>
      <w:tblPr/>
      <w:tcPr>
        <w:shd w:val="clear" w:color="auto" w:fill="117C55" w:themeFill="accent6" w:themeFillShade="BF"/>
      </w:tcPr>
    </w:tblStylePr>
    <w:tblStylePr w:type="band1Vert">
      <w:tblPr/>
      <w:tcPr>
        <w:shd w:val="clear" w:color="auto" w:fill="72EBC0" w:themeFill="accent6" w:themeFillTint="7F"/>
      </w:tcPr>
    </w:tblStylePr>
    <w:tblStylePr w:type="band1Horz">
      <w:tblPr/>
      <w:tcPr>
        <w:shd w:val="clear" w:color="auto" w:fill="72EBC0" w:themeFill="accent6" w:themeFillTint="7F"/>
      </w:tcPr>
    </w:tblStylePr>
  </w:style>
  <w:style w:type="table" w:styleId="ColorfulList">
    <w:name w:val="Colorful List"/>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A6221F" w:themeFill="accent2" w:themeFillShade="CC"/>
      </w:tcPr>
    </w:tblStylePr>
    <w:tblStylePr w:type="lastRow">
      <w:rPr>
        <w:b/>
        <w:bCs/>
        <w:color w:val="A6221F"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Pr>
    <w:tcPr>
      <w:shd w:val="clear" w:color="auto" w:fill="DAE9F9" w:themeFill="accent1" w:themeFillTint="19"/>
    </w:tcPr>
    <w:tblStylePr w:type="firstRow">
      <w:rPr>
        <w:b/>
        <w:bCs/>
        <w:color w:val="FFFFFF" w:themeColor="background1"/>
      </w:rPr>
      <w:tblPr/>
      <w:tcPr>
        <w:tcBorders>
          <w:bottom w:val="single" w:sz="12" w:space="0" w:color="FFFFFF" w:themeColor="background1"/>
        </w:tcBorders>
        <w:shd w:val="clear" w:color="auto" w:fill="A6221F" w:themeFill="accent2" w:themeFillShade="CC"/>
      </w:tcPr>
    </w:tblStylePr>
    <w:tblStylePr w:type="lastRow">
      <w:rPr>
        <w:b/>
        <w:bCs/>
        <w:color w:val="A6221F"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A3C8F1" w:themeFill="accent1" w:themeFillTint="3F"/>
      </w:tcPr>
    </w:tblStylePr>
    <w:tblStylePr w:type="band1Horz">
      <w:tblPr/>
      <w:tcPr>
        <w:shd w:val="clear" w:color="auto" w:fill="B4D3F3" w:themeFill="accent1" w:themeFillTint="33"/>
      </w:tcPr>
    </w:tblStylePr>
  </w:style>
  <w:style w:type="table" w:styleId="ColorfulList-Accent2">
    <w:name w:val="Colorful List Accent 2"/>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Pr>
    <w:tcPr>
      <w:shd w:val="clear" w:color="auto" w:fill="FBE9E9" w:themeFill="accent2" w:themeFillTint="19"/>
    </w:tcPr>
    <w:tblStylePr w:type="firstRow">
      <w:rPr>
        <w:b/>
        <w:bCs/>
        <w:color w:val="FFFFFF" w:themeColor="background1"/>
      </w:rPr>
      <w:tblPr/>
      <w:tcPr>
        <w:tcBorders>
          <w:bottom w:val="single" w:sz="12" w:space="0" w:color="FFFFFF" w:themeColor="background1"/>
        </w:tcBorders>
        <w:shd w:val="clear" w:color="auto" w:fill="A6221F" w:themeFill="accent2" w:themeFillShade="CC"/>
      </w:tcPr>
    </w:tblStylePr>
    <w:tblStylePr w:type="lastRow">
      <w:rPr>
        <w:b/>
        <w:bCs/>
        <w:color w:val="A6221F"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4C9C8" w:themeFill="accent2" w:themeFillTint="3F"/>
      </w:tcPr>
    </w:tblStylePr>
    <w:tblStylePr w:type="band1Horz">
      <w:tblPr/>
      <w:tcPr>
        <w:shd w:val="clear" w:color="auto" w:fill="F6D3D2" w:themeFill="accent2" w:themeFillTint="33"/>
      </w:tcPr>
    </w:tblStylePr>
  </w:style>
  <w:style w:type="table" w:styleId="ColorfulList-Accent3">
    <w:name w:val="Colorful List Accent 3"/>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Pr>
    <w:tcPr>
      <w:shd w:val="clear" w:color="auto" w:fill="EEF0F1" w:themeFill="accent3" w:themeFillTint="19"/>
    </w:tcPr>
    <w:tblStylePr w:type="firstRow">
      <w:rPr>
        <w:b/>
        <w:bCs/>
        <w:color w:val="FFFFFF" w:themeColor="background1"/>
      </w:rPr>
      <w:tblPr/>
      <w:tcPr>
        <w:tcBorders>
          <w:bottom w:val="single" w:sz="12" w:space="0" w:color="FFFFFF" w:themeColor="background1"/>
        </w:tcBorders>
        <w:shd w:val="clear" w:color="auto" w:fill="CA940C" w:themeFill="accent4" w:themeFillShade="CC"/>
      </w:tcPr>
    </w:tblStylePr>
    <w:tblStylePr w:type="lastRow">
      <w:rPr>
        <w:b/>
        <w:bCs/>
        <w:color w:val="CA940C"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5D9DD" w:themeFill="accent3" w:themeFillTint="3F"/>
      </w:tcPr>
    </w:tblStylePr>
    <w:tblStylePr w:type="band1Horz">
      <w:tblPr/>
      <w:tcPr>
        <w:shd w:val="clear" w:color="auto" w:fill="DDE0E3" w:themeFill="accent3" w:themeFillTint="33"/>
      </w:tcPr>
    </w:tblStylePr>
  </w:style>
  <w:style w:type="table" w:styleId="ColorfulList-Accent4">
    <w:name w:val="Colorful List Accent 4"/>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Pr>
    <w:tcPr>
      <w:shd w:val="clear" w:color="auto" w:fill="FDF7E8" w:themeFill="accent4" w:themeFillTint="19"/>
    </w:tcPr>
    <w:tblStylePr w:type="firstRow">
      <w:rPr>
        <w:b/>
        <w:bCs/>
        <w:color w:val="FFFFFF" w:themeColor="background1"/>
      </w:rPr>
      <w:tblPr/>
      <w:tcPr>
        <w:tcBorders>
          <w:bottom w:val="single" w:sz="12" w:space="0" w:color="FFFFFF" w:themeColor="background1"/>
        </w:tcBorders>
        <w:shd w:val="clear" w:color="auto" w:fill="48525A" w:themeFill="accent3" w:themeFillShade="CC"/>
      </w:tcPr>
    </w:tblStylePr>
    <w:tblStylePr w:type="lastRow">
      <w:rPr>
        <w:b/>
        <w:bCs/>
        <w:color w:val="48525A"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BECC6" w:themeFill="accent4" w:themeFillTint="3F"/>
      </w:tcPr>
    </w:tblStylePr>
    <w:tblStylePr w:type="band1Horz">
      <w:tblPr/>
      <w:tcPr>
        <w:shd w:val="clear" w:color="auto" w:fill="FCF0D1" w:themeFill="accent4" w:themeFillTint="33"/>
      </w:tcPr>
    </w:tblStylePr>
  </w:style>
  <w:style w:type="table" w:styleId="ColorfulList-Accent5">
    <w:name w:val="Colorful List Accent 5"/>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Pr>
    <w:tcPr>
      <w:shd w:val="clear" w:color="auto" w:fill="E2FAFA" w:themeFill="accent5" w:themeFillTint="19"/>
    </w:tcPr>
    <w:tblStylePr w:type="firstRow">
      <w:rPr>
        <w:b/>
        <w:bCs/>
        <w:color w:val="FFFFFF" w:themeColor="background1"/>
      </w:rPr>
      <w:tblPr/>
      <w:tcPr>
        <w:tcBorders>
          <w:bottom w:val="single" w:sz="12" w:space="0" w:color="FFFFFF" w:themeColor="background1"/>
        </w:tcBorders>
        <w:shd w:val="clear" w:color="auto" w:fill="12845B" w:themeFill="accent6" w:themeFillShade="CC"/>
      </w:tcPr>
    </w:tblStylePr>
    <w:tblStylePr w:type="lastRow">
      <w:rPr>
        <w:b/>
        <w:bCs/>
        <w:color w:val="12845B"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7F2F3" w:themeFill="accent5" w:themeFillTint="3F"/>
      </w:tcPr>
    </w:tblStylePr>
    <w:tblStylePr w:type="band1Horz">
      <w:tblPr/>
      <w:tcPr>
        <w:shd w:val="clear" w:color="auto" w:fill="C4F5F5" w:themeFill="accent5" w:themeFillTint="33"/>
      </w:tcPr>
    </w:tblStylePr>
  </w:style>
  <w:style w:type="table" w:styleId="ColorfulList-Accent6">
    <w:name w:val="Colorful List Accent 6"/>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Pr>
    <w:tcPr>
      <w:shd w:val="clear" w:color="auto" w:fill="E3FBF2" w:themeFill="accent6" w:themeFillTint="19"/>
    </w:tcPr>
    <w:tblStylePr w:type="firstRow">
      <w:rPr>
        <w:b/>
        <w:bCs/>
        <w:color w:val="FFFFFF" w:themeColor="background1"/>
      </w:rPr>
      <w:tblPr/>
      <w:tcPr>
        <w:tcBorders>
          <w:bottom w:val="single" w:sz="12" w:space="0" w:color="FFFFFF" w:themeColor="background1"/>
        </w:tcBorders>
        <w:shd w:val="clear" w:color="auto" w:fill="137576" w:themeFill="accent5" w:themeFillShade="CC"/>
      </w:tcPr>
    </w:tblStylePr>
    <w:tblStylePr w:type="lastRow">
      <w:rPr>
        <w:b/>
        <w:bCs/>
        <w:color w:val="137576"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9F5DF" w:themeFill="accent6" w:themeFillTint="3F"/>
      </w:tcPr>
    </w:tblStylePr>
    <w:tblStylePr w:type="band1Horz">
      <w:tblPr/>
      <w:tcPr>
        <w:shd w:val="clear" w:color="auto" w:fill="C6F7E5" w:themeFill="accent6" w:themeFillTint="33"/>
      </w:tcPr>
    </w:tblStylePr>
  </w:style>
  <w:style w:type="table" w:styleId="ColorfulShading">
    <w:name w:val="Colorful Shading"/>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Borders>
        <w:top w:val="single" w:sz="24" w:space="0" w:color="D02B27"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D02B27"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Borders>
        <w:top w:val="single" w:sz="24" w:space="0" w:color="D02B27" w:themeColor="accent2"/>
        <w:left w:val="single" w:sz="4" w:space="0" w:color="0B2949" w:themeColor="accent1"/>
        <w:bottom w:val="single" w:sz="4" w:space="0" w:color="0B2949" w:themeColor="accent1"/>
        <w:right w:val="single" w:sz="4" w:space="0" w:color="0B2949" w:themeColor="accent1"/>
        <w:insideH w:val="single" w:sz="4" w:space="0" w:color="FFFFFF" w:themeColor="background1"/>
        <w:insideV w:val="single" w:sz="4" w:space="0" w:color="FFFFFF" w:themeColor="background1"/>
      </w:tblBorders>
    </w:tblPr>
    <w:tcPr>
      <w:shd w:val="clear" w:color="auto" w:fill="DAE9F9" w:themeFill="accent1" w:themeFillTint="19"/>
    </w:tcPr>
    <w:tblStylePr w:type="firstRow">
      <w:rPr>
        <w:b/>
        <w:bCs/>
      </w:rPr>
      <w:tblPr/>
      <w:tcPr>
        <w:tcBorders>
          <w:top w:val="nil"/>
          <w:left w:val="nil"/>
          <w:bottom w:val="single" w:sz="24" w:space="0" w:color="D02B27"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6182B" w:themeFill="accent1" w:themeFillShade="99"/>
      </w:tcPr>
    </w:tblStylePr>
    <w:tblStylePr w:type="firstCol">
      <w:rPr>
        <w:color w:val="FFFFFF" w:themeColor="background1"/>
      </w:rPr>
      <w:tblPr/>
      <w:tcPr>
        <w:tcBorders>
          <w:top w:val="nil"/>
          <w:left w:val="nil"/>
          <w:bottom w:val="nil"/>
          <w:right w:val="nil"/>
          <w:insideH w:val="single" w:sz="4" w:space="0" w:color="06182B" w:themeColor="accent1" w:themeShade="99"/>
          <w:insideV w:val="nil"/>
        </w:tcBorders>
        <w:shd w:val="clear" w:color="auto" w:fill="06182B"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06182B" w:themeFill="accent1" w:themeFillShade="99"/>
      </w:tcPr>
    </w:tblStylePr>
    <w:tblStylePr w:type="band1Vert">
      <w:tblPr/>
      <w:tcPr>
        <w:shd w:val="clear" w:color="auto" w:fill="6AA7E8" w:themeFill="accent1" w:themeFillTint="66"/>
      </w:tcPr>
    </w:tblStylePr>
    <w:tblStylePr w:type="band1Horz">
      <w:tblPr/>
      <w:tcPr>
        <w:shd w:val="clear" w:color="auto" w:fill="4692E3"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Borders>
        <w:top w:val="single" w:sz="24" w:space="0" w:color="D02B27" w:themeColor="accent2"/>
        <w:left w:val="single" w:sz="4" w:space="0" w:color="D02B27" w:themeColor="accent2"/>
        <w:bottom w:val="single" w:sz="4" w:space="0" w:color="D02B27" w:themeColor="accent2"/>
        <w:right w:val="single" w:sz="4" w:space="0" w:color="D02B27" w:themeColor="accent2"/>
        <w:insideH w:val="single" w:sz="4" w:space="0" w:color="FFFFFF" w:themeColor="background1"/>
        <w:insideV w:val="single" w:sz="4" w:space="0" w:color="FFFFFF" w:themeColor="background1"/>
      </w:tblBorders>
    </w:tblPr>
    <w:tcPr>
      <w:shd w:val="clear" w:color="auto" w:fill="FBE9E9" w:themeFill="accent2" w:themeFillTint="19"/>
    </w:tcPr>
    <w:tblStylePr w:type="firstRow">
      <w:rPr>
        <w:b/>
        <w:bCs/>
      </w:rPr>
      <w:tblPr/>
      <w:tcPr>
        <w:tcBorders>
          <w:top w:val="nil"/>
          <w:left w:val="nil"/>
          <w:bottom w:val="single" w:sz="24" w:space="0" w:color="D02B27"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C1917" w:themeFill="accent2" w:themeFillShade="99"/>
      </w:tcPr>
    </w:tblStylePr>
    <w:tblStylePr w:type="firstCol">
      <w:rPr>
        <w:color w:val="FFFFFF" w:themeColor="background1"/>
      </w:rPr>
      <w:tblPr/>
      <w:tcPr>
        <w:tcBorders>
          <w:top w:val="nil"/>
          <w:left w:val="nil"/>
          <w:bottom w:val="nil"/>
          <w:right w:val="nil"/>
          <w:insideH w:val="single" w:sz="4" w:space="0" w:color="7C1917" w:themeColor="accent2" w:themeShade="99"/>
          <w:insideV w:val="nil"/>
        </w:tcBorders>
        <w:shd w:val="clear" w:color="auto" w:fill="7C1917"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C1917" w:themeFill="accent2" w:themeFillShade="99"/>
      </w:tcPr>
    </w:tblStylePr>
    <w:tblStylePr w:type="band1Vert">
      <w:tblPr/>
      <w:tcPr>
        <w:shd w:val="clear" w:color="auto" w:fill="EEA7A6" w:themeFill="accent2" w:themeFillTint="66"/>
      </w:tcPr>
    </w:tblStylePr>
    <w:tblStylePr w:type="band1Horz">
      <w:tblPr/>
      <w:tcPr>
        <w:shd w:val="clear" w:color="auto" w:fill="EA9290"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Borders>
        <w:top w:val="single" w:sz="24" w:space="0" w:color="F1B51C" w:themeColor="accent4"/>
        <w:left w:val="single" w:sz="4" w:space="0" w:color="5B6771" w:themeColor="accent3"/>
        <w:bottom w:val="single" w:sz="4" w:space="0" w:color="5B6771" w:themeColor="accent3"/>
        <w:right w:val="single" w:sz="4" w:space="0" w:color="5B6771" w:themeColor="accent3"/>
        <w:insideH w:val="single" w:sz="4" w:space="0" w:color="FFFFFF" w:themeColor="background1"/>
        <w:insideV w:val="single" w:sz="4" w:space="0" w:color="FFFFFF" w:themeColor="background1"/>
      </w:tblBorders>
    </w:tblPr>
    <w:tcPr>
      <w:shd w:val="clear" w:color="auto" w:fill="EEF0F1" w:themeFill="accent3" w:themeFillTint="19"/>
    </w:tcPr>
    <w:tblStylePr w:type="firstRow">
      <w:rPr>
        <w:b/>
        <w:bCs/>
      </w:rPr>
      <w:tblPr/>
      <w:tcPr>
        <w:tcBorders>
          <w:top w:val="nil"/>
          <w:left w:val="nil"/>
          <w:bottom w:val="single" w:sz="24" w:space="0" w:color="F1B51C"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363D43" w:themeFill="accent3" w:themeFillShade="99"/>
      </w:tcPr>
    </w:tblStylePr>
    <w:tblStylePr w:type="firstCol">
      <w:rPr>
        <w:color w:val="FFFFFF" w:themeColor="background1"/>
      </w:rPr>
      <w:tblPr/>
      <w:tcPr>
        <w:tcBorders>
          <w:top w:val="nil"/>
          <w:left w:val="nil"/>
          <w:bottom w:val="nil"/>
          <w:right w:val="nil"/>
          <w:insideH w:val="single" w:sz="4" w:space="0" w:color="363D43" w:themeColor="accent3" w:themeShade="99"/>
          <w:insideV w:val="nil"/>
        </w:tcBorders>
        <w:shd w:val="clear" w:color="auto" w:fill="363D4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363D43" w:themeFill="accent3" w:themeFillShade="99"/>
      </w:tcPr>
    </w:tblStylePr>
    <w:tblStylePr w:type="band1Vert">
      <w:tblPr/>
      <w:tcPr>
        <w:shd w:val="clear" w:color="auto" w:fill="BBC2C8" w:themeFill="accent3" w:themeFillTint="66"/>
      </w:tcPr>
    </w:tblStylePr>
    <w:tblStylePr w:type="band1Horz">
      <w:tblPr/>
      <w:tcPr>
        <w:shd w:val="clear" w:color="auto" w:fill="AAB3BB" w:themeFill="accent3" w:themeFillTint="7F"/>
      </w:tcPr>
    </w:tblStylePr>
  </w:style>
  <w:style w:type="table" w:styleId="ColorfulShading-Accent4">
    <w:name w:val="Colorful Shading Accent 4"/>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Borders>
        <w:top w:val="single" w:sz="24" w:space="0" w:color="5B6771" w:themeColor="accent3"/>
        <w:left w:val="single" w:sz="4" w:space="0" w:color="F1B51C" w:themeColor="accent4"/>
        <w:bottom w:val="single" w:sz="4" w:space="0" w:color="F1B51C" w:themeColor="accent4"/>
        <w:right w:val="single" w:sz="4" w:space="0" w:color="F1B51C" w:themeColor="accent4"/>
        <w:insideH w:val="single" w:sz="4" w:space="0" w:color="FFFFFF" w:themeColor="background1"/>
        <w:insideV w:val="single" w:sz="4" w:space="0" w:color="FFFFFF" w:themeColor="background1"/>
      </w:tblBorders>
    </w:tblPr>
    <w:tcPr>
      <w:shd w:val="clear" w:color="auto" w:fill="FDF7E8" w:themeFill="accent4" w:themeFillTint="19"/>
    </w:tcPr>
    <w:tblStylePr w:type="firstRow">
      <w:rPr>
        <w:b/>
        <w:bCs/>
      </w:rPr>
      <w:tblPr/>
      <w:tcPr>
        <w:tcBorders>
          <w:top w:val="nil"/>
          <w:left w:val="nil"/>
          <w:bottom w:val="single" w:sz="24" w:space="0" w:color="5B6771"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76F09" w:themeFill="accent4" w:themeFillShade="99"/>
      </w:tcPr>
    </w:tblStylePr>
    <w:tblStylePr w:type="firstCol">
      <w:rPr>
        <w:color w:val="FFFFFF" w:themeColor="background1"/>
      </w:rPr>
      <w:tblPr/>
      <w:tcPr>
        <w:tcBorders>
          <w:top w:val="nil"/>
          <w:left w:val="nil"/>
          <w:bottom w:val="nil"/>
          <w:right w:val="nil"/>
          <w:insideH w:val="single" w:sz="4" w:space="0" w:color="976F09" w:themeColor="accent4" w:themeShade="99"/>
          <w:insideV w:val="nil"/>
        </w:tcBorders>
        <w:shd w:val="clear" w:color="auto" w:fill="976F09"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76F09" w:themeFill="accent4" w:themeFillShade="99"/>
      </w:tcPr>
    </w:tblStylePr>
    <w:tblStylePr w:type="band1Vert">
      <w:tblPr/>
      <w:tcPr>
        <w:shd w:val="clear" w:color="auto" w:fill="F9E1A3" w:themeFill="accent4" w:themeFillTint="66"/>
      </w:tcPr>
    </w:tblStylePr>
    <w:tblStylePr w:type="band1Horz">
      <w:tblPr/>
      <w:tcPr>
        <w:shd w:val="clear" w:color="auto" w:fill="F8DA8D"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Borders>
        <w:top w:val="single" w:sz="24" w:space="0" w:color="17A673" w:themeColor="accent6"/>
        <w:left w:val="single" w:sz="4" w:space="0" w:color="189394" w:themeColor="accent5"/>
        <w:bottom w:val="single" w:sz="4" w:space="0" w:color="189394" w:themeColor="accent5"/>
        <w:right w:val="single" w:sz="4" w:space="0" w:color="189394" w:themeColor="accent5"/>
        <w:insideH w:val="single" w:sz="4" w:space="0" w:color="FFFFFF" w:themeColor="background1"/>
        <w:insideV w:val="single" w:sz="4" w:space="0" w:color="FFFFFF" w:themeColor="background1"/>
      </w:tblBorders>
    </w:tblPr>
    <w:tcPr>
      <w:shd w:val="clear" w:color="auto" w:fill="E2FAFA" w:themeFill="accent5" w:themeFillTint="19"/>
    </w:tcPr>
    <w:tblStylePr w:type="firstRow">
      <w:rPr>
        <w:b/>
        <w:bCs/>
      </w:rPr>
      <w:tblPr/>
      <w:tcPr>
        <w:tcBorders>
          <w:top w:val="nil"/>
          <w:left w:val="nil"/>
          <w:bottom w:val="single" w:sz="24" w:space="0" w:color="17A673"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E5758" w:themeFill="accent5" w:themeFillShade="99"/>
      </w:tcPr>
    </w:tblStylePr>
    <w:tblStylePr w:type="firstCol">
      <w:rPr>
        <w:color w:val="FFFFFF" w:themeColor="background1"/>
      </w:rPr>
      <w:tblPr/>
      <w:tcPr>
        <w:tcBorders>
          <w:top w:val="nil"/>
          <w:left w:val="nil"/>
          <w:bottom w:val="nil"/>
          <w:right w:val="nil"/>
          <w:insideH w:val="single" w:sz="4" w:space="0" w:color="0E5758" w:themeColor="accent5" w:themeShade="99"/>
          <w:insideV w:val="nil"/>
        </w:tcBorders>
        <w:shd w:val="clear" w:color="auto" w:fill="0E575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0E5758" w:themeFill="accent5" w:themeFillShade="99"/>
      </w:tcPr>
    </w:tblStylePr>
    <w:tblStylePr w:type="band1Vert">
      <w:tblPr/>
      <w:tcPr>
        <w:shd w:val="clear" w:color="auto" w:fill="8AEBEC" w:themeFill="accent5" w:themeFillTint="66"/>
      </w:tcPr>
    </w:tblStylePr>
    <w:tblStylePr w:type="band1Horz">
      <w:tblPr/>
      <w:tcPr>
        <w:shd w:val="clear" w:color="auto" w:fill="6DE6E7"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Borders>
        <w:top w:val="single" w:sz="24" w:space="0" w:color="189394" w:themeColor="accent5"/>
        <w:left w:val="single" w:sz="4" w:space="0" w:color="17A673" w:themeColor="accent6"/>
        <w:bottom w:val="single" w:sz="4" w:space="0" w:color="17A673" w:themeColor="accent6"/>
        <w:right w:val="single" w:sz="4" w:space="0" w:color="17A673" w:themeColor="accent6"/>
        <w:insideH w:val="single" w:sz="4" w:space="0" w:color="FFFFFF" w:themeColor="background1"/>
        <w:insideV w:val="single" w:sz="4" w:space="0" w:color="FFFFFF" w:themeColor="background1"/>
      </w:tblBorders>
    </w:tblPr>
    <w:tcPr>
      <w:shd w:val="clear" w:color="auto" w:fill="E3FBF2" w:themeFill="accent6" w:themeFillTint="19"/>
    </w:tcPr>
    <w:tblStylePr w:type="firstRow">
      <w:rPr>
        <w:b/>
        <w:bCs/>
      </w:rPr>
      <w:tblPr/>
      <w:tcPr>
        <w:tcBorders>
          <w:top w:val="nil"/>
          <w:left w:val="nil"/>
          <w:bottom w:val="single" w:sz="24" w:space="0" w:color="18939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D6344" w:themeFill="accent6" w:themeFillShade="99"/>
      </w:tcPr>
    </w:tblStylePr>
    <w:tblStylePr w:type="firstCol">
      <w:rPr>
        <w:color w:val="FFFFFF" w:themeColor="background1"/>
      </w:rPr>
      <w:tblPr/>
      <w:tcPr>
        <w:tcBorders>
          <w:top w:val="nil"/>
          <w:left w:val="nil"/>
          <w:bottom w:val="nil"/>
          <w:right w:val="nil"/>
          <w:insideH w:val="single" w:sz="4" w:space="0" w:color="0D6344" w:themeColor="accent6" w:themeShade="99"/>
          <w:insideV w:val="nil"/>
        </w:tcBorders>
        <w:shd w:val="clear" w:color="auto" w:fill="0D6344"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0D6344" w:themeFill="accent6" w:themeFillShade="99"/>
      </w:tcPr>
    </w:tblStylePr>
    <w:tblStylePr w:type="band1Vert">
      <w:tblPr/>
      <w:tcPr>
        <w:shd w:val="clear" w:color="auto" w:fill="8EEFCC" w:themeFill="accent6" w:themeFillTint="66"/>
      </w:tcPr>
    </w:tblStylePr>
    <w:tblStylePr w:type="band1Horz">
      <w:tblPr/>
      <w:tcPr>
        <w:shd w:val="clear" w:color="auto" w:fill="72EBC0" w:themeFill="accent6" w:themeFillTint="7F"/>
      </w:tcPr>
    </w:tblStylePr>
    <w:tblStylePr w:type="neCell">
      <w:rPr>
        <w:color w:val="000000" w:themeColor="text1"/>
      </w:rPr>
    </w:tblStylePr>
    <w:tblStylePr w:type="nwCell">
      <w:rPr>
        <w:color w:val="000000" w:themeColor="text1"/>
      </w:rPr>
    </w:tblStylePr>
  </w:style>
  <w:style w:type="table" w:styleId="DarkList">
    <w:name w:val="Dark List"/>
    <w:basedOn w:val="TableNormal"/>
    <w:unhideWhenUsed/>
    <w:rsid w:val="00570E30"/>
    <w:rPr>
      <w:rFonts w:asciiTheme="minorHAnsi" w:eastAsiaTheme="minorHAnsi" w:hAnsiTheme="minorHAnsi" w:cstheme="minorBidi"/>
      <w:color w:val="FFFFFF" w:themeColor="background1"/>
      <w:sz w:val="22"/>
      <w:szCs w:val="22"/>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nhideWhenUsed/>
    <w:rsid w:val="00570E30"/>
    <w:rPr>
      <w:rFonts w:asciiTheme="minorHAnsi" w:eastAsiaTheme="minorHAnsi" w:hAnsiTheme="minorHAnsi" w:cstheme="minorBidi"/>
      <w:color w:val="FFFFFF" w:themeColor="background1"/>
      <w:sz w:val="22"/>
      <w:szCs w:val="22"/>
    </w:rPr>
    <w:tblPr>
      <w:tblStyleRowBandSize w:val="1"/>
      <w:tblStyleColBandSize w:val="1"/>
    </w:tblPr>
    <w:tcPr>
      <w:shd w:val="clear" w:color="auto" w:fill="0B2949"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51424"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081E36"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081E36" w:themeFill="accent1" w:themeFillShade="BF"/>
      </w:tcPr>
    </w:tblStylePr>
    <w:tblStylePr w:type="band1Vert">
      <w:tblPr/>
      <w:tcPr>
        <w:tcBorders>
          <w:top w:val="nil"/>
          <w:left w:val="nil"/>
          <w:bottom w:val="nil"/>
          <w:right w:val="nil"/>
          <w:insideH w:val="nil"/>
          <w:insideV w:val="nil"/>
        </w:tcBorders>
        <w:shd w:val="clear" w:color="auto" w:fill="081E36" w:themeFill="accent1" w:themeFillShade="BF"/>
      </w:tcPr>
    </w:tblStylePr>
    <w:tblStylePr w:type="band1Horz">
      <w:tblPr/>
      <w:tcPr>
        <w:tcBorders>
          <w:top w:val="nil"/>
          <w:left w:val="nil"/>
          <w:bottom w:val="nil"/>
          <w:right w:val="nil"/>
          <w:insideH w:val="nil"/>
          <w:insideV w:val="nil"/>
        </w:tcBorders>
        <w:shd w:val="clear" w:color="auto" w:fill="081E36" w:themeFill="accent1" w:themeFillShade="BF"/>
      </w:tcPr>
    </w:tblStylePr>
  </w:style>
  <w:style w:type="table" w:styleId="DarkList-Accent2">
    <w:name w:val="Dark List Accent 2"/>
    <w:basedOn w:val="TableNormal"/>
    <w:unhideWhenUsed/>
    <w:rsid w:val="00570E30"/>
    <w:rPr>
      <w:rFonts w:asciiTheme="minorHAnsi" w:eastAsiaTheme="minorHAnsi" w:hAnsiTheme="minorHAnsi" w:cstheme="minorBidi"/>
      <w:color w:val="FFFFFF" w:themeColor="background1"/>
      <w:sz w:val="22"/>
      <w:szCs w:val="22"/>
    </w:rPr>
    <w:tblPr>
      <w:tblStyleRowBandSize w:val="1"/>
      <w:tblStyleColBandSize w:val="1"/>
    </w:tblPr>
    <w:tcPr>
      <w:shd w:val="clear" w:color="auto" w:fill="D02B27"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7151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B201D"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B201D" w:themeFill="accent2" w:themeFillShade="BF"/>
      </w:tcPr>
    </w:tblStylePr>
    <w:tblStylePr w:type="band1Vert">
      <w:tblPr/>
      <w:tcPr>
        <w:tcBorders>
          <w:top w:val="nil"/>
          <w:left w:val="nil"/>
          <w:bottom w:val="nil"/>
          <w:right w:val="nil"/>
          <w:insideH w:val="nil"/>
          <w:insideV w:val="nil"/>
        </w:tcBorders>
        <w:shd w:val="clear" w:color="auto" w:fill="9B201D" w:themeFill="accent2" w:themeFillShade="BF"/>
      </w:tcPr>
    </w:tblStylePr>
    <w:tblStylePr w:type="band1Horz">
      <w:tblPr/>
      <w:tcPr>
        <w:tcBorders>
          <w:top w:val="nil"/>
          <w:left w:val="nil"/>
          <w:bottom w:val="nil"/>
          <w:right w:val="nil"/>
          <w:insideH w:val="nil"/>
          <w:insideV w:val="nil"/>
        </w:tcBorders>
        <w:shd w:val="clear" w:color="auto" w:fill="9B201D" w:themeFill="accent2" w:themeFillShade="BF"/>
      </w:tcPr>
    </w:tblStylePr>
  </w:style>
  <w:style w:type="table" w:styleId="DarkList-Accent3">
    <w:name w:val="Dark List Accent 3"/>
    <w:basedOn w:val="TableNormal"/>
    <w:unhideWhenUsed/>
    <w:rsid w:val="00570E30"/>
    <w:rPr>
      <w:rFonts w:asciiTheme="minorHAnsi" w:eastAsiaTheme="minorHAnsi" w:hAnsiTheme="minorHAnsi" w:cstheme="minorBidi"/>
      <w:color w:val="FFFFFF" w:themeColor="background1"/>
      <w:sz w:val="22"/>
      <w:szCs w:val="22"/>
    </w:rPr>
    <w:tblPr>
      <w:tblStyleRowBandSize w:val="1"/>
      <w:tblStyleColBandSize w:val="1"/>
    </w:tblPr>
    <w:tcPr>
      <w:shd w:val="clear" w:color="auto" w:fill="5B6771"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D333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444D54"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444D54" w:themeFill="accent3" w:themeFillShade="BF"/>
      </w:tcPr>
    </w:tblStylePr>
    <w:tblStylePr w:type="band1Vert">
      <w:tblPr/>
      <w:tcPr>
        <w:tcBorders>
          <w:top w:val="nil"/>
          <w:left w:val="nil"/>
          <w:bottom w:val="nil"/>
          <w:right w:val="nil"/>
          <w:insideH w:val="nil"/>
          <w:insideV w:val="nil"/>
        </w:tcBorders>
        <w:shd w:val="clear" w:color="auto" w:fill="444D54" w:themeFill="accent3" w:themeFillShade="BF"/>
      </w:tcPr>
    </w:tblStylePr>
    <w:tblStylePr w:type="band1Horz">
      <w:tblPr/>
      <w:tcPr>
        <w:tcBorders>
          <w:top w:val="nil"/>
          <w:left w:val="nil"/>
          <w:bottom w:val="nil"/>
          <w:right w:val="nil"/>
          <w:insideH w:val="nil"/>
          <w:insideV w:val="nil"/>
        </w:tcBorders>
        <w:shd w:val="clear" w:color="auto" w:fill="444D54" w:themeFill="accent3" w:themeFillShade="BF"/>
      </w:tcPr>
    </w:tblStylePr>
  </w:style>
  <w:style w:type="table" w:styleId="DarkList-Accent4">
    <w:name w:val="Dark List Accent 4"/>
    <w:basedOn w:val="TableNormal"/>
    <w:unhideWhenUsed/>
    <w:rsid w:val="00570E30"/>
    <w:rPr>
      <w:rFonts w:asciiTheme="minorHAnsi" w:eastAsiaTheme="minorHAnsi" w:hAnsiTheme="minorHAnsi" w:cstheme="minorBidi"/>
      <w:color w:val="FFFFFF" w:themeColor="background1"/>
      <w:sz w:val="22"/>
      <w:szCs w:val="22"/>
    </w:rPr>
    <w:tblPr>
      <w:tblStyleRowBandSize w:val="1"/>
      <w:tblStyleColBandSize w:val="1"/>
    </w:tblPr>
    <w:tcPr>
      <w:shd w:val="clear" w:color="auto" w:fill="F1B51C"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D5C07"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D8B0B"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D8B0B" w:themeFill="accent4" w:themeFillShade="BF"/>
      </w:tcPr>
    </w:tblStylePr>
    <w:tblStylePr w:type="band1Vert">
      <w:tblPr/>
      <w:tcPr>
        <w:tcBorders>
          <w:top w:val="nil"/>
          <w:left w:val="nil"/>
          <w:bottom w:val="nil"/>
          <w:right w:val="nil"/>
          <w:insideH w:val="nil"/>
          <w:insideV w:val="nil"/>
        </w:tcBorders>
        <w:shd w:val="clear" w:color="auto" w:fill="BD8B0B" w:themeFill="accent4" w:themeFillShade="BF"/>
      </w:tcPr>
    </w:tblStylePr>
    <w:tblStylePr w:type="band1Horz">
      <w:tblPr/>
      <w:tcPr>
        <w:tcBorders>
          <w:top w:val="nil"/>
          <w:left w:val="nil"/>
          <w:bottom w:val="nil"/>
          <w:right w:val="nil"/>
          <w:insideH w:val="nil"/>
          <w:insideV w:val="nil"/>
        </w:tcBorders>
        <w:shd w:val="clear" w:color="auto" w:fill="BD8B0B" w:themeFill="accent4" w:themeFillShade="BF"/>
      </w:tcPr>
    </w:tblStylePr>
  </w:style>
  <w:style w:type="table" w:styleId="DarkList-Accent5">
    <w:name w:val="Dark List Accent 5"/>
    <w:basedOn w:val="TableNormal"/>
    <w:unhideWhenUsed/>
    <w:rsid w:val="00570E30"/>
    <w:rPr>
      <w:rFonts w:asciiTheme="minorHAnsi" w:eastAsiaTheme="minorHAnsi" w:hAnsiTheme="minorHAnsi" w:cstheme="minorBidi"/>
      <w:color w:val="FFFFFF" w:themeColor="background1"/>
      <w:sz w:val="22"/>
      <w:szCs w:val="22"/>
    </w:rPr>
    <w:tblPr>
      <w:tblStyleRowBandSize w:val="1"/>
      <w:tblStyleColBandSize w:val="1"/>
    </w:tblPr>
    <w:tcPr>
      <w:shd w:val="clear" w:color="auto" w:fill="18939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C4849"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126D6E"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126D6E" w:themeFill="accent5" w:themeFillShade="BF"/>
      </w:tcPr>
    </w:tblStylePr>
    <w:tblStylePr w:type="band1Vert">
      <w:tblPr/>
      <w:tcPr>
        <w:tcBorders>
          <w:top w:val="nil"/>
          <w:left w:val="nil"/>
          <w:bottom w:val="nil"/>
          <w:right w:val="nil"/>
          <w:insideH w:val="nil"/>
          <w:insideV w:val="nil"/>
        </w:tcBorders>
        <w:shd w:val="clear" w:color="auto" w:fill="126D6E" w:themeFill="accent5" w:themeFillShade="BF"/>
      </w:tcPr>
    </w:tblStylePr>
    <w:tblStylePr w:type="band1Horz">
      <w:tblPr/>
      <w:tcPr>
        <w:tcBorders>
          <w:top w:val="nil"/>
          <w:left w:val="nil"/>
          <w:bottom w:val="nil"/>
          <w:right w:val="nil"/>
          <w:insideH w:val="nil"/>
          <w:insideV w:val="nil"/>
        </w:tcBorders>
        <w:shd w:val="clear" w:color="auto" w:fill="126D6E" w:themeFill="accent5" w:themeFillShade="BF"/>
      </w:tcPr>
    </w:tblStylePr>
  </w:style>
  <w:style w:type="table" w:styleId="DarkList-Accent6">
    <w:name w:val="Dark List Accent 6"/>
    <w:basedOn w:val="TableNormal"/>
    <w:unhideWhenUsed/>
    <w:rsid w:val="00570E30"/>
    <w:rPr>
      <w:rFonts w:asciiTheme="minorHAnsi" w:eastAsiaTheme="minorHAnsi" w:hAnsiTheme="minorHAnsi" w:cstheme="minorBidi"/>
      <w:color w:val="FFFFFF" w:themeColor="background1"/>
      <w:sz w:val="22"/>
      <w:szCs w:val="22"/>
    </w:rPr>
    <w:tblPr>
      <w:tblStyleRowBandSize w:val="1"/>
      <w:tblStyleColBandSize w:val="1"/>
    </w:tblPr>
    <w:tcPr>
      <w:shd w:val="clear" w:color="auto" w:fill="17A673"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B5239"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117C5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117C55" w:themeFill="accent6" w:themeFillShade="BF"/>
      </w:tcPr>
    </w:tblStylePr>
    <w:tblStylePr w:type="band1Vert">
      <w:tblPr/>
      <w:tcPr>
        <w:tcBorders>
          <w:top w:val="nil"/>
          <w:left w:val="nil"/>
          <w:bottom w:val="nil"/>
          <w:right w:val="nil"/>
          <w:insideH w:val="nil"/>
          <w:insideV w:val="nil"/>
        </w:tcBorders>
        <w:shd w:val="clear" w:color="auto" w:fill="117C55" w:themeFill="accent6" w:themeFillShade="BF"/>
      </w:tcPr>
    </w:tblStylePr>
    <w:tblStylePr w:type="band1Horz">
      <w:tblPr/>
      <w:tcPr>
        <w:tcBorders>
          <w:top w:val="nil"/>
          <w:left w:val="nil"/>
          <w:bottom w:val="nil"/>
          <w:right w:val="nil"/>
          <w:insideH w:val="nil"/>
          <w:insideV w:val="nil"/>
        </w:tcBorders>
        <w:shd w:val="clear" w:color="auto" w:fill="117C55" w:themeFill="accent6" w:themeFillShade="BF"/>
      </w:tcPr>
    </w:tblStylePr>
  </w:style>
  <w:style w:type="paragraph" w:styleId="E-mailSignature">
    <w:name w:val="E-mail Signature"/>
    <w:basedOn w:val="Normal"/>
    <w:link w:val="E-mailSignatureChar"/>
    <w:qFormat/>
    <w:rsid w:val="00570E30"/>
    <w:pPr>
      <w:spacing w:after="0" w:line="240" w:lineRule="auto"/>
    </w:pPr>
  </w:style>
  <w:style w:type="character" w:customStyle="1" w:styleId="E-mailSignatureChar">
    <w:name w:val="E-mail Signature Char"/>
    <w:basedOn w:val="DefaultParagraphFont"/>
    <w:link w:val="E-mailSignature"/>
    <w:semiHidden/>
    <w:rsid w:val="00570E30"/>
    <w:rPr>
      <w:rFonts w:asciiTheme="minorHAnsi" w:eastAsiaTheme="minorHAnsi" w:hAnsiTheme="minorHAnsi" w:cstheme="minorBidi"/>
      <w:szCs w:val="22"/>
    </w:rPr>
  </w:style>
  <w:style w:type="paragraph" w:styleId="EnvelopeAddress">
    <w:name w:val="envelope address"/>
    <w:basedOn w:val="Normal"/>
    <w:qFormat/>
    <w:rsid w:val="00570E30"/>
    <w:pPr>
      <w:framePr w:w="7920" w:h="1980" w:hRule="exact" w:hSpace="180" w:wrap="auto" w:hAnchor="page" w:xAlign="center" w:yAlign="bottom"/>
      <w:spacing w:after="0" w:line="240" w:lineRule="auto"/>
      <w:ind w:left="2880"/>
    </w:pPr>
    <w:rPr>
      <w:rFonts w:asciiTheme="majorHAnsi" w:eastAsiaTheme="majorEastAsia" w:hAnsiTheme="majorHAnsi" w:cstheme="majorBidi"/>
      <w:sz w:val="24"/>
      <w:szCs w:val="24"/>
    </w:rPr>
  </w:style>
  <w:style w:type="paragraph" w:styleId="EnvelopeReturn">
    <w:name w:val="envelope return"/>
    <w:basedOn w:val="Normal"/>
    <w:qFormat/>
    <w:rsid w:val="00570E30"/>
    <w:pPr>
      <w:spacing w:after="0" w:line="240" w:lineRule="auto"/>
    </w:pPr>
    <w:rPr>
      <w:rFonts w:asciiTheme="majorHAnsi" w:eastAsiaTheme="majorEastAsia" w:hAnsiTheme="majorHAnsi" w:cstheme="majorBidi"/>
      <w:szCs w:val="20"/>
    </w:rPr>
  </w:style>
  <w:style w:type="table" w:styleId="GridTable1Light">
    <w:name w:val="Grid Table 1 Light"/>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1Light-Accent1">
    <w:name w:val="Grid Table 1 Light Accent 1"/>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6AA7E8" w:themeColor="accent1" w:themeTint="66"/>
        <w:left w:val="single" w:sz="4" w:space="0" w:color="6AA7E8" w:themeColor="accent1" w:themeTint="66"/>
        <w:bottom w:val="single" w:sz="4" w:space="0" w:color="6AA7E8" w:themeColor="accent1" w:themeTint="66"/>
        <w:right w:val="single" w:sz="4" w:space="0" w:color="6AA7E8" w:themeColor="accent1" w:themeTint="66"/>
        <w:insideH w:val="single" w:sz="4" w:space="0" w:color="6AA7E8" w:themeColor="accent1" w:themeTint="66"/>
        <w:insideV w:val="single" w:sz="4" w:space="0" w:color="6AA7E8" w:themeColor="accent1" w:themeTint="66"/>
      </w:tblBorders>
    </w:tblPr>
    <w:tblStylePr w:type="firstRow">
      <w:rPr>
        <w:b/>
        <w:bCs/>
      </w:rPr>
      <w:tblPr/>
      <w:tcPr>
        <w:tcBorders>
          <w:bottom w:val="single" w:sz="12" w:space="0" w:color="217BDD" w:themeColor="accent1" w:themeTint="99"/>
        </w:tcBorders>
      </w:tcPr>
    </w:tblStylePr>
    <w:tblStylePr w:type="lastRow">
      <w:rPr>
        <w:b/>
        <w:bCs/>
      </w:rPr>
      <w:tblPr/>
      <w:tcPr>
        <w:tcBorders>
          <w:top w:val="double" w:sz="2" w:space="0" w:color="217BDD" w:themeColor="accent1" w:themeTint="99"/>
        </w:tcBorders>
      </w:tcPr>
    </w:tblStylePr>
    <w:tblStylePr w:type="firstCol">
      <w:rPr>
        <w:b/>
        <w:bCs/>
      </w:rPr>
    </w:tblStylePr>
    <w:tblStylePr w:type="lastCol">
      <w:rPr>
        <w:b/>
        <w:bCs/>
      </w:rPr>
    </w:tblStylePr>
  </w:style>
  <w:style w:type="table" w:styleId="GridTable1Light-Accent2">
    <w:name w:val="Grid Table 1 Light Accent 2"/>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EEA7A6" w:themeColor="accent2" w:themeTint="66"/>
        <w:left w:val="single" w:sz="4" w:space="0" w:color="EEA7A6" w:themeColor="accent2" w:themeTint="66"/>
        <w:bottom w:val="single" w:sz="4" w:space="0" w:color="EEA7A6" w:themeColor="accent2" w:themeTint="66"/>
        <w:right w:val="single" w:sz="4" w:space="0" w:color="EEA7A6" w:themeColor="accent2" w:themeTint="66"/>
        <w:insideH w:val="single" w:sz="4" w:space="0" w:color="EEA7A6" w:themeColor="accent2" w:themeTint="66"/>
        <w:insideV w:val="single" w:sz="4" w:space="0" w:color="EEA7A6" w:themeColor="accent2" w:themeTint="66"/>
      </w:tblBorders>
    </w:tblPr>
    <w:tblStylePr w:type="firstRow">
      <w:rPr>
        <w:b/>
        <w:bCs/>
      </w:rPr>
      <w:tblPr/>
      <w:tcPr>
        <w:tcBorders>
          <w:bottom w:val="single" w:sz="12" w:space="0" w:color="E67C79" w:themeColor="accent2" w:themeTint="99"/>
        </w:tcBorders>
      </w:tcPr>
    </w:tblStylePr>
    <w:tblStylePr w:type="lastRow">
      <w:rPr>
        <w:b/>
        <w:bCs/>
      </w:rPr>
      <w:tblPr/>
      <w:tcPr>
        <w:tcBorders>
          <w:top w:val="double" w:sz="2" w:space="0" w:color="E67C79" w:themeColor="accent2" w:themeTint="99"/>
        </w:tcBorders>
      </w:tcPr>
    </w:tblStylePr>
    <w:tblStylePr w:type="firstCol">
      <w:rPr>
        <w:b/>
        <w:bCs/>
      </w:rPr>
    </w:tblStylePr>
    <w:tblStylePr w:type="lastCol">
      <w:rPr>
        <w:b/>
        <w:bCs/>
      </w:rPr>
    </w:tblStylePr>
  </w:style>
  <w:style w:type="table" w:styleId="GridTable1Light-Accent3">
    <w:name w:val="Grid Table 1 Light Accent 3"/>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BBC2C8" w:themeColor="accent3" w:themeTint="66"/>
        <w:left w:val="single" w:sz="4" w:space="0" w:color="BBC2C8" w:themeColor="accent3" w:themeTint="66"/>
        <w:bottom w:val="single" w:sz="4" w:space="0" w:color="BBC2C8" w:themeColor="accent3" w:themeTint="66"/>
        <w:right w:val="single" w:sz="4" w:space="0" w:color="BBC2C8" w:themeColor="accent3" w:themeTint="66"/>
        <w:insideH w:val="single" w:sz="4" w:space="0" w:color="BBC2C8" w:themeColor="accent3" w:themeTint="66"/>
        <w:insideV w:val="single" w:sz="4" w:space="0" w:color="BBC2C8" w:themeColor="accent3" w:themeTint="66"/>
      </w:tblBorders>
    </w:tblPr>
    <w:tblStylePr w:type="firstRow">
      <w:rPr>
        <w:b/>
        <w:bCs/>
      </w:rPr>
      <w:tblPr/>
      <w:tcPr>
        <w:tcBorders>
          <w:bottom w:val="single" w:sz="12" w:space="0" w:color="99A4AD" w:themeColor="accent3" w:themeTint="99"/>
        </w:tcBorders>
      </w:tcPr>
    </w:tblStylePr>
    <w:tblStylePr w:type="lastRow">
      <w:rPr>
        <w:b/>
        <w:bCs/>
      </w:rPr>
      <w:tblPr/>
      <w:tcPr>
        <w:tcBorders>
          <w:top w:val="double" w:sz="2" w:space="0" w:color="99A4AD" w:themeColor="accent3" w:themeTint="99"/>
        </w:tcBorders>
      </w:tcPr>
    </w:tblStylePr>
    <w:tblStylePr w:type="firstCol">
      <w:rPr>
        <w:b/>
        <w:bCs/>
      </w:rPr>
    </w:tblStylePr>
    <w:tblStylePr w:type="lastCol">
      <w:rPr>
        <w:b/>
        <w:bCs/>
      </w:rPr>
    </w:tblStylePr>
  </w:style>
  <w:style w:type="table" w:styleId="GridTable1Light-Accent4">
    <w:name w:val="Grid Table 1 Light Accent 4"/>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F9E1A3" w:themeColor="accent4" w:themeTint="66"/>
        <w:left w:val="single" w:sz="4" w:space="0" w:color="F9E1A3" w:themeColor="accent4" w:themeTint="66"/>
        <w:bottom w:val="single" w:sz="4" w:space="0" w:color="F9E1A3" w:themeColor="accent4" w:themeTint="66"/>
        <w:right w:val="single" w:sz="4" w:space="0" w:color="F9E1A3" w:themeColor="accent4" w:themeTint="66"/>
        <w:insideH w:val="single" w:sz="4" w:space="0" w:color="F9E1A3" w:themeColor="accent4" w:themeTint="66"/>
        <w:insideV w:val="single" w:sz="4" w:space="0" w:color="F9E1A3" w:themeColor="accent4" w:themeTint="66"/>
      </w:tblBorders>
    </w:tblPr>
    <w:tblStylePr w:type="firstRow">
      <w:rPr>
        <w:b/>
        <w:bCs/>
      </w:rPr>
      <w:tblPr/>
      <w:tcPr>
        <w:tcBorders>
          <w:bottom w:val="single" w:sz="12" w:space="0" w:color="F6D276" w:themeColor="accent4" w:themeTint="99"/>
        </w:tcBorders>
      </w:tcPr>
    </w:tblStylePr>
    <w:tblStylePr w:type="lastRow">
      <w:rPr>
        <w:b/>
        <w:bCs/>
      </w:rPr>
      <w:tblPr/>
      <w:tcPr>
        <w:tcBorders>
          <w:top w:val="double" w:sz="2" w:space="0" w:color="F6D276" w:themeColor="accent4" w:themeTint="99"/>
        </w:tcBorders>
      </w:tcPr>
    </w:tblStylePr>
    <w:tblStylePr w:type="firstCol">
      <w:rPr>
        <w:b/>
        <w:bCs/>
      </w:rPr>
    </w:tblStylePr>
    <w:tblStylePr w:type="lastCol">
      <w:rPr>
        <w:b/>
        <w:bCs/>
      </w:rPr>
    </w:tblStylePr>
  </w:style>
  <w:style w:type="table" w:styleId="GridTable1Light-Accent5">
    <w:name w:val="Grid Table 1 Light Accent 5"/>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8AEBEC" w:themeColor="accent5" w:themeTint="66"/>
        <w:left w:val="single" w:sz="4" w:space="0" w:color="8AEBEC" w:themeColor="accent5" w:themeTint="66"/>
        <w:bottom w:val="single" w:sz="4" w:space="0" w:color="8AEBEC" w:themeColor="accent5" w:themeTint="66"/>
        <w:right w:val="single" w:sz="4" w:space="0" w:color="8AEBEC" w:themeColor="accent5" w:themeTint="66"/>
        <w:insideH w:val="single" w:sz="4" w:space="0" w:color="8AEBEC" w:themeColor="accent5" w:themeTint="66"/>
        <w:insideV w:val="single" w:sz="4" w:space="0" w:color="8AEBEC" w:themeColor="accent5" w:themeTint="66"/>
      </w:tblBorders>
    </w:tblPr>
    <w:tblStylePr w:type="firstRow">
      <w:rPr>
        <w:b/>
        <w:bCs/>
      </w:rPr>
      <w:tblPr/>
      <w:tcPr>
        <w:tcBorders>
          <w:bottom w:val="single" w:sz="12" w:space="0" w:color="50E1E2" w:themeColor="accent5" w:themeTint="99"/>
        </w:tcBorders>
      </w:tcPr>
    </w:tblStylePr>
    <w:tblStylePr w:type="lastRow">
      <w:rPr>
        <w:b/>
        <w:bCs/>
      </w:rPr>
      <w:tblPr/>
      <w:tcPr>
        <w:tcBorders>
          <w:top w:val="double" w:sz="2" w:space="0" w:color="50E1E2" w:themeColor="accent5" w:themeTint="99"/>
        </w:tcBorders>
      </w:tcPr>
    </w:tblStylePr>
    <w:tblStylePr w:type="firstCol">
      <w:rPr>
        <w:b/>
        <w:bCs/>
      </w:rPr>
    </w:tblStylePr>
    <w:tblStylePr w:type="lastCol">
      <w:rPr>
        <w:b/>
        <w:bCs/>
      </w:rPr>
    </w:tblStylePr>
  </w:style>
  <w:style w:type="table" w:styleId="GridTable1Light-Accent6">
    <w:name w:val="Grid Table 1 Light Accent 6"/>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8EEFCC" w:themeColor="accent6" w:themeTint="66"/>
        <w:left w:val="single" w:sz="4" w:space="0" w:color="8EEFCC" w:themeColor="accent6" w:themeTint="66"/>
        <w:bottom w:val="single" w:sz="4" w:space="0" w:color="8EEFCC" w:themeColor="accent6" w:themeTint="66"/>
        <w:right w:val="single" w:sz="4" w:space="0" w:color="8EEFCC" w:themeColor="accent6" w:themeTint="66"/>
        <w:insideH w:val="single" w:sz="4" w:space="0" w:color="8EEFCC" w:themeColor="accent6" w:themeTint="66"/>
        <w:insideV w:val="single" w:sz="4" w:space="0" w:color="8EEFCC" w:themeColor="accent6" w:themeTint="66"/>
      </w:tblBorders>
    </w:tblPr>
    <w:tblStylePr w:type="firstRow">
      <w:rPr>
        <w:b/>
        <w:bCs/>
      </w:rPr>
      <w:tblPr/>
      <w:tcPr>
        <w:tcBorders>
          <w:bottom w:val="single" w:sz="12" w:space="0" w:color="55E7B3" w:themeColor="accent6" w:themeTint="99"/>
        </w:tcBorders>
      </w:tcPr>
    </w:tblStylePr>
    <w:tblStylePr w:type="lastRow">
      <w:rPr>
        <w:b/>
        <w:bCs/>
      </w:rPr>
      <w:tblPr/>
      <w:tcPr>
        <w:tcBorders>
          <w:top w:val="double" w:sz="2" w:space="0" w:color="55E7B3" w:themeColor="accent6" w:themeTint="99"/>
        </w:tcBorders>
      </w:tcPr>
    </w:tblStylePr>
    <w:tblStylePr w:type="firstCol">
      <w:rPr>
        <w:b/>
        <w:bCs/>
      </w:rPr>
    </w:tblStylePr>
    <w:tblStylePr w:type="lastCol">
      <w:rPr>
        <w:b/>
        <w:bCs/>
      </w:rPr>
    </w:tblStylePr>
  </w:style>
  <w:style w:type="table" w:styleId="GridTable2">
    <w:name w:val="Grid Table 2"/>
    <w:basedOn w:val="TableNormal"/>
    <w:rsid w:val="00570E30"/>
    <w:rPr>
      <w:rFonts w:asciiTheme="minorHAnsi" w:eastAsiaTheme="minorHAnsi" w:hAnsiTheme="minorHAnsi" w:cstheme="minorBidi"/>
      <w:sz w:val="22"/>
      <w:szCs w:val="22"/>
    </w:r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2-Accent2">
    <w:name w:val="Grid Table 2 Accent 2"/>
    <w:basedOn w:val="TableNormal"/>
    <w:rsid w:val="00570E30"/>
    <w:rPr>
      <w:rFonts w:asciiTheme="minorHAnsi" w:eastAsiaTheme="minorHAnsi" w:hAnsiTheme="minorHAnsi" w:cstheme="minorBidi"/>
      <w:sz w:val="22"/>
      <w:szCs w:val="22"/>
    </w:rPr>
    <w:tblPr>
      <w:tblStyleRowBandSize w:val="1"/>
      <w:tblStyleColBandSize w:val="1"/>
      <w:tblBorders>
        <w:top w:val="single" w:sz="2" w:space="0" w:color="E67C79" w:themeColor="accent2" w:themeTint="99"/>
        <w:bottom w:val="single" w:sz="2" w:space="0" w:color="E67C79" w:themeColor="accent2" w:themeTint="99"/>
        <w:insideH w:val="single" w:sz="2" w:space="0" w:color="E67C79" w:themeColor="accent2" w:themeTint="99"/>
        <w:insideV w:val="single" w:sz="2" w:space="0" w:color="E67C79" w:themeColor="accent2" w:themeTint="99"/>
      </w:tblBorders>
    </w:tblPr>
    <w:tblStylePr w:type="firstRow">
      <w:rPr>
        <w:b/>
        <w:bCs/>
      </w:rPr>
      <w:tblPr/>
      <w:tcPr>
        <w:tcBorders>
          <w:top w:val="nil"/>
          <w:bottom w:val="single" w:sz="12" w:space="0" w:color="E67C79" w:themeColor="accent2" w:themeTint="99"/>
          <w:insideH w:val="nil"/>
          <w:insideV w:val="nil"/>
        </w:tcBorders>
        <w:shd w:val="clear" w:color="auto" w:fill="FFFFFF" w:themeFill="background1"/>
      </w:tcPr>
    </w:tblStylePr>
    <w:tblStylePr w:type="lastRow">
      <w:rPr>
        <w:b/>
        <w:bCs/>
      </w:rPr>
      <w:tblPr/>
      <w:tcPr>
        <w:tcBorders>
          <w:top w:val="double" w:sz="2" w:space="0" w:color="E67C79"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6D3D2" w:themeFill="accent2" w:themeFillTint="33"/>
      </w:tcPr>
    </w:tblStylePr>
    <w:tblStylePr w:type="band1Horz">
      <w:tblPr/>
      <w:tcPr>
        <w:shd w:val="clear" w:color="auto" w:fill="F6D3D2" w:themeFill="accent2" w:themeFillTint="33"/>
      </w:tcPr>
    </w:tblStylePr>
  </w:style>
  <w:style w:type="table" w:styleId="GridTable2-Accent3">
    <w:name w:val="Grid Table 2 Accent 3"/>
    <w:basedOn w:val="TableNormal"/>
    <w:rsid w:val="00570E30"/>
    <w:rPr>
      <w:rFonts w:asciiTheme="minorHAnsi" w:eastAsiaTheme="minorHAnsi" w:hAnsiTheme="minorHAnsi" w:cstheme="minorBidi"/>
      <w:sz w:val="22"/>
      <w:szCs w:val="22"/>
    </w:rPr>
    <w:tblPr>
      <w:tblStyleRowBandSize w:val="1"/>
      <w:tblStyleColBandSize w:val="1"/>
      <w:tblBorders>
        <w:top w:val="single" w:sz="2" w:space="0" w:color="99A4AD" w:themeColor="accent3" w:themeTint="99"/>
        <w:bottom w:val="single" w:sz="2" w:space="0" w:color="99A4AD" w:themeColor="accent3" w:themeTint="99"/>
        <w:insideH w:val="single" w:sz="2" w:space="0" w:color="99A4AD" w:themeColor="accent3" w:themeTint="99"/>
        <w:insideV w:val="single" w:sz="2" w:space="0" w:color="99A4AD" w:themeColor="accent3" w:themeTint="99"/>
      </w:tblBorders>
    </w:tblPr>
    <w:tblStylePr w:type="firstRow">
      <w:rPr>
        <w:b/>
        <w:bCs/>
      </w:rPr>
      <w:tblPr/>
      <w:tcPr>
        <w:tcBorders>
          <w:top w:val="nil"/>
          <w:bottom w:val="single" w:sz="12" w:space="0" w:color="99A4AD" w:themeColor="accent3" w:themeTint="99"/>
          <w:insideH w:val="nil"/>
          <w:insideV w:val="nil"/>
        </w:tcBorders>
        <w:shd w:val="clear" w:color="auto" w:fill="FFFFFF" w:themeFill="background1"/>
      </w:tcPr>
    </w:tblStylePr>
    <w:tblStylePr w:type="lastRow">
      <w:rPr>
        <w:b/>
        <w:bCs/>
      </w:rPr>
      <w:tblPr/>
      <w:tcPr>
        <w:tcBorders>
          <w:top w:val="double" w:sz="2" w:space="0" w:color="99A4AD"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DE0E3" w:themeFill="accent3" w:themeFillTint="33"/>
      </w:tcPr>
    </w:tblStylePr>
    <w:tblStylePr w:type="band1Horz">
      <w:tblPr/>
      <w:tcPr>
        <w:shd w:val="clear" w:color="auto" w:fill="DDE0E3" w:themeFill="accent3" w:themeFillTint="33"/>
      </w:tcPr>
    </w:tblStylePr>
  </w:style>
  <w:style w:type="table" w:styleId="GridTable2-Accent4">
    <w:name w:val="Grid Table 2 Accent 4"/>
    <w:basedOn w:val="TableNormal"/>
    <w:rsid w:val="00570E30"/>
    <w:rPr>
      <w:rFonts w:asciiTheme="minorHAnsi" w:eastAsiaTheme="minorHAnsi" w:hAnsiTheme="minorHAnsi" w:cstheme="minorBidi"/>
      <w:sz w:val="22"/>
      <w:szCs w:val="22"/>
    </w:rPr>
    <w:tblPr>
      <w:tblStyleRowBandSize w:val="1"/>
      <w:tblStyleColBandSize w:val="1"/>
      <w:tblBorders>
        <w:top w:val="single" w:sz="2" w:space="0" w:color="F6D276" w:themeColor="accent4" w:themeTint="99"/>
        <w:bottom w:val="single" w:sz="2" w:space="0" w:color="F6D276" w:themeColor="accent4" w:themeTint="99"/>
        <w:insideH w:val="single" w:sz="2" w:space="0" w:color="F6D276" w:themeColor="accent4" w:themeTint="99"/>
        <w:insideV w:val="single" w:sz="2" w:space="0" w:color="F6D276" w:themeColor="accent4" w:themeTint="99"/>
      </w:tblBorders>
    </w:tblPr>
    <w:tblStylePr w:type="firstRow">
      <w:rPr>
        <w:b/>
        <w:bCs/>
      </w:rPr>
      <w:tblPr/>
      <w:tcPr>
        <w:tcBorders>
          <w:top w:val="nil"/>
          <w:bottom w:val="single" w:sz="12" w:space="0" w:color="F6D276" w:themeColor="accent4" w:themeTint="99"/>
          <w:insideH w:val="nil"/>
          <w:insideV w:val="nil"/>
        </w:tcBorders>
        <w:shd w:val="clear" w:color="auto" w:fill="FFFFFF" w:themeFill="background1"/>
      </w:tcPr>
    </w:tblStylePr>
    <w:tblStylePr w:type="lastRow">
      <w:rPr>
        <w:b/>
        <w:bCs/>
      </w:rPr>
      <w:tblPr/>
      <w:tcPr>
        <w:tcBorders>
          <w:top w:val="double" w:sz="2" w:space="0" w:color="F6D276"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CF0D1" w:themeFill="accent4" w:themeFillTint="33"/>
      </w:tcPr>
    </w:tblStylePr>
    <w:tblStylePr w:type="band1Horz">
      <w:tblPr/>
      <w:tcPr>
        <w:shd w:val="clear" w:color="auto" w:fill="FCF0D1" w:themeFill="accent4" w:themeFillTint="33"/>
      </w:tcPr>
    </w:tblStylePr>
  </w:style>
  <w:style w:type="table" w:styleId="GridTable2-Accent5">
    <w:name w:val="Grid Table 2 Accent 5"/>
    <w:basedOn w:val="TableNormal"/>
    <w:rsid w:val="00570E30"/>
    <w:rPr>
      <w:rFonts w:asciiTheme="minorHAnsi" w:eastAsiaTheme="minorHAnsi" w:hAnsiTheme="minorHAnsi" w:cstheme="minorBidi"/>
      <w:sz w:val="22"/>
      <w:szCs w:val="22"/>
    </w:rPr>
    <w:tblPr>
      <w:tblStyleRowBandSize w:val="1"/>
      <w:tblStyleColBandSize w:val="1"/>
      <w:tblBorders>
        <w:top w:val="single" w:sz="2" w:space="0" w:color="50E1E2" w:themeColor="accent5" w:themeTint="99"/>
        <w:bottom w:val="single" w:sz="2" w:space="0" w:color="50E1E2" w:themeColor="accent5" w:themeTint="99"/>
        <w:insideH w:val="single" w:sz="2" w:space="0" w:color="50E1E2" w:themeColor="accent5" w:themeTint="99"/>
        <w:insideV w:val="single" w:sz="2" w:space="0" w:color="50E1E2" w:themeColor="accent5" w:themeTint="99"/>
      </w:tblBorders>
    </w:tblPr>
    <w:tblStylePr w:type="firstRow">
      <w:rPr>
        <w:b/>
        <w:bCs/>
      </w:rPr>
      <w:tblPr/>
      <w:tcPr>
        <w:tcBorders>
          <w:top w:val="nil"/>
          <w:bottom w:val="single" w:sz="12" w:space="0" w:color="50E1E2" w:themeColor="accent5" w:themeTint="99"/>
          <w:insideH w:val="nil"/>
          <w:insideV w:val="nil"/>
        </w:tcBorders>
        <w:shd w:val="clear" w:color="auto" w:fill="FFFFFF" w:themeFill="background1"/>
      </w:tcPr>
    </w:tblStylePr>
    <w:tblStylePr w:type="lastRow">
      <w:rPr>
        <w:b/>
        <w:bCs/>
      </w:rPr>
      <w:tblPr/>
      <w:tcPr>
        <w:tcBorders>
          <w:top w:val="double" w:sz="2" w:space="0" w:color="50E1E2"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4F5F5" w:themeFill="accent5" w:themeFillTint="33"/>
      </w:tcPr>
    </w:tblStylePr>
    <w:tblStylePr w:type="band1Horz">
      <w:tblPr/>
      <w:tcPr>
        <w:shd w:val="clear" w:color="auto" w:fill="C4F5F5" w:themeFill="accent5" w:themeFillTint="33"/>
      </w:tcPr>
    </w:tblStylePr>
  </w:style>
  <w:style w:type="table" w:styleId="GridTable2-Accent6">
    <w:name w:val="Grid Table 2 Accent 6"/>
    <w:basedOn w:val="TableNormal"/>
    <w:rsid w:val="00570E30"/>
    <w:rPr>
      <w:rFonts w:asciiTheme="minorHAnsi" w:eastAsiaTheme="minorHAnsi" w:hAnsiTheme="minorHAnsi" w:cstheme="minorBidi"/>
      <w:sz w:val="22"/>
      <w:szCs w:val="22"/>
    </w:rPr>
    <w:tblPr>
      <w:tblStyleRowBandSize w:val="1"/>
      <w:tblStyleColBandSize w:val="1"/>
      <w:tblBorders>
        <w:top w:val="single" w:sz="2" w:space="0" w:color="55E7B3" w:themeColor="accent6" w:themeTint="99"/>
        <w:bottom w:val="single" w:sz="2" w:space="0" w:color="55E7B3" w:themeColor="accent6" w:themeTint="99"/>
        <w:insideH w:val="single" w:sz="2" w:space="0" w:color="55E7B3" w:themeColor="accent6" w:themeTint="99"/>
        <w:insideV w:val="single" w:sz="2" w:space="0" w:color="55E7B3" w:themeColor="accent6" w:themeTint="99"/>
      </w:tblBorders>
    </w:tblPr>
    <w:tblStylePr w:type="firstRow">
      <w:rPr>
        <w:b/>
        <w:bCs/>
      </w:rPr>
      <w:tblPr/>
      <w:tcPr>
        <w:tcBorders>
          <w:top w:val="nil"/>
          <w:bottom w:val="single" w:sz="12" w:space="0" w:color="55E7B3" w:themeColor="accent6" w:themeTint="99"/>
          <w:insideH w:val="nil"/>
          <w:insideV w:val="nil"/>
        </w:tcBorders>
        <w:shd w:val="clear" w:color="auto" w:fill="FFFFFF" w:themeFill="background1"/>
      </w:tcPr>
    </w:tblStylePr>
    <w:tblStylePr w:type="lastRow">
      <w:rPr>
        <w:b/>
        <w:bCs/>
      </w:rPr>
      <w:tblPr/>
      <w:tcPr>
        <w:tcBorders>
          <w:top w:val="double" w:sz="2" w:space="0" w:color="55E7B3"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6F7E5" w:themeFill="accent6" w:themeFillTint="33"/>
      </w:tcPr>
    </w:tblStylePr>
    <w:tblStylePr w:type="band1Horz">
      <w:tblPr/>
      <w:tcPr>
        <w:shd w:val="clear" w:color="auto" w:fill="C6F7E5" w:themeFill="accent6" w:themeFillTint="33"/>
      </w:tcPr>
    </w:tblStylePr>
  </w:style>
  <w:style w:type="table" w:styleId="GridTable3">
    <w:name w:val="Grid Table 3"/>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3-Accent1">
    <w:name w:val="Grid Table 3 Accent 1"/>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217BDD" w:themeColor="accent1" w:themeTint="99"/>
        <w:left w:val="single" w:sz="4" w:space="0" w:color="217BDD" w:themeColor="accent1" w:themeTint="99"/>
        <w:bottom w:val="single" w:sz="4" w:space="0" w:color="217BDD" w:themeColor="accent1" w:themeTint="99"/>
        <w:right w:val="single" w:sz="4" w:space="0" w:color="217BDD" w:themeColor="accent1" w:themeTint="99"/>
        <w:insideH w:val="single" w:sz="4" w:space="0" w:color="217BDD" w:themeColor="accent1" w:themeTint="99"/>
        <w:insideV w:val="single" w:sz="4" w:space="0" w:color="217BDD"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B4D3F3" w:themeFill="accent1" w:themeFillTint="33"/>
      </w:tcPr>
    </w:tblStylePr>
    <w:tblStylePr w:type="band1Horz">
      <w:tblPr/>
      <w:tcPr>
        <w:shd w:val="clear" w:color="auto" w:fill="B4D3F3" w:themeFill="accent1" w:themeFillTint="33"/>
      </w:tcPr>
    </w:tblStylePr>
    <w:tblStylePr w:type="neCell">
      <w:tblPr/>
      <w:tcPr>
        <w:tcBorders>
          <w:bottom w:val="single" w:sz="4" w:space="0" w:color="217BDD" w:themeColor="accent1" w:themeTint="99"/>
        </w:tcBorders>
      </w:tcPr>
    </w:tblStylePr>
    <w:tblStylePr w:type="nwCell">
      <w:tblPr/>
      <w:tcPr>
        <w:tcBorders>
          <w:bottom w:val="single" w:sz="4" w:space="0" w:color="217BDD" w:themeColor="accent1" w:themeTint="99"/>
        </w:tcBorders>
      </w:tcPr>
    </w:tblStylePr>
    <w:tblStylePr w:type="seCell">
      <w:tblPr/>
      <w:tcPr>
        <w:tcBorders>
          <w:top w:val="single" w:sz="4" w:space="0" w:color="217BDD" w:themeColor="accent1" w:themeTint="99"/>
        </w:tcBorders>
      </w:tcPr>
    </w:tblStylePr>
    <w:tblStylePr w:type="swCell">
      <w:tblPr/>
      <w:tcPr>
        <w:tcBorders>
          <w:top w:val="single" w:sz="4" w:space="0" w:color="217BDD" w:themeColor="accent1" w:themeTint="99"/>
        </w:tcBorders>
      </w:tcPr>
    </w:tblStylePr>
  </w:style>
  <w:style w:type="table" w:styleId="GridTable3-Accent2">
    <w:name w:val="Grid Table 3 Accent 2"/>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E67C79" w:themeColor="accent2" w:themeTint="99"/>
        <w:left w:val="single" w:sz="4" w:space="0" w:color="E67C79" w:themeColor="accent2" w:themeTint="99"/>
        <w:bottom w:val="single" w:sz="4" w:space="0" w:color="E67C79" w:themeColor="accent2" w:themeTint="99"/>
        <w:right w:val="single" w:sz="4" w:space="0" w:color="E67C79" w:themeColor="accent2" w:themeTint="99"/>
        <w:insideH w:val="single" w:sz="4" w:space="0" w:color="E67C79" w:themeColor="accent2" w:themeTint="99"/>
        <w:insideV w:val="single" w:sz="4" w:space="0" w:color="E67C79"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6D3D2" w:themeFill="accent2" w:themeFillTint="33"/>
      </w:tcPr>
    </w:tblStylePr>
    <w:tblStylePr w:type="band1Horz">
      <w:tblPr/>
      <w:tcPr>
        <w:shd w:val="clear" w:color="auto" w:fill="F6D3D2" w:themeFill="accent2" w:themeFillTint="33"/>
      </w:tcPr>
    </w:tblStylePr>
    <w:tblStylePr w:type="neCell">
      <w:tblPr/>
      <w:tcPr>
        <w:tcBorders>
          <w:bottom w:val="single" w:sz="4" w:space="0" w:color="E67C79" w:themeColor="accent2" w:themeTint="99"/>
        </w:tcBorders>
      </w:tcPr>
    </w:tblStylePr>
    <w:tblStylePr w:type="nwCell">
      <w:tblPr/>
      <w:tcPr>
        <w:tcBorders>
          <w:bottom w:val="single" w:sz="4" w:space="0" w:color="E67C79" w:themeColor="accent2" w:themeTint="99"/>
        </w:tcBorders>
      </w:tcPr>
    </w:tblStylePr>
    <w:tblStylePr w:type="seCell">
      <w:tblPr/>
      <w:tcPr>
        <w:tcBorders>
          <w:top w:val="single" w:sz="4" w:space="0" w:color="E67C79" w:themeColor="accent2" w:themeTint="99"/>
        </w:tcBorders>
      </w:tcPr>
    </w:tblStylePr>
    <w:tblStylePr w:type="swCell">
      <w:tblPr/>
      <w:tcPr>
        <w:tcBorders>
          <w:top w:val="single" w:sz="4" w:space="0" w:color="E67C79" w:themeColor="accent2" w:themeTint="99"/>
        </w:tcBorders>
      </w:tcPr>
    </w:tblStylePr>
  </w:style>
  <w:style w:type="table" w:styleId="GridTable3-Accent3">
    <w:name w:val="Grid Table 3 Accent 3"/>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99A4AD" w:themeColor="accent3" w:themeTint="99"/>
        <w:left w:val="single" w:sz="4" w:space="0" w:color="99A4AD" w:themeColor="accent3" w:themeTint="99"/>
        <w:bottom w:val="single" w:sz="4" w:space="0" w:color="99A4AD" w:themeColor="accent3" w:themeTint="99"/>
        <w:right w:val="single" w:sz="4" w:space="0" w:color="99A4AD" w:themeColor="accent3" w:themeTint="99"/>
        <w:insideH w:val="single" w:sz="4" w:space="0" w:color="99A4AD" w:themeColor="accent3" w:themeTint="99"/>
        <w:insideV w:val="single" w:sz="4" w:space="0" w:color="99A4AD"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DE0E3" w:themeFill="accent3" w:themeFillTint="33"/>
      </w:tcPr>
    </w:tblStylePr>
    <w:tblStylePr w:type="band1Horz">
      <w:tblPr/>
      <w:tcPr>
        <w:shd w:val="clear" w:color="auto" w:fill="DDE0E3" w:themeFill="accent3" w:themeFillTint="33"/>
      </w:tcPr>
    </w:tblStylePr>
    <w:tblStylePr w:type="neCell">
      <w:tblPr/>
      <w:tcPr>
        <w:tcBorders>
          <w:bottom w:val="single" w:sz="4" w:space="0" w:color="99A4AD" w:themeColor="accent3" w:themeTint="99"/>
        </w:tcBorders>
      </w:tcPr>
    </w:tblStylePr>
    <w:tblStylePr w:type="nwCell">
      <w:tblPr/>
      <w:tcPr>
        <w:tcBorders>
          <w:bottom w:val="single" w:sz="4" w:space="0" w:color="99A4AD" w:themeColor="accent3" w:themeTint="99"/>
        </w:tcBorders>
      </w:tcPr>
    </w:tblStylePr>
    <w:tblStylePr w:type="seCell">
      <w:tblPr/>
      <w:tcPr>
        <w:tcBorders>
          <w:top w:val="single" w:sz="4" w:space="0" w:color="99A4AD" w:themeColor="accent3" w:themeTint="99"/>
        </w:tcBorders>
      </w:tcPr>
    </w:tblStylePr>
    <w:tblStylePr w:type="swCell">
      <w:tblPr/>
      <w:tcPr>
        <w:tcBorders>
          <w:top w:val="single" w:sz="4" w:space="0" w:color="99A4AD" w:themeColor="accent3" w:themeTint="99"/>
        </w:tcBorders>
      </w:tcPr>
    </w:tblStylePr>
  </w:style>
  <w:style w:type="table" w:styleId="GridTable3-Accent4">
    <w:name w:val="Grid Table 3 Accent 4"/>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F6D276" w:themeColor="accent4" w:themeTint="99"/>
        <w:left w:val="single" w:sz="4" w:space="0" w:color="F6D276" w:themeColor="accent4" w:themeTint="99"/>
        <w:bottom w:val="single" w:sz="4" w:space="0" w:color="F6D276" w:themeColor="accent4" w:themeTint="99"/>
        <w:right w:val="single" w:sz="4" w:space="0" w:color="F6D276" w:themeColor="accent4" w:themeTint="99"/>
        <w:insideH w:val="single" w:sz="4" w:space="0" w:color="F6D276" w:themeColor="accent4" w:themeTint="99"/>
        <w:insideV w:val="single" w:sz="4" w:space="0" w:color="F6D276"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CF0D1" w:themeFill="accent4" w:themeFillTint="33"/>
      </w:tcPr>
    </w:tblStylePr>
    <w:tblStylePr w:type="band1Horz">
      <w:tblPr/>
      <w:tcPr>
        <w:shd w:val="clear" w:color="auto" w:fill="FCF0D1" w:themeFill="accent4" w:themeFillTint="33"/>
      </w:tcPr>
    </w:tblStylePr>
    <w:tblStylePr w:type="neCell">
      <w:tblPr/>
      <w:tcPr>
        <w:tcBorders>
          <w:bottom w:val="single" w:sz="4" w:space="0" w:color="F6D276" w:themeColor="accent4" w:themeTint="99"/>
        </w:tcBorders>
      </w:tcPr>
    </w:tblStylePr>
    <w:tblStylePr w:type="nwCell">
      <w:tblPr/>
      <w:tcPr>
        <w:tcBorders>
          <w:bottom w:val="single" w:sz="4" w:space="0" w:color="F6D276" w:themeColor="accent4" w:themeTint="99"/>
        </w:tcBorders>
      </w:tcPr>
    </w:tblStylePr>
    <w:tblStylePr w:type="seCell">
      <w:tblPr/>
      <w:tcPr>
        <w:tcBorders>
          <w:top w:val="single" w:sz="4" w:space="0" w:color="F6D276" w:themeColor="accent4" w:themeTint="99"/>
        </w:tcBorders>
      </w:tcPr>
    </w:tblStylePr>
    <w:tblStylePr w:type="swCell">
      <w:tblPr/>
      <w:tcPr>
        <w:tcBorders>
          <w:top w:val="single" w:sz="4" w:space="0" w:color="F6D276" w:themeColor="accent4" w:themeTint="99"/>
        </w:tcBorders>
      </w:tcPr>
    </w:tblStylePr>
  </w:style>
  <w:style w:type="table" w:styleId="GridTable3-Accent5">
    <w:name w:val="Grid Table 3 Accent 5"/>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50E1E2" w:themeColor="accent5" w:themeTint="99"/>
        <w:left w:val="single" w:sz="4" w:space="0" w:color="50E1E2" w:themeColor="accent5" w:themeTint="99"/>
        <w:bottom w:val="single" w:sz="4" w:space="0" w:color="50E1E2" w:themeColor="accent5" w:themeTint="99"/>
        <w:right w:val="single" w:sz="4" w:space="0" w:color="50E1E2" w:themeColor="accent5" w:themeTint="99"/>
        <w:insideH w:val="single" w:sz="4" w:space="0" w:color="50E1E2" w:themeColor="accent5" w:themeTint="99"/>
        <w:insideV w:val="single" w:sz="4" w:space="0" w:color="50E1E2"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4F5F5" w:themeFill="accent5" w:themeFillTint="33"/>
      </w:tcPr>
    </w:tblStylePr>
    <w:tblStylePr w:type="band1Horz">
      <w:tblPr/>
      <w:tcPr>
        <w:shd w:val="clear" w:color="auto" w:fill="C4F5F5" w:themeFill="accent5" w:themeFillTint="33"/>
      </w:tcPr>
    </w:tblStylePr>
    <w:tblStylePr w:type="neCell">
      <w:tblPr/>
      <w:tcPr>
        <w:tcBorders>
          <w:bottom w:val="single" w:sz="4" w:space="0" w:color="50E1E2" w:themeColor="accent5" w:themeTint="99"/>
        </w:tcBorders>
      </w:tcPr>
    </w:tblStylePr>
    <w:tblStylePr w:type="nwCell">
      <w:tblPr/>
      <w:tcPr>
        <w:tcBorders>
          <w:bottom w:val="single" w:sz="4" w:space="0" w:color="50E1E2" w:themeColor="accent5" w:themeTint="99"/>
        </w:tcBorders>
      </w:tcPr>
    </w:tblStylePr>
    <w:tblStylePr w:type="seCell">
      <w:tblPr/>
      <w:tcPr>
        <w:tcBorders>
          <w:top w:val="single" w:sz="4" w:space="0" w:color="50E1E2" w:themeColor="accent5" w:themeTint="99"/>
        </w:tcBorders>
      </w:tcPr>
    </w:tblStylePr>
    <w:tblStylePr w:type="swCell">
      <w:tblPr/>
      <w:tcPr>
        <w:tcBorders>
          <w:top w:val="single" w:sz="4" w:space="0" w:color="50E1E2" w:themeColor="accent5" w:themeTint="99"/>
        </w:tcBorders>
      </w:tcPr>
    </w:tblStylePr>
  </w:style>
  <w:style w:type="table" w:styleId="GridTable3-Accent6">
    <w:name w:val="Grid Table 3 Accent 6"/>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55E7B3" w:themeColor="accent6" w:themeTint="99"/>
        <w:left w:val="single" w:sz="4" w:space="0" w:color="55E7B3" w:themeColor="accent6" w:themeTint="99"/>
        <w:bottom w:val="single" w:sz="4" w:space="0" w:color="55E7B3" w:themeColor="accent6" w:themeTint="99"/>
        <w:right w:val="single" w:sz="4" w:space="0" w:color="55E7B3" w:themeColor="accent6" w:themeTint="99"/>
        <w:insideH w:val="single" w:sz="4" w:space="0" w:color="55E7B3" w:themeColor="accent6" w:themeTint="99"/>
        <w:insideV w:val="single" w:sz="4" w:space="0" w:color="55E7B3"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6F7E5" w:themeFill="accent6" w:themeFillTint="33"/>
      </w:tcPr>
    </w:tblStylePr>
    <w:tblStylePr w:type="band1Horz">
      <w:tblPr/>
      <w:tcPr>
        <w:shd w:val="clear" w:color="auto" w:fill="C6F7E5" w:themeFill="accent6" w:themeFillTint="33"/>
      </w:tcPr>
    </w:tblStylePr>
    <w:tblStylePr w:type="neCell">
      <w:tblPr/>
      <w:tcPr>
        <w:tcBorders>
          <w:bottom w:val="single" w:sz="4" w:space="0" w:color="55E7B3" w:themeColor="accent6" w:themeTint="99"/>
        </w:tcBorders>
      </w:tcPr>
    </w:tblStylePr>
    <w:tblStylePr w:type="nwCell">
      <w:tblPr/>
      <w:tcPr>
        <w:tcBorders>
          <w:bottom w:val="single" w:sz="4" w:space="0" w:color="55E7B3" w:themeColor="accent6" w:themeTint="99"/>
        </w:tcBorders>
      </w:tcPr>
    </w:tblStylePr>
    <w:tblStylePr w:type="seCell">
      <w:tblPr/>
      <w:tcPr>
        <w:tcBorders>
          <w:top w:val="single" w:sz="4" w:space="0" w:color="55E7B3" w:themeColor="accent6" w:themeTint="99"/>
        </w:tcBorders>
      </w:tcPr>
    </w:tblStylePr>
    <w:tblStylePr w:type="swCell">
      <w:tblPr/>
      <w:tcPr>
        <w:tcBorders>
          <w:top w:val="single" w:sz="4" w:space="0" w:color="55E7B3" w:themeColor="accent6" w:themeTint="99"/>
        </w:tcBorders>
      </w:tcPr>
    </w:tblStylePr>
  </w:style>
  <w:style w:type="table" w:styleId="GridTable4">
    <w:name w:val="Grid Table 4"/>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4-Accent2">
    <w:name w:val="Grid Table 4 Accent 2"/>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E67C79" w:themeColor="accent2" w:themeTint="99"/>
        <w:left w:val="single" w:sz="4" w:space="0" w:color="E67C79" w:themeColor="accent2" w:themeTint="99"/>
        <w:bottom w:val="single" w:sz="4" w:space="0" w:color="E67C79" w:themeColor="accent2" w:themeTint="99"/>
        <w:right w:val="single" w:sz="4" w:space="0" w:color="E67C79" w:themeColor="accent2" w:themeTint="99"/>
        <w:insideH w:val="single" w:sz="4" w:space="0" w:color="E67C79" w:themeColor="accent2" w:themeTint="99"/>
        <w:insideV w:val="single" w:sz="4" w:space="0" w:color="E67C79" w:themeColor="accent2" w:themeTint="99"/>
      </w:tblBorders>
    </w:tblPr>
    <w:tblStylePr w:type="firstRow">
      <w:rPr>
        <w:b/>
        <w:bCs/>
        <w:color w:val="FFFFFF" w:themeColor="background1"/>
      </w:rPr>
      <w:tblPr/>
      <w:tcPr>
        <w:tcBorders>
          <w:top w:val="single" w:sz="4" w:space="0" w:color="D02B27" w:themeColor="accent2"/>
          <w:left w:val="single" w:sz="4" w:space="0" w:color="D02B27" w:themeColor="accent2"/>
          <w:bottom w:val="single" w:sz="4" w:space="0" w:color="D02B27" w:themeColor="accent2"/>
          <w:right w:val="single" w:sz="4" w:space="0" w:color="D02B27" w:themeColor="accent2"/>
          <w:insideH w:val="nil"/>
          <w:insideV w:val="nil"/>
        </w:tcBorders>
        <w:shd w:val="clear" w:color="auto" w:fill="D02B27" w:themeFill="accent2"/>
      </w:tcPr>
    </w:tblStylePr>
    <w:tblStylePr w:type="lastRow">
      <w:rPr>
        <w:b/>
        <w:bCs/>
      </w:rPr>
      <w:tblPr/>
      <w:tcPr>
        <w:tcBorders>
          <w:top w:val="double" w:sz="4" w:space="0" w:color="D02B27" w:themeColor="accent2"/>
        </w:tcBorders>
      </w:tcPr>
    </w:tblStylePr>
    <w:tblStylePr w:type="firstCol">
      <w:rPr>
        <w:b/>
        <w:bCs/>
      </w:rPr>
    </w:tblStylePr>
    <w:tblStylePr w:type="lastCol">
      <w:rPr>
        <w:b/>
        <w:bCs/>
      </w:rPr>
    </w:tblStylePr>
    <w:tblStylePr w:type="band1Vert">
      <w:tblPr/>
      <w:tcPr>
        <w:shd w:val="clear" w:color="auto" w:fill="F6D3D2" w:themeFill="accent2" w:themeFillTint="33"/>
      </w:tcPr>
    </w:tblStylePr>
    <w:tblStylePr w:type="band1Horz">
      <w:tblPr/>
      <w:tcPr>
        <w:shd w:val="clear" w:color="auto" w:fill="F6D3D2" w:themeFill="accent2" w:themeFillTint="33"/>
      </w:tcPr>
    </w:tblStylePr>
  </w:style>
  <w:style w:type="table" w:styleId="GridTable4-Accent3">
    <w:name w:val="Grid Table 4 Accent 3"/>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99A4AD" w:themeColor="accent3" w:themeTint="99"/>
        <w:left w:val="single" w:sz="4" w:space="0" w:color="99A4AD" w:themeColor="accent3" w:themeTint="99"/>
        <w:bottom w:val="single" w:sz="4" w:space="0" w:color="99A4AD" w:themeColor="accent3" w:themeTint="99"/>
        <w:right w:val="single" w:sz="4" w:space="0" w:color="99A4AD" w:themeColor="accent3" w:themeTint="99"/>
        <w:insideH w:val="single" w:sz="4" w:space="0" w:color="99A4AD" w:themeColor="accent3" w:themeTint="99"/>
        <w:insideV w:val="single" w:sz="4" w:space="0" w:color="99A4AD" w:themeColor="accent3" w:themeTint="99"/>
      </w:tblBorders>
    </w:tblPr>
    <w:tblStylePr w:type="firstRow">
      <w:rPr>
        <w:b/>
        <w:bCs/>
        <w:color w:val="FFFFFF" w:themeColor="background1"/>
      </w:rPr>
      <w:tblPr/>
      <w:tcPr>
        <w:tcBorders>
          <w:top w:val="single" w:sz="4" w:space="0" w:color="5B6771" w:themeColor="accent3"/>
          <w:left w:val="single" w:sz="4" w:space="0" w:color="5B6771" w:themeColor="accent3"/>
          <w:bottom w:val="single" w:sz="4" w:space="0" w:color="5B6771" w:themeColor="accent3"/>
          <w:right w:val="single" w:sz="4" w:space="0" w:color="5B6771" w:themeColor="accent3"/>
          <w:insideH w:val="nil"/>
          <w:insideV w:val="nil"/>
        </w:tcBorders>
        <w:shd w:val="clear" w:color="auto" w:fill="5B6771" w:themeFill="accent3"/>
      </w:tcPr>
    </w:tblStylePr>
    <w:tblStylePr w:type="lastRow">
      <w:rPr>
        <w:b/>
        <w:bCs/>
      </w:rPr>
      <w:tblPr/>
      <w:tcPr>
        <w:tcBorders>
          <w:top w:val="double" w:sz="4" w:space="0" w:color="5B6771" w:themeColor="accent3"/>
        </w:tcBorders>
      </w:tcPr>
    </w:tblStylePr>
    <w:tblStylePr w:type="firstCol">
      <w:rPr>
        <w:b/>
        <w:bCs/>
      </w:rPr>
    </w:tblStylePr>
    <w:tblStylePr w:type="lastCol">
      <w:rPr>
        <w:b/>
        <w:bCs/>
      </w:rPr>
    </w:tblStylePr>
    <w:tblStylePr w:type="band1Vert">
      <w:tblPr/>
      <w:tcPr>
        <w:shd w:val="clear" w:color="auto" w:fill="DDE0E3" w:themeFill="accent3" w:themeFillTint="33"/>
      </w:tcPr>
    </w:tblStylePr>
    <w:tblStylePr w:type="band1Horz">
      <w:tblPr/>
      <w:tcPr>
        <w:shd w:val="clear" w:color="auto" w:fill="DDE0E3" w:themeFill="accent3" w:themeFillTint="33"/>
      </w:tcPr>
    </w:tblStylePr>
  </w:style>
  <w:style w:type="table" w:styleId="GridTable4-Accent4">
    <w:name w:val="Grid Table 4 Accent 4"/>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F6D276" w:themeColor="accent4" w:themeTint="99"/>
        <w:left w:val="single" w:sz="4" w:space="0" w:color="F6D276" w:themeColor="accent4" w:themeTint="99"/>
        <w:bottom w:val="single" w:sz="4" w:space="0" w:color="F6D276" w:themeColor="accent4" w:themeTint="99"/>
        <w:right w:val="single" w:sz="4" w:space="0" w:color="F6D276" w:themeColor="accent4" w:themeTint="99"/>
        <w:insideH w:val="single" w:sz="4" w:space="0" w:color="F6D276" w:themeColor="accent4" w:themeTint="99"/>
        <w:insideV w:val="single" w:sz="4" w:space="0" w:color="F6D276" w:themeColor="accent4" w:themeTint="99"/>
      </w:tblBorders>
    </w:tblPr>
    <w:tblStylePr w:type="firstRow">
      <w:rPr>
        <w:b/>
        <w:bCs/>
        <w:color w:val="FFFFFF" w:themeColor="background1"/>
      </w:rPr>
      <w:tblPr/>
      <w:tcPr>
        <w:tcBorders>
          <w:top w:val="single" w:sz="4" w:space="0" w:color="F1B51C" w:themeColor="accent4"/>
          <w:left w:val="single" w:sz="4" w:space="0" w:color="F1B51C" w:themeColor="accent4"/>
          <w:bottom w:val="single" w:sz="4" w:space="0" w:color="F1B51C" w:themeColor="accent4"/>
          <w:right w:val="single" w:sz="4" w:space="0" w:color="F1B51C" w:themeColor="accent4"/>
          <w:insideH w:val="nil"/>
          <w:insideV w:val="nil"/>
        </w:tcBorders>
        <w:shd w:val="clear" w:color="auto" w:fill="F1B51C" w:themeFill="accent4"/>
      </w:tcPr>
    </w:tblStylePr>
    <w:tblStylePr w:type="lastRow">
      <w:rPr>
        <w:b/>
        <w:bCs/>
      </w:rPr>
      <w:tblPr/>
      <w:tcPr>
        <w:tcBorders>
          <w:top w:val="double" w:sz="4" w:space="0" w:color="F1B51C" w:themeColor="accent4"/>
        </w:tcBorders>
      </w:tcPr>
    </w:tblStylePr>
    <w:tblStylePr w:type="firstCol">
      <w:rPr>
        <w:b/>
        <w:bCs/>
      </w:rPr>
    </w:tblStylePr>
    <w:tblStylePr w:type="lastCol">
      <w:rPr>
        <w:b/>
        <w:bCs/>
      </w:rPr>
    </w:tblStylePr>
    <w:tblStylePr w:type="band1Vert">
      <w:tblPr/>
      <w:tcPr>
        <w:shd w:val="clear" w:color="auto" w:fill="FCF0D1" w:themeFill="accent4" w:themeFillTint="33"/>
      </w:tcPr>
    </w:tblStylePr>
    <w:tblStylePr w:type="band1Horz">
      <w:tblPr/>
      <w:tcPr>
        <w:shd w:val="clear" w:color="auto" w:fill="FCF0D1" w:themeFill="accent4" w:themeFillTint="33"/>
      </w:tcPr>
    </w:tblStylePr>
  </w:style>
  <w:style w:type="table" w:styleId="GridTable4-Accent5">
    <w:name w:val="Grid Table 4 Accent 5"/>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50E1E2" w:themeColor="accent5" w:themeTint="99"/>
        <w:left w:val="single" w:sz="4" w:space="0" w:color="50E1E2" w:themeColor="accent5" w:themeTint="99"/>
        <w:bottom w:val="single" w:sz="4" w:space="0" w:color="50E1E2" w:themeColor="accent5" w:themeTint="99"/>
        <w:right w:val="single" w:sz="4" w:space="0" w:color="50E1E2" w:themeColor="accent5" w:themeTint="99"/>
        <w:insideH w:val="single" w:sz="4" w:space="0" w:color="50E1E2" w:themeColor="accent5" w:themeTint="99"/>
        <w:insideV w:val="single" w:sz="4" w:space="0" w:color="50E1E2" w:themeColor="accent5" w:themeTint="99"/>
      </w:tblBorders>
    </w:tblPr>
    <w:tblStylePr w:type="firstRow">
      <w:rPr>
        <w:b/>
        <w:bCs/>
        <w:color w:val="FFFFFF" w:themeColor="background1"/>
      </w:rPr>
      <w:tblPr/>
      <w:tcPr>
        <w:tcBorders>
          <w:top w:val="single" w:sz="4" w:space="0" w:color="189394" w:themeColor="accent5"/>
          <w:left w:val="single" w:sz="4" w:space="0" w:color="189394" w:themeColor="accent5"/>
          <w:bottom w:val="single" w:sz="4" w:space="0" w:color="189394" w:themeColor="accent5"/>
          <w:right w:val="single" w:sz="4" w:space="0" w:color="189394" w:themeColor="accent5"/>
          <w:insideH w:val="nil"/>
          <w:insideV w:val="nil"/>
        </w:tcBorders>
        <w:shd w:val="clear" w:color="auto" w:fill="189394" w:themeFill="accent5"/>
      </w:tcPr>
    </w:tblStylePr>
    <w:tblStylePr w:type="lastRow">
      <w:rPr>
        <w:b/>
        <w:bCs/>
      </w:rPr>
      <w:tblPr/>
      <w:tcPr>
        <w:tcBorders>
          <w:top w:val="double" w:sz="4" w:space="0" w:color="189394" w:themeColor="accent5"/>
        </w:tcBorders>
      </w:tcPr>
    </w:tblStylePr>
    <w:tblStylePr w:type="firstCol">
      <w:rPr>
        <w:b/>
        <w:bCs/>
      </w:rPr>
    </w:tblStylePr>
    <w:tblStylePr w:type="lastCol">
      <w:rPr>
        <w:b/>
        <w:bCs/>
      </w:rPr>
    </w:tblStylePr>
    <w:tblStylePr w:type="band1Vert">
      <w:tblPr/>
      <w:tcPr>
        <w:shd w:val="clear" w:color="auto" w:fill="C4F5F5" w:themeFill="accent5" w:themeFillTint="33"/>
      </w:tcPr>
    </w:tblStylePr>
    <w:tblStylePr w:type="band1Horz">
      <w:tblPr/>
      <w:tcPr>
        <w:shd w:val="clear" w:color="auto" w:fill="C4F5F5" w:themeFill="accent5" w:themeFillTint="33"/>
      </w:tcPr>
    </w:tblStylePr>
  </w:style>
  <w:style w:type="table" w:styleId="GridTable4-Accent6">
    <w:name w:val="Grid Table 4 Accent 6"/>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55E7B3" w:themeColor="accent6" w:themeTint="99"/>
        <w:left w:val="single" w:sz="4" w:space="0" w:color="55E7B3" w:themeColor="accent6" w:themeTint="99"/>
        <w:bottom w:val="single" w:sz="4" w:space="0" w:color="55E7B3" w:themeColor="accent6" w:themeTint="99"/>
        <w:right w:val="single" w:sz="4" w:space="0" w:color="55E7B3" w:themeColor="accent6" w:themeTint="99"/>
        <w:insideH w:val="single" w:sz="4" w:space="0" w:color="55E7B3" w:themeColor="accent6" w:themeTint="99"/>
        <w:insideV w:val="single" w:sz="4" w:space="0" w:color="55E7B3" w:themeColor="accent6" w:themeTint="99"/>
      </w:tblBorders>
    </w:tblPr>
    <w:tblStylePr w:type="firstRow">
      <w:rPr>
        <w:b/>
        <w:bCs/>
        <w:color w:val="FFFFFF" w:themeColor="background1"/>
      </w:rPr>
      <w:tblPr/>
      <w:tcPr>
        <w:tcBorders>
          <w:top w:val="single" w:sz="4" w:space="0" w:color="17A673" w:themeColor="accent6"/>
          <w:left w:val="single" w:sz="4" w:space="0" w:color="17A673" w:themeColor="accent6"/>
          <w:bottom w:val="single" w:sz="4" w:space="0" w:color="17A673" w:themeColor="accent6"/>
          <w:right w:val="single" w:sz="4" w:space="0" w:color="17A673" w:themeColor="accent6"/>
          <w:insideH w:val="nil"/>
          <w:insideV w:val="nil"/>
        </w:tcBorders>
        <w:shd w:val="clear" w:color="auto" w:fill="17A673" w:themeFill="accent6"/>
      </w:tcPr>
    </w:tblStylePr>
    <w:tblStylePr w:type="lastRow">
      <w:rPr>
        <w:b/>
        <w:bCs/>
      </w:rPr>
      <w:tblPr/>
      <w:tcPr>
        <w:tcBorders>
          <w:top w:val="double" w:sz="4" w:space="0" w:color="17A673" w:themeColor="accent6"/>
        </w:tcBorders>
      </w:tcPr>
    </w:tblStylePr>
    <w:tblStylePr w:type="firstCol">
      <w:rPr>
        <w:b/>
        <w:bCs/>
      </w:rPr>
    </w:tblStylePr>
    <w:tblStylePr w:type="lastCol">
      <w:rPr>
        <w:b/>
        <w:bCs/>
      </w:rPr>
    </w:tblStylePr>
    <w:tblStylePr w:type="band1Vert">
      <w:tblPr/>
      <w:tcPr>
        <w:shd w:val="clear" w:color="auto" w:fill="C6F7E5" w:themeFill="accent6" w:themeFillTint="33"/>
      </w:tcPr>
    </w:tblStylePr>
    <w:tblStylePr w:type="band1Horz">
      <w:tblPr/>
      <w:tcPr>
        <w:shd w:val="clear" w:color="auto" w:fill="C6F7E5" w:themeFill="accent6" w:themeFillTint="33"/>
      </w:tcPr>
    </w:tblStylePr>
  </w:style>
  <w:style w:type="table" w:styleId="GridTable5Dark">
    <w:name w:val="Grid Table 5 Dark"/>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ridTable5Dark-Accent1">
    <w:name w:val="Grid Table 5 Dark Accent 1"/>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B4D3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B2949"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B2949"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B2949"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B2949" w:themeFill="accent1"/>
      </w:tcPr>
    </w:tblStylePr>
    <w:tblStylePr w:type="band1Vert">
      <w:tblPr/>
      <w:tcPr>
        <w:shd w:val="clear" w:color="auto" w:fill="6AA7E8" w:themeFill="accent1" w:themeFillTint="66"/>
      </w:tcPr>
    </w:tblStylePr>
    <w:tblStylePr w:type="band1Horz">
      <w:tblPr/>
      <w:tcPr>
        <w:shd w:val="clear" w:color="auto" w:fill="6AA7E8" w:themeFill="accent1" w:themeFillTint="66"/>
      </w:tcPr>
    </w:tblStylePr>
  </w:style>
  <w:style w:type="table" w:styleId="GridTable5Dark-Accent2">
    <w:name w:val="Grid Table 5 Dark Accent 2"/>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6D3D2"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D02B27"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D02B27"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D02B27"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D02B27" w:themeFill="accent2"/>
      </w:tcPr>
    </w:tblStylePr>
    <w:tblStylePr w:type="band1Vert">
      <w:tblPr/>
      <w:tcPr>
        <w:shd w:val="clear" w:color="auto" w:fill="EEA7A6" w:themeFill="accent2" w:themeFillTint="66"/>
      </w:tcPr>
    </w:tblStylePr>
    <w:tblStylePr w:type="band1Horz">
      <w:tblPr/>
      <w:tcPr>
        <w:shd w:val="clear" w:color="auto" w:fill="EEA7A6" w:themeFill="accent2" w:themeFillTint="66"/>
      </w:tcPr>
    </w:tblStylePr>
  </w:style>
  <w:style w:type="table" w:styleId="GridTable5Dark-Accent3">
    <w:name w:val="Grid Table 5 Dark Accent 3"/>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DE0E3"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6771"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6771"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6771"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6771" w:themeFill="accent3"/>
      </w:tcPr>
    </w:tblStylePr>
    <w:tblStylePr w:type="band1Vert">
      <w:tblPr/>
      <w:tcPr>
        <w:shd w:val="clear" w:color="auto" w:fill="BBC2C8" w:themeFill="accent3" w:themeFillTint="66"/>
      </w:tcPr>
    </w:tblStylePr>
    <w:tblStylePr w:type="band1Horz">
      <w:tblPr/>
      <w:tcPr>
        <w:shd w:val="clear" w:color="auto" w:fill="BBC2C8" w:themeFill="accent3" w:themeFillTint="66"/>
      </w:tcPr>
    </w:tblStylePr>
  </w:style>
  <w:style w:type="table" w:styleId="GridTable5Dark-Accent4">
    <w:name w:val="Grid Table 5 Dark Accent 4"/>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CF0D1"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1B51C"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1B51C"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1B51C"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1B51C" w:themeFill="accent4"/>
      </w:tcPr>
    </w:tblStylePr>
    <w:tblStylePr w:type="band1Vert">
      <w:tblPr/>
      <w:tcPr>
        <w:shd w:val="clear" w:color="auto" w:fill="F9E1A3" w:themeFill="accent4" w:themeFillTint="66"/>
      </w:tcPr>
    </w:tblStylePr>
    <w:tblStylePr w:type="band1Horz">
      <w:tblPr/>
      <w:tcPr>
        <w:shd w:val="clear" w:color="auto" w:fill="F9E1A3" w:themeFill="accent4" w:themeFillTint="66"/>
      </w:tcPr>
    </w:tblStylePr>
  </w:style>
  <w:style w:type="table" w:styleId="GridTable5Dark-Accent5">
    <w:name w:val="Grid Table 5 Dark Accent 5"/>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4F5F5"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18939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18939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18939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189394" w:themeFill="accent5"/>
      </w:tcPr>
    </w:tblStylePr>
    <w:tblStylePr w:type="band1Vert">
      <w:tblPr/>
      <w:tcPr>
        <w:shd w:val="clear" w:color="auto" w:fill="8AEBEC" w:themeFill="accent5" w:themeFillTint="66"/>
      </w:tcPr>
    </w:tblStylePr>
    <w:tblStylePr w:type="band1Horz">
      <w:tblPr/>
      <w:tcPr>
        <w:shd w:val="clear" w:color="auto" w:fill="8AEBEC" w:themeFill="accent5" w:themeFillTint="66"/>
      </w:tcPr>
    </w:tblStylePr>
  </w:style>
  <w:style w:type="table" w:styleId="GridTable5Dark-Accent6">
    <w:name w:val="Grid Table 5 Dark Accent 6"/>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6F7E5"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17A673"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17A673"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17A673"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17A673" w:themeFill="accent6"/>
      </w:tcPr>
    </w:tblStylePr>
    <w:tblStylePr w:type="band1Vert">
      <w:tblPr/>
      <w:tcPr>
        <w:shd w:val="clear" w:color="auto" w:fill="8EEFCC" w:themeFill="accent6" w:themeFillTint="66"/>
      </w:tcPr>
    </w:tblStylePr>
    <w:tblStylePr w:type="band1Horz">
      <w:tblPr/>
      <w:tcPr>
        <w:shd w:val="clear" w:color="auto" w:fill="8EEFCC" w:themeFill="accent6" w:themeFillTint="66"/>
      </w:tcPr>
    </w:tblStylePr>
  </w:style>
  <w:style w:type="table" w:styleId="GridTable6Colorful">
    <w:name w:val="Grid Table 6 Colorful"/>
    <w:basedOn w:val="TableNormal"/>
    <w:rsid w:val="00570E30"/>
    <w:rPr>
      <w:rFonts w:asciiTheme="minorHAnsi" w:eastAsiaTheme="minorHAnsi" w:hAnsiTheme="minorHAnsi" w:cstheme="minorBidi"/>
      <w:color w:val="000000" w:themeColor="text1"/>
      <w:sz w:val="22"/>
      <w:szCs w:val="22"/>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6Colorful-Accent1">
    <w:name w:val="Grid Table 6 Colorful Accent 1"/>
    <w:basedOn w:val="TableNormal"/>
    <w:rsid w:val="00570E30"/>
    <w:rPr>
      <w:rFonts w:asciiTheme="minorHAnsi" w:eastAsiaTheme="minorHAnsi" w:hAnsiTheme="minorHAnsi" w:cstheme="minorBidi"/>
      <w:color w:val="081E36" w:themeColor="accent1" w:themeShade="BF"/>
      <w:sz w:val="22"/>
      <w:szCs w:val="22"/>
    </w:rPr>
    <w:tblPr>
      <w:tblStyleRowBandSize w:val="1"/>
      <w:tblStyleColBandSize w:val="1"/>
      <w:tblBorders>
        <w:top w:val="single" w:sz="4" w:space="0" w:color="217BDD" w:themeColor="accent1" w:themeTint="99"/>
        <w:left w:val="single" w:sz="4" w:space="0" w:color="217BDD" w:themeColor="accent1" w:themeTint="99"/>
        <w:bottom w:val="single" w:sz="4" w:space="0" w:color="217BDD" w:themeColor="accent1" w:themeTint="99"/>
        <w:right w:val="single" w:sz="4" w:space="0" w:color="217BDD" w:themeColor="accent1" w:themeTint="99"/>
        <w:insideH w:val="single" w:sz="4" w:space="0" w:color="217BDD" w:themeColor="accent1" w:themeTint="99"/>
        <w:insideV w:val="single" w:sz="4" w:space="0" w:color="217BDD" w:themeColor="accent1" w:themeTint="99"/>
      </w:tblBorders>
    </w:tblPr>
    <w:tblStylePr w:type="firstRow">
      <w:rPr>
        <w:b/>
        <w:bCs/>
      </w:rPr>
      <w:tblPr/>
      <w:tcPr>
        <w:tcBorders>
          <w:bottom w:val="single" w:sz="12" w:space="0" w:color="217BDD" w:themeColor="accent1" w:themeTint="99"/>
        </w:tcBorders>
      </w:tcPr>
    </w:tblStylePr>
    <w:tblStylePr w:type="lastRow">
      <w:rPr>
        <w:b/>
        <w:bCs/>
      </w:rPr>
      <w:tblPr/>
      <w:tcPr>
        <w:tcBorders>
          <w:top w:val="double" w:sz="4" w:space="0" w:color="217BDD" w:themeColor="accent1" w:themeTint="99"/>
        </w:tcBorders>
      </w:tcPr>
    </w:tblStylePr>
    <w:tblStylePr w:type="firstCol">
      <w:rPr>
        <w:b/>
        <w:bCs/>
      </w:rPr>
    </w:tblStylePr>
    <w:tblStylePr w:type="lastCol">
      <w:rPr>
        <w:b/>
        <w:bCs/>
      </w:rPr>
    </w:tblStylePr>
    <w:tblStylePr w:type="band1Vert">
      <w:tblPr/>
      <w:tcPr>
        <w:shd w:val="clear" w:color="auto" w:fill="B4D3F3" w:themeFill="accent1" w:themeFillTint="33"/>
      </w:tcPr>
    </w:tblStylePr>
    <w:tblStylePr w:type="band1Horz">
      <w:tblPr/>
      <w:tcPr>
        <w:shd w:val="clear" w:color="auto" w:fill="B4D3F3" w:themeFill="accent1" w:themeFillTint="33"/>
      </w:tcPr>
    </w:tblStylePr>
  </w:style>
  <w:style w:type="table" w:styleId="GridTable6Colorful-Accent2">
    <w:name w:val="Grid Table 6 Colorful Accent 2"/>
    <w:basedOn w:val="TableNormal"/>
    <w:rsid w:val="00570E30"/>
    <w:rPr>
      <w:rFonts w:asciiTheme="minorHAnsi" w:eastAsiaTheme="minorHAnsi" w:hAnsiTheme="minorHAnsi" w:cstheme="minorBidi"/>
      <w:color w:val="9B201D" w:themeColor="accent2" w:themeShade="BF"/>
      <w:sz w:val="22"/>
      <w:szCs w:val="22"/>
    </w:rPr>
    <w:tblPr>
      <w:tblStyleRowBandSize w:val="1"/>
      <w:tblStyleColBandSize w:val="1"/>
      <w:tblBorders>
        <w:top w:val="single" w:sz="4" w:space="0" w:color="E67C79" w:themeColor="accent2" w:themeTint="99"/>
        <w:left w:val="single" w:sz="4" w:space="0" w:color="E67C79" w:themeColor="accent2" w:themeTint="99"/>
        <w:bottom w:val="single" w:sz="4" w:space="0" w:color="E67C79" w:themeColor="accent2" w:themeTint="99"/>
        <w:right w:val="single" w:sz="4" w:space="0" w:color="E67C79" w:themeColor="accent2" w:themeTint="99"/>
        <w:insideH w:val="single" w:sz="4" w:space="0" w:color="E67C79" w:themeColor="accent2" w:themeTint="99"/>
        <w:insideV w:val="single" w:sz="4" w:space="0" w:color="E67C79" w:themeColor="accent2" w:themeTint="99"/>
      </w:tblBorders>
    </w:tblPr>
    <w:tblStylePr w:type="firstRow">
      <w:rPr>
        <w:b/>
        <w:bCs/>
      </w:rPr>
      <w:tblPr/>
      <w:tcPr>
        <w:tcBorders>
          <w:bottom w:val="single" w:sz="12" w:space="0" w:color="E67C79" w:themeColor="accent2" w:themeTint="99"/>
        </w:tcBorders>
      </w:tcPr>
    </w:tblStylePr>
    <w:tblStylePr w:type="lastRow">
      <w:rPr>
        <w:b/>
        <w:bCs/>
      </w:rPr>
      <w:tblPr/>
      <w:tcPr>
        <w:tcBorders>
          <w:top w:val="double" w:sz="4" w:space="0" w:color="E67C79" w:themeColor="accent2" w:themeTint="99"/>
        </w:tcBorders>
      </w:tcPr>
    </w:tblStylePr>
    <w:tblStylePr w:type="firstCol">
      <w:rPr>
        <w:b/>
        <w:bCs/>
      </w:rPr>
    </w:tblStylePr>
    <w:tblStylePr w:type="lastCol">
      <w:rPr>
        <w:b/>
        <w:bCs/>
      </w:rPr>
    </w:tblStylePr>
    <w:tblStylePr w:type="band1Vert">
      <w:tblPr/>
      <w:tcPr>
        <w:shd w:val="clear" w:color="auto" w:fill="F6D3D2" w:themeFill="accent2" w:themeFillTint="33"/>
      </w:tcPr>
    </w:tblStylePr>
    <w:tblStylePr w:type="band1Horz">
      <w:tblPr/>
      <w:tcPr>
        <w:shd w:val="clear" w:color="auto" w:fill="F6D3D2" w:themeFill="accent2" w:themeFillTint="33"/>
      </w:tcPr>
    </w:tblStylePr>
  </w:style>
  <w:style w:type="table" w:styleId="GridTable6Colorful-Accent3">
    <w:name w:val="Grid Table 6 Colorful Accent 3"/>
    <w:basedOn w:val="TableNormal"/>
    <w:rsid w:val="00570E30"/>
    <w:rPr>
      <w:rFonts w:asciiTheme="minorHAnsi" w:eastAsiaTheme="minorHAnsi" w:hAnsiTheme="minorHAnsi" w:cstheme="minorBidi"/>
      <w:color w:val="444D54" w:themeColor="accent3" w:themeShade="BF"/>
      <w:sz w:val="22"/>
      <w:szCs w:val="22"/>
    </w:rPr>
    <w:tblPr>
      <w:tblStyleRowBandSize w:val="1"/>
      <w:tblStyleColBandSize w:val="1"/>
      <w:tblBorders>
        <w:top w:val="single" w:sz="4" w:space="0" w:color="99A4AD" w:themeColor="accent3" w:themeTint="99"/>
        <w:left w:val="single" w:sz="4" w:space="0" w:color="99A4AD" w:themeColor="accent3" w:themeTint="99"/>
        <w:bottom w:val="single" w:sz="4" w:space="0" w:color="99A4AD" w:themeColor="accent3" w:themeTint="99"/>
        <w:right w:val="single" w:sz="4" w:space="0" w:color="99A4AD" w:themeColor="accent3" w:themeTint="99"/>
        <w:insideH w:val="single" w:sz="4" w:space="0" w:color="99A4AD" w:themeColor="accent3" w:themeTint="99"/>
        <w:insideV w:val="single" w:sz="4" w:space="0" w:color="99A4AD" w:themeColor="accent3" w:themeTint="99"/>
      </w:tblBorders>
    </w:tblPr>
    <w:tblStylePr w:type="firstRow">
      <w:rPr>
        <w:b/>
        <w:bCs/>
      </w:rPr>
      <w:tblPr/>
      <w:tcPr>
        <w:tcBorders>
          <w:bottom w:val="single" w:sz="12" w:space="0" w:color="99A4AD" w:themeColor="accent3" w:themeTint="99"/>
        </w:tcBorders>
      </w:tcPr>
    </w:tblStylePr>
    <w:tblStylePr w:type="lastRow">
      <w:rPr>
        <w:b/>
        <w:bCs/>
      </w:rPr>
      <w:tblPr/>
      <w:tcPr>
        <w:tcBorders>
          <w:top w:val="double" w:sz="4" w:space="0" w:color="99A4AD" w:themeColor="accent3" w:themeTint="99"/>
        </w:tcBorders>
      </w:tcPr>
    </w:tblStylePr>
    <w:tblStylePr w:type="firstCol">
      <w:rPr>
        <w:b/>
        <w:bCs/>
      </w:rPr>
    </w:tblStylePr>
    <w:tblStylePr w:type="lastCol">
      <w:rPr>
        <w:b/>
        <w:bCs/>
      </w:rPr>
    </w:tblStylePr>
    <w:tblStylePr w:type="band1Vert">
      <w:tblPr/>
      <w:tcPr>
        <w:shd w:val="clear" w:color="auto" w:fill="DDE0E3" w:themeFill="accent3" w:themeFillTint="33"/>
      </w:tcPr>
    </w:tblStylePr>
    <w:tblStylePr w:type="band1Horz">
      <w:tblPr/>
      <w:tcPr>
        <w:shd w:val="clear" w:color="auto" w:fill="DDE0E3" w:themeFill="accent3" w:themeFillTint="33"/>
      </w:tcPr>
    </w:tblStylePr>
  </w:style>
  <w:style w:type="table" w:styleId="GridTable6Colorful-Accent4">
    <w:name w:val="Grid Table 6 Colorful Accent 4"/>
    <w:basedOn w:val="TableNormal"/>
    <w:rsid w:val="00570E30"/>
    <w:rPr>
      <w:rFonts w:asciiTheme="minorHAnsi" w:eastAsiaTheme="minorHAnsi" w:hAnsiTheme="minorHAnsi" w:cstheme="minorBidi"/>
      <w:color w:val="BD8B0B" w:themeColor="accent4" w:themeShade="BF"/>
      <w:sz w:val="22"/>
      <w:szCs w:val="22"/>
    </w:rPr>
    <w:tblPr>
      <w:tblStyleRowBandSize w:val="1"/>
      <w:tblStyleColBandSize w:val="1"/>
      <w:tblBorders>
        <w:top w:val="single" w:sz="4" w:space="0" w:color="F6D276" w:themeColor="accent4" w:themeTint="99"/>
        <w:left w:val="single" w:sz="4" w:space="0" w:color="F6D276" w:themeColor="accent4" w:themeTint="99"/>
        <w:bottom w:val="single" w:sz="4" w:space="0" w:color="F6D276" w:themeColor="accent4" w:themeTint="99"/>
        <w:right w:val="single" w:sz="4" w:space="0" w:color="F6D276" w:themeColor="accent4" w:themeTint="99"/>
        <w:insideH w:val="single" w:sz="4" w:space="0" w:color="F6D276" w:themeColor="accent4" w:themeTint="99"/>
        <w:insideV w:val="single" w:sz="4" w:space="0" w:color="F6D276" w:themeColor="accent4" w:themeTint="99"/>
      </w:tblBorders>
    </w:tblPr>
    <w:tblStylePr w:type="firstRow">
      <w:rPr>
        <w:b/>
        <w:bCs/>
      </w:rPr>
      <w:tblPr/>
      <w:tcPr>
        <w:tcBorders>
          <w:bottom w:val="single" w:sz="12" w:space="0" w:color="F6D276" w:themeColor="accent4" w:themeTint="99"/>
        </w:tcBorders>
      </w:tcPr>
    </w:tblStylePr>
    <w:tblStylePr w:type="lastRow">
      <w:rPr>
        <w:b/>
        <w:bCs/>
      </w:rPr>
      <w:tblPr/>
      <w:tcPr>
        <w:tcBorders>
          <w:top w:val="double" w:sz="4" w:space="0" w:color="F6D276" w:themeColor="accent4" w:themeTint="99"/>
        </w:tcBorders>
      </w:tcPr>
    </w:tblStylePr>
    <w:tblStylePr w:type="firstCol">
      <w:rPr>
        <w:b/>
        <w:bCs/>
      </w:rPr>
    </w:tblStylePr>
    <w:tblStylePr w:type="lastCol">
      <w:rPr>
        <w:b/>
        <w:bCs/>
      </w:rPr>
    </w:tblStylePr>
    <w:tblStylePr w:type="band1Vert">
      <w:tblPr/>
      <w:tcPr>
        <w:shd w:val="clear" w:color="auto" w:fill="FCF0D1" w:themeFill="accent4" w:themeFillTint="33"/>
      </w:tcPr>
    </w:tblStylePr>
    <w:tblStylePr w:type="band1Horz">
      <w:tblPr/>
      <w:tcPr>
        <w:shd w:val="clear" w:color="auto" w:fill="FCF0D1" w:themeFill="accent4" w:themeFillTint="33"/>
      </w:tcPr>
    </w:tblStylePr>
  </w:style>
  <w:style w:type="table" w:styleId="GridTable6Colorful-Accent5">
    <w:name w:val="Grid Table 6 Colorful Accent 5"/>
    <w:basedOn w:val="TableNormal"/>
    <w:rsid w:val="00570E30"/>
    <w:rPr>
      <w:rFonts w:asciiTheme="minorHAnsi" w:eastAsiaTheme="minorHAnsi" w:hAnsiTheme="minorHAnsi" w:cstheme="minorBidi"/>
      <w:color w:val="126D6E" w:themeColor="accent5" w:themeShade="BF"/>
      <w:sz w:val="22"/>
      <w:szCs w:val="22"/>
    </w:rPr>
    <w:tblPr>
      <w:tblStyleRowBandSize w:val="1"/>
      <w:tblStyleColBandSize w:val="1"/>
      <w:tblBorders>
        <w:top w:val="single" w:sz="4" w:space="0" w:color="50E1E2" w:themeColor="accent5" w:themeTint="99"/>
        <w:left w:val="single" w:sz="4" w:space="0" w:color="50E1E2" w:themeColor="accent5" w:themeTint="99"/>
        <w:bottom w:val="single" w:sz="4" w:space="0" w:color="50E1E2" w:themeColor="accent5" w:themeTint="99"/>
        <w:right w:val="single" w:sz="4" w:space="0" w:color="50E1E2" w:themeColor="accent5" w:themeTint="99"/>
        <w:insideH w:val="single" w:sz="4" w:space="0" w:color="50E1E2" w:themeColor="accent5" w:themeTint="99"/>
        <w:insideV w:val="single" w:sz="4" w:space="0" w:color="50E1E2" w:themeColor="accent5" w:themeTint="99"/>
      </w:tblBorders>
    </w:tblPr>
    <w:tblStylePr w:type="firstRow">
      <w:rPr>
        <w:b/>
        <w:bCs/>
      </w:rPr>
      <w:tblPr/>
      <w:tcPr>
        <w:tcBorders>
          <w:bottom w:val="single" w:sz="12" w:space="0" w:color="50E1E2" w:themeColor="accent5" w:themeTint="99"/>
        </w:tcBorders>
      </w:tcPr>
    </w:tblStylePr>
    <w:tblStylePr w:type="lastRow">
      <w:rPr>
        <w:b/>
        <w:bCs/>
      </w:rPr>
      <w:tblPr/>
      <w:tcPr>
        <w:tcBorders>
          <w:top w:val="double" w:sz="4" w:space="0" w:color="50E1E2" w:themeColor="accent5" w:themeTint="99"/>
        </w:tcBorders>
      </w:tcPr>
    </w:tblStylePr>
    <w:tblStylePr w:type="firstCol">
      <w:rPr>
        <w:b/>
        <w:bCs/>
      </w:rPr>
    </w:tblStylePr>
    <w:tblStylePr w:type="lastCol">
      <w:rPr>
        <w:b/>
        <w:bCs/>
      </w:rPr>
    </w:tblStylePr>
    <w:tblStylePr w:type="band1Vert">
      <w:tblPr/>
      <w:tcPr>
        <w:shd w:val="clear" w:color="auto" w:fill="C4F5F5" w:themeFill="accent5" w:themeFillTint="33"/>
      </w:tcPr>
    </w:tblStylePr>
    <w:tblStylePr w:type="band1Horz">
      <w:tblPr/>
      <w:tcPr>
        <w:shd w:val="clear" w:color="auto" w:fill="C4F5F5" w:themeFill="accent5" w:themeFillTint="33"/>
      </w:tcPr>
    </w:tblStylePr>
  </w:style>
  <w:style w:type="table" w:styleId="GridTable6Colorful-Accent6">
    <w:name w:val="Grid Table 6 Colorful Accent 6"/>
    <w:basedOn w:val="TableNormal"/>
    <w:rsid w:val="00570E30"/>
    <w:rPr>
      <w:rFonts w:asciiTheme="minorHAnsi" w:eastAsiaTheme="minorHAnsi" w:hAnsiTheme="minorHAnsi" w:cstheme="minorBidi"/>
      <w:color w:val="117C55" w:themeColor="accent6" w:themeShade="BF"/>
      <w:sz w:val="22"/>
      <w:szCs w:val="22"/>
    </w:rPr>
    <w:tblPr>
      <w:tblStyleRowBandSize w:val="1"/>
      <w:tblStyleColBandSize w:val="1"/>
      <w:tblBorders>
        <w:top w:val="single" w:sz="4" w:space="0" w:color="55E7B3" w:themeColor="accent6" w:themeTint="99"/>
        <w:left w:val="single" w:sz="4" w:space="0" w:color="55E7B3" w:themeColor="accent6" w:themeTint="99"/>
        <w:bottom w:val="single" w:sz="4" w:space="0" w:color="55E7B3" w:themeColor="accent6" w:themeTint="99"/>
        <w:right w:val="single" w:sz="4" w:space="0" w:color="55E7B3" w:themeColor="accent6" w:themeTint="99"/>
        <w:insideH w:val="single" w:sz="4" w:space="0" w:color="55E7B3" w:themeColor="accent6" w:themeTint="99"/>
        <w:insideV w:val="single" w:sz="4" w:space="0" w:color="55E7B3" w:themeColor="accent6" w:themeTint="99"/>
      </w:tblBorders>
    </w:tblPr>
    <w:tblStylePr w:type="firstRow">
      <w:rPr>
        <w:b/>
        <w:bCs/>
      </w:rPr>
      <w:tblPr/>
      <w:tcPr>
        <w:tcBorders>
          <w:bottom w:val="single" w:sz="12" w:space="0" w:color="55E7B3" w:themeColor="accent6" w:themeTint="99"/>
        </w:tcBorders>
      </w:tcPr>
    </w:tblStylePr>
    <w:tblStylePr w:type="lastRow">
      <w:rPr>
        <w:b/>
        <w:bCs/>
      </w:rPr>
      <w:tblPr/>
      <w:tcPr>
        <w:tcBorders>
          <w:top w:val="double" w:sz="4" w:space="0" w:color="55E7B3" w:themeColor="accent6" w:themeTint="99"/>
        </w:tcBorders>
      </w:tcPr>
    </w:tblStylePr>
    <w:tblStylePr w:type="firstCol">
      <w:rPr>
        <w:b/>
        <w:bCs/>
      </w:rPr>
    </w:tblStylePr>
    <w:tblStylePr w:type="lastCol">
      <w:rPr>
        <w:b/>
        <w:bCs/>
      </w:rPr>
    </w:tblStylePr>
    <w:tblStylePr w:type="band1Vert">
      <w:tblPr/>
      <w:tcPr>
        <w:shd w:val="clear" w:color="auto" w:fill="C6F7E5" w:themeFill="accent6" w:themeFillTint="33"/>
      </w:tcPr>
    </w:tblStylePr>
    <w:tblStylePr w:type="band1Horz">
      <w:tblPr/>
      <w:tcPr>
        <w:shd w:val="clear" w:color="auto" w:fill="C6F7E5" w:themeFill="accent6" w:themeFillTint="33"/>
      </w:tcPr>
    </w:tblStylePr>
  </w:style>
  <w:style w:type="table" w:styleId="GridTable7Colorful">
    <w:name w:val="Grid Table 7 Colorful"/>
    <w:basedOn w:val="TableNormal"/>
    <w:rsid w:val="00570E30"/>
    <w:rPr>
      <w:rFonts w:asciiTheme="minorHAnsi" w:eastAsiaTheme="minorHAnsi" w:hAnsiTheme="minorHAnsi" w:cstheme="minorBidi"/>
      <w:color w:val="000000" w:themeColor="text1"/>
      <w:sz w:val="22"/>
      <w:szCs w:val="22"/>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7Colorful-Accent1">
    <w:name w:val="Grid Table 7 Colorful Accent 1"/>
    <w:basedOn w:val="TableNormal"/>
    <w:rsid w:val="00570E30"/>
    <w:rPr>
      <w:rFonts w:asciiTheme="minorHAnsi" w:eastAsiaTheme="minorHAnsi" w:hAnsiTheme="minorHAnsi" w:cstheme="minorBidi"/>
      <w:color w:val="081E36" w:themeColor="accent1" w:themeShade="BF"/>
      <w:sz w:val="22"/>
      <w:szCs w:val="22"/>
    </w:rPr>
    <w:tblPr>
      <w:tblStyleRowBandSize w:val="1"/>
      <w:tblStyleColBandSize w:val="1"/>
      <w:tblBorders>
        <w:top w:val="single" w:sz="4" w:space="0" w:color="217BDD" w:themeColor="accent1" w:themeTint="99"/>
        <w:left w:val="single" w:sz="4" w:space="0" w:color="217BDD" w:themeColor="accent1" w:themeTint="99"/>
        <w:bottom w:val="single" w:sz="4" w:space="0" w:color="217BDD" w:themeColor="accent1" w:themeTint="99"/>
        <w:right w:val="single" w:sz="4" w:space="0" w:color="217BDD" w:themeColor="accent1" w:themeTint="99"/>
        <w:insideH w:val="single" w:sz="4" w:space="0" w:color="217BDD" w:themeColor="accent1" w:themeTint="99"/>
        <w:insideV w:val="single" w:sz="4" w:space="0" w:color="217BDD"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B4D3F3" w:themeFill="accent1" w:themeFillTint="33"/>
      </w:tcPr>
    </w:tblStylePr>
    <w:tblStylePr w:type="band1Horz">
      <w:tblPr/>
      <w:tcPr>
        <w:shd w:val="clear" w:color="auto" w:fill="B4D3F3" w:themeFill="accent1" w:themeFillTint="33"/>
      </w:tcPr>
    </w:tblStylePr>
    <w:tblStylePr w:type="neCell">
      <w:tblPr/>
      <w:tcPr>
        <w:tcBorders>
          <w:bottom w:val="single" w:sz="4" w:space="0" w:color="217BDD" w:themeColor="accent1" w:themeTint="99"/>
        </w:tcBorders>
      </w:tcPr>
    </w:tblStylePr>
    <w:tblStylePr w:type="nwCell">
      <w:tblPr/>
      <w:tcPr>
        <w:tcBorders>
          <w:bottom w:val="single" w:sz="4" w:space="0" w:color="217BDD" w:themeColor="accent1" w:themeTint="99"/>
        </w:tcBorders>
      </w:tcPr>
    </w:tblStylePr>
    <w:tblStylePr w:type="seCell">
      <w:tblPr/>
      <w:tcPr>
        <w:tcBorders>
          <w:top w:val="single" w:sz="4" w:space="0" w:color="217BDD" w:themeColor="accent1" w:themeTint="99"/>
        </w:tcBorders>
      </w:tcPr>
    </w:tblStylePr>
    <w:tblStylePr w:type="swCell">
      <w:tblPr/>
      <w:tcPr>
        <w:tcBorders>
          <w:top w:val="single" w:sz="4" w:space="0" w:color="217BDD" w:themeColor="accent1" w:themeTint="99"/>
        </w:tcBorders>
      </w:tcPr>
    </w:tblStylePr>
  </w:style>
  <w:style w:type="table" w:styleId="GridTable7Colorful-Accent2">
    <w:name w:val="Grid Table 7 Colorful Accent 2"/>
    <w:basedOn w:val="TableNormal"/>
    <w:rsid w:val="00570E30"/>
    <w:rPr>
      <w:rFonts w:asciiTheme="minorHAnsi" w:eastAsiaTheme="minorHAnsi" w:hAnsiTheme="minorHAnsi" w:cstheme="minorBidi"/>
      <w:color w:val="9B201D" w:themeColor="accent2" w:themeShade="BF"/>
      <w:sz w:val="22"/>
      <w:szCs w:val="22"/>
    </w:rPr>
    <w:tblPr>
      <w:tblStyleRowBandSize w:val="1"/>
      <w:tblStyleColBandSize w:val="1"/>
      <w:tblBorders>
        <w:top w:val="single" w:sz="4" w:space="0" w:color="E67C79" w:themeColor="accent2" w:themeTint="99"/>
        <w:left w:val="single" w:sz="4" w:space="0" w:color="E67C79" w:themeColor="accent2" w:themeTint="99"/>
        <w:bottom w:val="single" w:sz="4" w:space="0" w:color="E67C79" w:themeColor="accent2" w:themeTint="99"/>
        <w:right w:val="single" w:sz="4" w:space="0" w:color="E67C79" w:themeColor="accent2" w:themeTint="99"/>
        <w:insideH w:val="single" w:sz="4" w:space="0" w:color="E67C79" w:themeColor="accent2" w:themeTint="99"/>
        <w:insideV w:val="single" w:sz="4" w:space="0" w:color="E67C79"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6D3D2" w:themeFill="accent2" w:themeFillTint="33"/>
      </w:tcPr>
    </w:tblStylePr>
    <w:tblStylePr w:type="band1Horz">
      <w:tblPr/>
      <w:tcPr>
        <w:shd w:val="clear" w:color="auto" w:fill="F6D3D2" w:themeFill="accent2" w:themeFillTint="33"/>
      </w:tcPr>
    </w:tblStylePr>
    <w:tblStylePr w:type="neCell">
      <w:tblPr/>
      <w:tcPr>
        <w:tcBorders>
          <w:bottom w:val="single" w:sz="4" w:space="0" w:color="E67C79" w:themeColor="accent2" w:themeTint="99"/>
        </w:tcBorders>
      </w:tcPr>
    </w:tblStylePr>
    <w:tblStylePr w:type="nwCell">
      <w:tblPr/>
      <w:tcPr>
        <w:tcBorders>
          <w:bottom w:val="single" w:sz="4" w:space="0" w:color="E67C79" w:themeColor="accent2" w:themeTint="99"/>
        </w:tcBorders>
      </w:tcPr>
    </w:tblStylePr>
    <w:tblStylePr w:type="seCell">
      <w:tblPr/>
      <w:tcPr>
        <w:tcBorders>
          <w:top w:val="single" w:sz="4" w:space="0" w:color="E67C79" w:themeColor="accent2" w:themeTint="99"/>
        </w:tcBorders>
      </w:tcPr>
    </w:tblStylePr>
    <w:tblStylePr w:type="swCell">
      <w:tblPr/>
      <w:tcPr>
        <w:tcBorders>
          <w:top w:val="single" w:sz="4" w:space="0" w:color="E67C79" w:themeColor="accent2" w:themeTint="99"/>
        </w:tcBorders>
      </w:tcPr>
    </w:tblStylePr>
  </w:style>
  <w:style w:type="table" w:styleId="GridTable7Colorful-Accent3">
    <w:name w:val="Grid Table 7 Colorful Accent 3"/>
    <w:basedOn w:val="TableNormal"/>
    <w:rsid w:val="00570E30"/>
    <w:rPr>
      <w:rFonts w:asciiTheme="minorHAnsi" w:eastAsiaTheme="minorHAnsi" w:hAnsiTheme="minorHAnsi" w:cstheme="minorBidi"/>
      <w:color w:val="444D54" w:themeColor="accent3" w:themeShade="BF"/>
      <w:sz w:val="22"/>
      <w:szCs w:val="22"/>
    </w:rPr>
    <w:tblPr>
      <w:tblStyleRowBandSize w:val="1"/>
      <w:tblStyleColBandSize w:val="1"/>
      <w:tblBorders>
        <w:top w:val="single" w:sz="4" w:space="0" w:color="99A4AD" w:themeColor="accent3" w:themeTint="99"/>
        <w:left w:val="single" w:sz="4" w:space="0" w:color="99A4AD" w:themeColor="accent3" w:themeTint="99"/>
        <w:bottom w:val="single" w:sz="4" w:space="0" w:color="99A4AD" w:themeColor="accent3" w:themeTint="99"/>
        <w:right w:val="single" w:sz="4" w:space="0" w:color="99A4AD" w:themeColor="accent3" w:themeTint="99"/>
        <w:insideH w:val="single" w:sz="4" w:space="0" w:color="99A4AD" w:themeColor="accent3" w:themeTint="99"/>
        <w:insideV w:val="single" w:sz="4" w:space="0" w:color="99A4AD"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DE0E3" w:themeFill="accent3" w:themeFillTint="33"/>
      </w:tcPr>
    </w:tblStylePr>
    <w:tblStylePr w:type="band1Horz">
      <w:tblPr/>
      <w:tcPr>
        <w:shd w:val="clear" w:color="auto" w:fill="DDE0E3" w:themeFill="accent3" w:themeFillTint="33"/>
      </w:tcPr>
    </w:tblStylePr>
    <w:tblStylePr w:type="neCell">
      <w:tblPr/>
      <w:tcPr>
        <w:tcBorders>
          <w:bottom w:val="single" w:sz="4" w:space="0" w:color="99A4AD" w:themeColor="accent3" w:themeTint="99"/>
        </w:tcBorders>
      </w:tcPr>
    </w:tblStylePr>
    <w:tblStylePr w:type="nwCell">
      <w:tblPr/>
      <w:tcPr>
        <w:tcBorders>
          <w:bottom w:val="single" w:sz="4" w:space="0" w:color="99A4AD" w:themeColor="accent3" w:themeTint="99"/>
        </w:tcBorders>
      </w:tcPr>
    </w:tblStylePr>
    <w:tblStylePr w:type="seCell">
      <w:tblPr/>
      <w:tcPr>
        <w:tcBorders>
          <w:top w:val="single" w:sz="4" w:space="0" w:color="99A4AD" w:themeColor="accent3" w:themeTint="99"/>
        </w:tcBorders>
      </w:tcPr>
    </w:tblStylePr>
    <w:tblStylePr w:type="swCell">
      <w:tblPr/>
      <w:tcPr>
        <w:tcBorders>
          <w:top w:val="single" w:sz="4" w:space="0" w:color="99A4AD" w:themeColor="accent3" w:themeTint="99"/>
        </w:tcBorders>
      </w:tcPr>
    </w:tblStylePr>
  </w:style>
  <w:style w:type="table" w:styleId="GridTable7Colorful-Accent4">
    <w:name w:val="Grid Table 7 Colorful Accent 4"/>
    <w:basedOn w:val="TableNormal"/>
    <w:rsid w:val="00570E30"/>
    <w:rPr>
      <w:rFonts w:asciiTheme="minorHAnsi" w:eastAsiaTheme="minorHAnsi" w:hAnsiTheme="minorHAnsi" w:cstheme="minorBidi"/>
      <w:color w:val="BD8B0B" w:themeColor="accent4" w:themeShade="BF"/>
      <w:sz w:val="22"/>
      <w:szCs w:val="22"/>
    </w:rPr>
    <w:tblPr>
      <w:tblStyleRowBandSize w:val="1"/>
      <w:tblStyleColBandSize w:val="1"/>
      <w:tblBorders>
        <w:top w:val="single" w:sz="4" w:space="0" w:color="F6D276" w:themeColor="accent4" w:themeTint="99"/>
        <w:left w:val="single" w:sz="4" w:space="0" w:color="F6D276" w:themeColor="accent4" w:themeTint="99"/>
        <w:bottom w:val="single" w:sz="4" w:space="0" w:color="F6D276" w:themeColor="accent4" w:themeTint="99"/>
        <w:right w:val="single" w:sz="4" w:space="0" w:color="F6D276" w:themeColor="accent4" w:themeTint="99"/>
        <w:insideH w:val="single" w:sz="4" w:space="0" w:color="F6D276" w:themeColor="accent4" w:themeTint="99"/>
        <w:insideV w:val="single" w:sz="4" w:space="0" w:color="F6D276"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CF0D1" w:themeFill="accent4" w:themeFillTint="33"/>
      </w:tcPr>
    </w:tblStylePr>
    <w:tblStylePr w:type="band1Horz">
      <w:tblPr/>
      <w:tcPr>
        <w:shd w:val="clear" w:color="auto" w:fill="FCF0D1" w:themeFill="accent4" w:themeFillTint="33"/>
      </w:tcPr>
    </w:tblStylePr>
    <w:tblStylePr w:type="neCell">
      <w:tblPr/>
      <w:tcPr>
        <w:tcBorders>
          <w:bottom w:val="single" w:sz="4" w:space="0" w:color="F6D276" w:themeColor="accent4" w:themeTint="99"/>
        </w:tcBorders>
      </w:tcPr>
    </w:tblStylePr>
    <w:tblStylePr w:type="nwCell">
      <w:tblPr/>
      <w:tcPr>
        <w:tcBorders>
          <w:bottom w:val="single" w:sz="4" w:space="0" w:color="F6D276" w:themeColor="accent4" w:themeTint="99"/>
        </w:tcBorders>
      </w:tcPr>
    </w:tblStylePr>
    <w:tblStylePr w:type="seCell">
      <w:tblPr/>
      <w:tcPr>
        <w:tcBorders>
          <w:top w:val="single" w:sz="4" w:space="0" w:color="F6D276" w:themeColor="accent4" w:themeTint="99"/>
        </w:tcBorders>
      </w:tcPr>
    </w:tblStylePr>
    <w:tblStylePr w:type="swCell">
      <w:tblPr/>
      <w:tcPr>
        <w:tcBorders>
          <w:top w:val="single" w:sz="4" w:space="0" w:color="F6D276" w:themeColor="accent4" w:themeTint="99"/>
        </w:tcBorders>
      </w:tcPr>
    </w:tblStylePr>
  </w:style>
  <w:style w:type="table" w:styleId="GridTable7Colorful-Accent5">
    <w:name w:val="Grid Table 7 Colorful Accent 5"/>
    <w:basedOn w:val="TableNormal"/>
    <w:rsid w:val="00570E30"/>
    <w:rPr>
      <w:rFonts w:asciiTheme="minorHAnsi" w:eastAsiaTheme="minorHAnsi" w:hAnsiTheme="minorHAnsi" w:cstheme="minorBidi"/>
      <w:color w:val="126D6E" w:themeColor="accent5" w:themeShade="BF"/>
      <w:sz w:val="22"/>
      <w:szCs w:val="22"/>
    </w:rPr>
    <w:tblPr>
      <w:tblStyleRowBandSize w:val="1"/>
      <w:tblStyleColBandSize w:val="1"/>
      <w:tblBorders>
        <w:top w:val="single" w:sz="4" w:space="0" w:color="50E1E2" w:themeColor="accent5" w:themeTint="99"/>
        <w:left w:val="single" w:sz="4" w:space="0" w:color="50E1E2" w:themeColor="accent5" w:themeTint="99"/>
        <w:bottom w:val="single" w:sz="4" w:space="0" w:color="50E1E2" w:themeColor="accent5" w:themeTint="99"/>
        <w:right w:val="single" w:sz="4" w:space="0" w:color="50E1E2" w:themeColor="accent5" w:themeTint="99"/>
        <w:insideH w:val="single" w:sz="4" w:space="0" w:color="50E1E2" w:themeColor="accent5" w:themeTint="99"/>
        <w:insideV w:val="single" w:sz="4" w:space="0" w:color="50E1E2"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4F5F5" w:themeFill="accent5" w:themeFillTint="33"/>
      </w:tcPr>
    </w:tblStylePr>
    <w:tblStylePr w:type="band1Horz">
      <w:tblPr/>
      <w:tcPr>
        <w:shd w:val="clear" w:color="auto" w:fill="C4F5F5" w:themeFill="accent5" w:themeFillTint="33"/>
      </w:tcPr>
    </w:tblStylePr>
    <w:tblStylePr w:type="neCell">
      <w:tblPr/>
      <w:tcPr>
        <w:tcBorders>
          <w:bottom w:val="single" w:sz="4" w:space="0" w:color="50E1E2" w:themeColor="accent5" w:themeTint="99"/>
        </w:tcBorders>
      </w:tcPr>
    </w:tblStylePr>
    <w:tblStylePr w:type="nwCell">
      <w:tblPr/>
      <w:tcPr>
        <w:tcBorders>
          <w:bottom w:val="single" w:sz="4" w:space="0" w:color="50E1E2" w:themeColor="accent5" w:themeTint="99"/>
        </w:tcBorders>
      </w:tcPr>
    </w:tblStylePr>
    <w:tblStylePr w:type="seCell">
      <w:tblPr/>
      <w:tcPr>
        <w:tcBorders>
          <w:top w:val="single" w:sz="4" w:space="0" w:color="50E1E2" w:themeColor="accent5" w:themeTint="99"/>
        </w:tcBorders>
      </w:tcPr>
    </w:tblStylePr>
    <w:tblStylePr w:type="swCell">
      <w:tblPr/>
      <w:tcPr>
        <w:tcBorders>
          <w:top w:val="single" w:sz="4" w:space="0" w:color="50E1E2" w:themeColor="accent5" w:themeTint="99"/>
        </w:tcBorders>
      </w:tcPr>
    </w:tblStylePr>
  </w:style>
  <w:style w:type="table" w:styleId="GridTable7Colorful-Accent6">
    <w:name w:val="Grid Table 7 Colorful Accent 6"/>
    <w:basedOn w:val="TableNormal"/>
    <w:rsid w:val="00570E30"/>
    <w:rPr>
      <w:rFonts w:asciiTheme="minorHAnsi" w:eastAsiaTheme="minorHAnsi" w:hAnsiTheme="minorHAnsi" w:cstheme="minorBidi"/>
      <w:color w:val="117C55" w:themeColor="accent6" w:themeShade="BF"/>
      <w:sz w:val="22"/>
      <w:szCs w:val="22"/>
    </w:rPr>
    <w:tblPr>
      <w:tblStyleRowBandSize w:val="1"/>
      <w:tblStyleColBandSize w:val="1"/>
      <w:tblBorders>
        <w:top w:val="single" w:sz="4" w:space="0" w:color="55E7B3" w:themeColor="accent6" w:themeTint="99"/>
        <w:left w:val="single" w:sz="4" w:space="0" w:color="55E7B3" w:themeColor="accent6" w:themeTint="99"/>
        <w:bottom w:val="single" w:sz="4" w:space="0" w:color="55E7B3" w:themeColor="accent6" w:themeTint="99"/>
        <w:right w:val="single" w:sz="4" w:space="0" w:color="55E7B3" w:themeColor="accent6" w:themeTint="99"/>
        <w:insideH w:val="single" w:sz="4" w:space="0" w:color="55E7B3" w:themeColor="accent6" w:themeTint="99"/>
        <w:insideV w:val="single" w:sz="4" w:space="0" w:color="55E7B3"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6F7E5" w:themeFill="accent6" w:themeFillTint="33"/>
      </w:tcPr>
    </w:tblStylePr>
    <w:tblStylePr w:type="band1Horz">
      <w:tblPr/>
      <w:tcPr>
        <w:shd w:val="clear" w:color="auto" w:fill="C6F7E5" w:themeFill="accent6" w:themeFillTint="33"/>
      </w:tcPr>
    </w:tblStylePr>
    <w:tblStylePr w:type="neCell">
      <w:tblPr/>
      <w:tcPr>
        <w:tcBorders>
          <w:bottom w:val="single" w:sz="4" w:space="0" w:color="55E7B3" w:themeColor="accent6" w:themeTint="99"/>
        </w:tcBorders>
      </w:tcPr>
    </w:tblStylePr>
    <w:tblStylePr w:type="nwCell">
      <w:tblPr/>
      <w:tcPr>
        <w:tcBorders>
          <w:bottom w:val="single" w:sz="4" w:space="0" w:color="55E7B3" w:themeColor="accent6" w:themeTint="99"/>
        </w:tcBorders>
      </w:tcPr>
    </w:tblStylePr>
    <w:tblStylePr w:type="seCell">
      <w:tblPr/>
      <w:tcPr>
        <w:tcBorders>
          <w:top w:val="single" w:sz="4" w:space="0" w:color="55E7B3" w:themeColor="accent6" w:themeTint="99"/>
        </w:tcBorders>
      </w:tcPr>
    </w:tblStylePr>
    <w:tblStylePr w:type="swCell">
      <w:tblPr/>
      <w:tcPr>
        <w:tcBorders>
          <w:top w:val="single" w:sz="4" w:space="0" w:color="55E7B3" w:themeColor="accent6" w:themeTint="99"/>
        </w:tcBorders>
      </w:tcPr>
    </w:tblStylePr>
  </w:style>
  <w:style w:type="character" w:styleId="Hashtag">
    <w:name w:val="Hashtag"/>
    <w:basedOn w:val="DefaultParagraphFont"/>
    <w:qFormat/>
    <w:rsid w:val="00570E30"/>
    <w:rPr>
      <w:color w:val="2B579A"/>
      <w:shd w:val="clear" w:color="auto" w:fill="E1DFDD"/>
    </w:rPr>
  </w:style>
  <w:style w:type="character" w:styleId="HTMLAcronym">
    <w:name w:val="HTML Acronym"/>
    <w:basedOn w:val="DefaultParagraphFont"/>
    <w:qFormat/>
    <w:rsid w:val="00570E30"/>
  </w:style>
  <w:style w:type="paragraph" w:styleId="HTMLAddress">
    <w:name w:val="HTML Address"/>
    <w:basedOn w:val="Normal"/>
    <w:link w:val="HTMLAddressChar"/>
    <w:qFormat/>
    <w:rsid w:val="00570E30"/>
    <w:pPr>
      <w:spacing w:after="0" w:line="240" w:lineRule="auto"/>
    </w:pPr>
    <w:rPr>
      <w:i/>
      <w:iCs/>
    </w:rPr>
  </w:style>
  <w:style w:type="character" w:customStyle="1" w:styleId="HTMLAddressChar">
    <w:name w:val="HTML Address Char"/>
    <w:basedOn w:val="DefaultParagraphFont"/>
    <w:link w:val="HTMLAddress"/>
    <w:semiHidden/>
    <w:rsid w:val="00570E30"/>
    <w:rPr>
      <w:rFonts w:asciiTheme="minorHAnsi" w:eastAsiaTheme="minorHAnsi" w:hAnsiTheme="minorHAnsi" w:cstheme="minorBidi"/>
      <w:i/>
      <w:iCs/>
      <w:szCs w:val="22"/>
    </w:rPr>
  </w:style>
  <w:style w:type="character" w:styleId="HTMLCite">
    <w:name w:val="HTML Cite"/>
    <w:basedOn w:val="DefaultParagraphFont"/>
    <w:qFormat/>
    <w:rsid w:val="00570E30"/>
    <w:rPr>
      <w:i/>
      <w:iCs/>
    </w:rPr>
  </w:style>
  <w:style w:type="character" w:styleId="HTMLCode">
    <w:name w:val="HTML Code"/>
    <w:basedOn w:val="DefaultParagraphFont"/>
    <w:qFormat/>
    <w:rsid w:val="00570E30"/>
    <w:rPr>
      <w:rFonts w:ascii="Consolas" w:hAnsi="Consolas"/>
      <w:sz w:val="20"/>
      <w:szCs w:val="20"/>
    </w:rPr>
  </w:style>
  <w:style w:type="character" w:styleId="HTMLDefinition">
    <w:name w:val="HTML Definition"/>
    <w:basedOn w:val="DefaultParagraphFont"/>
    <w:qFormat/>
    <w:rsid w:val="00570E30"/>
    <w:rPr>
      <w:i/>
      <w:iCs/>
    </w:rPr>
  </w:style>
  <w:style w:type="character" w:styleId="HTMLKeyboard">
    <w:name w:val="HTML Keyboard"/>
    <w:basedOn w:val="DefaultParagraphFont"/>
    <w:qFormat/>
    <w:rsid w:val="00570E30"/>
    <w:rPr>
      <w:rFonts w:ascii="Consolas" w:hAnsi="Consolas"/>
      <w:sz w:val="20"/>
      <w:szCs w:val="20"/>
    </w:rPr>
  </w:style>
  <w:style w:type="character" w:styleId="HTMLSample">
    <w:name w:val="HTML Sample"/>
    <w:basedOn w:val="DefaultParagraphFont"/>
    <w:qFormat/>
    <w:rsid w:val="00570E30"/>
    <w:rPr>
      <w:rFonts w:ascii="Consolas" w:hAnsi="Consolas"/>
      <w:sz w:val="24"/>
      <w:szCs w:val="24"/>
    </w:rPr>
  </w:style>
  <w:style w:type="character" w:styleId="HTMLTypewriter">
    <w:name w:val="HTML Typewriter"/>
    <w:basedOn w:val="DefaultParagraphFont"/>
    <w:unhideWhenUsed/>
    <w:qFormat/>
    <w:rsid w:val="00570E30"/>
    <w:rPr>
      <w:rFonts w:ascii="Consolas" w:hAnsi="Consolas"/>
      <w:sz w:val="20"/>
      <w:szCs w:val="20"/>
    </w:rPr>
  </w:style>
  <w:style w:type="character" w:styleId="HTMLVariable">
    <w:name w:val="HTML Variable"/>
    <w:basedOn w:val="DefaultParagraphFont"/>
    <w:unhideWhenUsed/>
    <w:qFormat/>
    <w:rsid w:val="00570E30"/>
    <w:rPr>
      <w:i/>
      <w:iCs/>
    </w:rPr>
  </w:style>
  <w:style w:type="character" w:styleId="IntenseEmphasis">
    <w:name w:val="Intense Emphasis"/>
    <w:basedOn w:val="DefaultParagraphFont"/>
    <w:qFormat/>
    <w:rsid w:val="00570E30"/>
    <w:rPr>
      <w:i/>
      <w:iCs/>
      <w:color w:val="0B2949" w:themeColor="accent1"/>
    </w:rPr>
  </w:style>
  <w:style w:type="paragraph" w:styleId="IntenseQuote">
    <w:name w:val="Intense Quote"/>
    <w:basedOn w:val="Normal"/>
    <w:next w:val="Normal"/>
    <w:link w:val="IntenseQuoteChar"/>
    <w:qFormat/>
    <w:rsid w:val="00570E30"/>
    <w:pPr>
      <w:pBdr>
        <w:top w:val="single" w:sz="4" w:space="10" w:color="0B2949" w:themeColor="accent1"/>
        <w:bottom w:val="single" w:sz="4" w:space="10" w:color="0B2949" w:themeColor="accent1"/>
      </w:pBdr>
      <w:spacing w:before="360" w:after="360"/>
      <w:ind w:left="864" w:right="864"/>
      <w:jc w:val="center"/>
    </w:pPr>
    <w:rPr>
      <w:i/>
      <w:iCs/>
      <w:color w:val="0B2949" w:themeColor="accent1"/>
    </w:rPr>
  </w:style>
  <w:style w:type="character" w:customStyle="1" w:styleId="IntenseQuoteChar">
    <w:name w:val="Intense Quote Char"/>
    <w:basedOn w:val="DefaultParagraphFont"/>
    <w:link w:val="IntenseQuote"/>
    <w:rsid w:val="00570E30"/>
    <w:rPr>
      <w:rFonts w:asciiTheme="minorHAnsi" w:eastAsiaTheme="minorHAnsi" w:hAnsiTheme="minorHAnsi" w:cstheme="minorBidi"/>
      <w:i/>
      <w:iCs/>
      <w:color w:val="0B2949" w:themeColor="accent1"/>
      <w:szCs w:val="22"/>
    </w:rPr>
  </w:style>
  <w:style w:type="character" w:styleId="IntenseReference">
    <w:name w:val="Intense Reference"/>
    <w:basedOn w:val="DefaultParagraphFont"/>
    <w:qFormat/>
    <w:rsid w:val="00570E30"/>
    <w:rPr>
      <w:b/>
      <w:bCs/>
      <w:smallCaps/>
      <w:color w:val="0B2949" w:themeColor="accent1"/>
      <w:spacing w:val="5"/>
    </w:rPr>
  </w:style>
  <w:style w:type="table" w:styleId="LightGrid">
    <w:name w:val="Light Grid"/>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0B2949" w:themeColor="accent1"/>
        <w:left w:val="single" w:sz="8" w:space="0" w:color="0B2949" w:themeColor="accent1"/>
        <w:bottom w:val="single" w:sz="8" w:space="0" w:color="0B2949" w:themeColor="accent1"/>
        <w:right w:val="single" w:sz="8" w:space="0" w:color="0B2949" w:themeColor="accent1"/>
        <w:insideH w:val="single" w:sz="8" w:space="0" w:color="0B2949" w:themeColor="accent1"/>
        <w:insideV w:val="single" w:sz="8" w:space="0" w:color="0B2949"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B2949" w:themeColor="accent1"/>
          <w:left w:val="single" w:sz="8" w:space="0" w:color="0B2949" w:themeColor="accent1"/>
          <w:bottom w:val="single" w:sz="18" w:space="0" w:color="0B2949" w:themeColor="accent1"/>
          <w:right w:val="single" w:sz="8" w:space="0" w:color="0B2949" w:themeColor="accent1"/>
          <w:insideH w:val="nil"/>
          <w:insideV w:val="single" w:sz="8" w:space="0" w:color="0B2949"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B2949" w:themeColor="accent1"/>
          <w:left w:val="single" w:sz="8" w:space="0" w:color="0B2949" w:themeColor="accent1"/>
          <w:bottom w:val="single" w:sz="8" w:space="0" w:color="0B2949" w:themeColor="accent1"/>
          <w:right w:val="single" w:sz="8" w:space="0" w:color="0B2949" w:themeColor="accent1"/>
          <w:insideH w:val="nil"/>
          <w:insideV w:val="single" w:sz="8" w:space="0" w:color="0B2949"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B2949" w:themeColor="accent1"/>
          <w:left w:val="single" w:sz="8" w:space="0" w:color="0B2949" w:themeColor="accent1"/>
          <w:bottom w:val="single" w:sz="8" w:space="0" w:color="0B2949" w:themeColor="accent1"/>
          <w:right w:val="single" w:sz="8" w:space="0" w:color="0B2949" w:themeColor="accent1"/>
        </w:tcBorders>
      </w:tcPr>
    </w:tblStylePr>
    <w:tblStylePr w:type="band1Vert">
      <w:tblPr/>
      <w:tcPr>
        <w:tcBorders>
          <w:top w:val="single" w:sz="8" w:space="0" w:color="0B2949" w:themeColor="accent1"/>
          <w:left w:val="single" w:sz="8" w:space="0" w:color="0B2949" w:themeColor="accent1"/>
          <w:bottom w:val="single" w:sz="8" w:space="0" w:color="0B2949" w:themeColor="accent1"/>
          <w:right w:val="single" w:sz="8" w:space="0" w:color="0B2949" w:themeColor="accent1"/>
        </w:tcBorders>
        <w:shd w:val="clear" w:color="auto" w:fill="A3C8F1" w:themeFill="accent1" w:themeFillTint="3F"/>
      </w:tcPr>
    </w:tblStylePr>
    <w:tblStylePr w:type="band1Horz">
      <w:tblPr/>
      <w:tcPr>
        <w:tcBorders>
          <w:top w:val="single" w:sz="8" w:space="0" w:color="0B2949" w:themeColor="accent1"/>
          <w:left w:val="single" w:sz="8" w:space="0" w:color="0B2949" w:themeColor="accent1"/>
          <w:bottom w:val="single" w:sz="8" w:space="0" w:color="0B2949" w:themeColor="accent1"/>
          <w:right w:val="single" w:sz="8" w:space="0" w:color="0B2949" w:themeColor="accent1"/>
          <w:insideV w:val="single" w:sz="8" w:space="0" w:color="0B2949" w:themeColor="accent1"/>
        </w:tcBorders>
        <w:shd w:val="clear" w:color="auto" w:fill="A3C8F1" w:themeFill="accent1" w:themeFillTint="3F"/>
      </w:tcPr>
    </w:tblStylePr>
    <w:tblStylePr w:type="band2Horz">
      <w:tblPr/>
      <w:tcPr>
        <w:tcBorders>
          <w:top w:val="single" w:sz="8" w:space="0" w:color="0B2949" w:themeColor="accent1"/>
          <w:left w:val="single" w:sz="8" w:space="0" w:color="0B2949" w:themeColor="accent1"/>
          <w:bottom w:val="single" w:sz="8" w:space="0" w:color="0B2949" w:themeColor="accent1"/>
          <w:right w:val="single" w:sz="8" w:space="0" w:color="0B2949" w:themeColor="accent1"/>
          <w:insideV w:val="single" w:sz="8" w:space="0" w:color="0B2949" w:themeColor="accent1"/>
        </w:tcBorders>
      </w:tcPr>
    </w:tblStylePr>
  </w:style>
  <w:style w:type="table" w:styleId="LightGrid-Accent2">
    <w:name w:val="Light Grid Accent 2"/>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D02B27" w:themeColor="accent2"/>
        <w:left w:val="single" w:sz="8" w:space="0" w:color="D02B27" w:themeColor="accent2"/>
        <w:bottom w:val="single" w:sz="8" w:space="0" w:color="D02B27" w:themeColor="accent2"/>
        <w:right w:val="single" w:sz="8" w:space="0" w:color="D02B27" w:themeColor="accent2"/>
        <w:insideH w:val="single" w:sz="8" w:space="0" w:color="D02B27" w:themeColor="accent2"/>
        <w:insideV w:val="single" w:sz="8" w:space="0" w:color="D02B27"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D02B27" w:themeColor="accent2"/>
          <w:left w:val="single" w:sz="8" w:space="0" w:color="D02B27" w:themeColor="accent2"/>
          <w:bottom w:val="single" w:sz="18" w:space="0" w:color="D02B27" w:themeColor="accent2"/>
          <w:right w:val="single" w:sz="8" w:space="0" w:color="D02B27" w:themeColor="accent2"/>
          <w:insideH w:val="nil"/>
          <w:insideV w:val="single" w:sz="8" w:space="0" w:color="D02B27"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D02B27" w:themeColor="accent2"/>
          <w:left w:val="single" w:sz="8" w:space="0" w:color="D02B27" w:themeColor="accent2"/>
          <w:bottom w:val="single" w:sz="8" w:space="0" w:color="D02B27" w:themeColor="accent2"/>
          <w:right w:val="single" w:sz="8" w:space="0" w:color="D02B27" w:themeColor="accent2"/>
          <w:insideH w:val="nil"/>
          <w:insideV w:val="single" w:sz="8" w:space="0" w:color="D02B27"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D02B27" w:themeColor="accent2"/>
          <w:left w:val="single" w:sz="8" w:space="0" w:color="D02B27" w:themeColor="accent2"/>
          <w:bottom w:val="single" w:sz="8" w:space="0" w:color="D02B27" w:themeColor="accent2"/>
          <w:right w:val="single" w:sz="8" w:space="0" w:color="D02B27" w:themeColor="accent2"/>
        </w:tcBorders>
      </w:tcPr>
    </w:tblStylePr>
    <w:tblStylePr w:type="band1Vert">
      <w:tblPr/>
      <w:tcPr>
        <w:tcBorders>
          <w:top w:val="single" w:sz="8" w:space="0" w:color="D02B27" w:themeColor="accent2"/>
          <w:left w:val="single" w:sz="8" w:space="0" w:color="D02B27" w:themeColor="accent2"/>
          <w:bottom w:val="single" w:sz="8" w:space="0" w:color="D02B27" w:themeColor="accent2"/>
          <w:right w:val="single" w:sz="8" w:space="0" w:color="D02B27" w:themeColor="accent2"/>
        </w:tcBorders>
        <w:shd w:val="clear" w:color="auto" w:fill="F4C9C8" w:themeFill="accent2" w:themeFillTint="3F"/>
      </w:tcPr>
    </w:tblStylePr>
    <w:tblStylePr w:type="band1Horz">
      <w:tblPr/>
      <w:tcPr>
        <w:tcBorders>
          <w:top w:val="single" w:sz="8" w:space="0" w:color="D02B27" w:themeColor="accent2"/>
          <w:left w:val="single" w:sz="8" w:space="0" w:color="D02B27" w:themeColor="accent2"/>
          <w:bottom w:val="single" w:sz="8" w:space="0" w:color="D02B27" w:themeColor="accent2"/>
          <w:right w:val="single" w:sz="8" w:space="0" w:color="D02B27" w:themeColor="accent2"/>
          <w:insideV w:val="single" w:sz="8" w:space="0" w:color="D02B27" w:themeColor="accent2"/>
        </w:tcBorders>
        <w:shd w:val="clear" w:color="auto" w:fill="F4C9C8" w:themeFill="accent2" w:themeFillTint="3F"/>
      </w:tcPr>
    </w:tblStylePr>
    <w:tblStylePr w:type="band2Horz">
      <w:tblPr/>
      <w:tcPr>
        <w:tcBorders>
          <w:top w:val="single" w:sz="8" w:space="0" w:color="D02B27" w:themeColor="accent2"/>
          <w:left w:val="single" w:sz="8" w:space="0" w:color="D02B27" w:themeColor="accent2"/>
          <w:bottom w:val="single" w:sz="8" w:space="0" w:color="D02B27" w:themeColor="accent2"/>
          <w:right w:val="single" w:sz="8" w:space="0" w:color="D02B27" w:themeColor="accent2"/>
          <w:insideV w:val="single" w:sz="8" w:space="0" w:color="D02B27" w:themeColor="accent2"/>
        </w:tcBorders>
      </w:tcPr>
    </w:tblStylePr>
  </w:style>
  <w:style w:type="table" w:styleId="LightGrid-Accent3">
    <w:name w:val="Light Grid Accent 3"/>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5B6771" w:themeColor="accent3"/>
        <w:left w:val="single" w:sz="8" w:space="0" w:color="5B6771" w:themeColor="accent3"/>
        <w:bottom w:val="single" w:sz="8" w:space="0" w:color="5B6771" w:themeColor="accent3"/>
        <w:right w:val="single" w:sz="8" w:space="0" w:color="5B6771" w:themeColor="accent3"/>
        <w:insideH w:val="single" w:sz="8" w:space="0" w:color="5B6771" w:themeColor="accent3"/>
        <w:insideV w:val="single" w:sz="8" w:space="0" w:color="5B6771"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6771" w:themeColor="accent3"/>
          <w:left w:val="single" w:sz="8" w:space="0" w:color="5B6771" w:themeColor="accent3"/>
          <w:bottom w:val="single" w:sz="18" w:space="0" w:color="5B6771" w:themeColor="accent3"/>
          <w:right w:val="single" w:sz="8" w:space="0" w:color="5B6771" w:themeColor="accent3"/>
          <w:insideH w:val="nil"/>
          <w:insideV w:val="single" w:sz="8" w:space="0" w:color="5B6771"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6771" w:themeColor="accent3"/>
          <w:left w:val="single" w:sz="8" w:space="0" w:color="5B6771" w:themeColor="accent3"/>
          <w:bottom w:val="single" w:sz="8" w:space="0" w:color="5B6771" w:themeColor="accent3"/>
          <w:right w:val="single" w:sz="8" w:space="0" w:color="5B6771" w:themeColor="accent3"/>
          <w:insideH w:val="nil"/>
          <w:insideV w:val="single" w:sz="8" w:space="0" w:color="5B6771"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6771" w:themeColor="accent3"/>
          <w:left w:val="single" w:sz="8" w:space="0" w:color="5B6771" w:themeColor="accent3"/>
          <w:bottom w:val="single" w:sz="8" w:space="0" w:color="5B6771" w:themeColor="accent3"/>
          <w:right w:val="single" w:sz="8" w:space="0" w:color="5B6771" w:themeColor="accent3"/>
        </w:tcBorders>
      </w:tcPr>
    </w:tblStylePr>
    <w:tblStylePr w:type="band1Vert">
      <w:tblPr/>
      <w:tcPr>
        <w:tcBorders>
          <w:top w:val="single" w:sz="8" w:space="0" w:color="5B6771" w:themeColor="accent3"/>
          <w:left w:val="single" w:sz="8" w:space="0" w:color="5B6771" w:themeColor="accent3"/>
          <w:bottom w:val="single" w:sz="8" w:space="0" w:color="5B6771" w:themeColor="accent3"/>
          <w:right w:val="single" w:sz="8" w:space="0" w:color="5B6771" w:themeColor="accent3"/>
        </w:tcBorders>
        <w:shd w:val="clear" w:color="auto" w:fill="D5D9DD" w:themeFill="accent3" w:themeFillTint="3F"/>
      </w:tcPr>
    </w:tblStylePr>
    <w:tblStylePr w:type="band1Horz">
      <w:tblPr/>
      <w:tcPr>
        <w:tcBorders>
          <w:top w:val="single" w:sz="8" w:space="0" w:color="5B6771" w:themeColor="accent3"/>
          <w:left w:val="single" w:sz="8" w:space="0" w:color="5B6771" w:themeColor="accent3"/>
          <w:bottom w:val="single" w:sz="8" w:space="0" w:color="5B6771" w:themeColor="accent3"/>
          <w:right w:val="single" w:sz="8" w:space="0" w:color="5B6771" w:themeColor="accent3"/>
          <w:insideV w:val="single" w:sz="8" w:space="0" w:color="5B6771" w:themeColor="accent3"/>
        </w:tcBorders>
        <w:shd w:val="clear" w:color="auto" w:fill="D5D9DD" w:themeFill="accent3" w:themeFillTint="3F"/>
      </w:tcPr>
    </w:tblStylePr>
    <w:tblStylePr w:type="band2Horz">
      <w:tblPr/>
      <w:tcPr>
        <w:tcBorders>
          <w:top w:val="single" w:sz="8" w:space="0" w:color="5B6771" w:themeColor="accent3"/>
          <w:left w:val="single" w:sz="8" w:space="0" w:color="5B6771" w:themeColor="accent3"/>
          <w:bottom w:val="single" w:sz="8" w:space="0" w:color="5B6771" w:themeColor="accent3"/>
          <w:right w:val="single" w:sz="8" w:space="0" w:color="5B6771" w:themeColor="accent3"/>
          <w:insideV w:val="single" w:sz="8" w:space="0" w:color="5B6771" w:themeColor="accent3"/>
        </w:tcBorders>
      </w:tcPr>
    </w:tblStylePr>
  </w:style>
  <w:style w:type="table" w:styleId="LightGrid-Accent4">
    <w:name w:val="Light Grid Accent 4"/>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F1B51C" w:themeColor="accent4"/>
        <w:left w:val="single" w:sz="8" w:space="0" w:color="F1B51C" w:themeColor="accent4"/>
        <w:bottom w:val="single" w:sz="8" w:space="0" w:color="F1B51C" w:themeColor="accent4"/>
        <w:right w:val="single" w:sz="8" w:space="0" w:color="F1B51C" w:themeColor="accent4"/>
        <w:insideH w:val="single" w:sz="8" w:space="0" w:color="F1B51C" w:themeColor="accent4"/>
        <w:insideV w:val="single" w:sz="8" w:space="0" w:color="F1B51C"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1B51C" w:themeColor="accent4"/>
          <w:left w:val="single" w:sz="8" w:space="0" w:color="F1B51C" w:themeColor="accent4"/>
          <w:bottom w:val="single" w:sz="18" w:space="0" w:color="F1B51C" w:themeColor="accent4"/>
          <w:right w:val="single" w:sz="8" w:space="0" w:color="F1B51C" w:themeColor="accent4"/>
          <w:insideH w:val="nil"/>
          <w:insideV w:val="single" w:sz="8" w:space="0" w:color="F1B51C"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1B51C" w:themeColor="accent4"/>
          <w:left w:val="single" w:sz="8" w:space="0" w:color="F1B51C" w:themeColor="accent4"/>
          <w:bottom w:val="single" w:sz="8" w:space="0" w:color="F1B51C" w:themeColor="accent4"/>
          <w:right w:val="single" w:sz="8" w:space="0" w:color="F1B51C" w:themeColor="accent4"/>
          <w:insideH w:val="nil"/>
          <w:insideV w:val="single" w:sz="8" w:space="0" w:color="F1B51C"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1B51C" w:themeColor="accent4"/>
          <w:left w:val="single" w:sz="8" w:space="0" w:color="F1B51C" w:themeColor="accent4"/>
          <w:bottom w:val="single" w:sz="8" w:space="0" w:color="F1B51C" w:themeColor="accent4"/>
          <w:right w:val="single" w:sz="8" w:space="0" w:color="F1B51C" w:themeColor="accent4"/>
        </w:tcBorders>
      </w:tcPr>
    </w:tblStylePr>
    <w:tblStylePr w:type="band1Vert">
      <w:tblPr/>
      <w:tcPr>
        <w:tcBorders>
          <w:top w:val="single" w:sz="8" w:space="0" w:color="F1B51C" w:themeColor="accent4"/>
          <w:left w:val="single" w:sz="8" w:space="0" w:color="F1B51C" w:themeColor="accent4"/>
          <w:bottom w:val="single" w:sz="8" w:space="0" w:color="F1B51C" w:themeColor="accent4"/>
          <w:right w:val="single" w:sz="8" w:space="0" w:color="F1B51C" w:themeColor="accent4"/>
        </w:tcBorders>
        <w:shd w:val="clear" w:color="auto" w:fill="FBECC6" w:themeFill="accent4" w:themeFillTint="3F"/>
      </w:tcPr>
    </w:tblStylePr>
    <w:tblStylePr w:type="band1Horz">
      <w:tblPr/>
      <w:tcPr>
        <w:tcBorders>
          <w:top w:val="single" w:sz="8" w:space="0" w:color="F1B51C" w:themeColor="accent4"/>
          <w:left w:val="single" w:sz="8" w:space="0" w:color="F1B51C" w:themeColor="accent4"/>
          <w:bottom w:val="single" w:sz="8" w:space="0" w:color="F1B51C" w:themeColor="accent4"/>
          <w:right w:val="single" w:sz="8" w:space="0" w:color="F1B51C" w:themeColor="accent4"/>
          <w:insideV w:val="single" w:sz="8" w:space="0" w:color="F1B51C" w:themeColor="accent4"/>
        </w:tcBorders>
        <w:shd w:val="clear" w:color="auto" w:fill="FBECC6" w:themeFill="accent4" w:themeFillTint="3F"/>
      </w:tcPr>
    </w:tblStylePr>
    <w:tblStylePr w:type="band2Horz">
      <w:tblPr/>
      <w:tcPr>
        <w:tcBorders>
          <w:top w:val="single" w:sz="8" w:space="0" w:color="F1B51C" w:themeColor="accent4"/>
          <w:left w:val="single" w:sz="8" w:space="0" w:color="F1B51C" w:themeColor="accent4"/>
          <w:bottom w:val="single" w:sz="8" w:space="0" w:color="F1B51C" w:themeColor="accent4"/>
          <w:right w:val="single" w:sz="8" w:space="0" w:color="F1B51C" w:themeColor="accent4"/>
          <w:insideV w:val="single" w:sz="8" w:space="0" w:color="F1B51C" w:themeColor="accent4"/>
        </w:tcBorders>
      </w:tcPr>
    </w:tblStylePr>
  </w:style>
  <w:style w:type="table" w:styleId="LightGrid-Accent5">
    <w:name w:val="Light Grid Accent 5"/>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189394" w:themeColor="accent5"/>
        <w:left w:val="single" w:sz="8" w:space="0" w:color="189394" w:themeColor="accent5"/>
        <w:bottom w:val="single" w:sz="8" w:space="0" w:color="189394" w:themeColor="accent5"/>
        <w:right w:val="single" w:sz="8" w:space="0" w:color="189394" w:themeColor="accent5"/>
        <w:insideH w:val="single" w:sz="8" w:space="0" w:color="189394" w:themeColor="accent5"/>
        <w:insideV w:val="single" w:sz="8" w:space="0" w:color="18939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189394" w:themeColor="accent5"/>
          <w:left w:val="single" w:sz="8" w:space="0" w:color="189394" w:themeColor="accent5"/>
          <w:bottom w:val="single" w:sz="18" w:space="0" w:color="189394" w:themeColor="accent5"/>
          <w:right w:val="single" w:sz="8" w:space="0" w:color="189394" w:themeColor="accent5"/>
          <w:insideH w:val="nil"/>
          <w:insideV w:val="single" w:sz="8" w:space="0" w:color="18939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189394" w:themeColor="accent5"/>
          <w:left w:val="single" w:sz="8" w:space="0" w:color="189394" w:themeColor="accent5"/>
          <w:bottom w:val="single" w:sz="8" w:space="0" w:color="189394" w:themeColor="accent5"/>
          <w:right w:val="single" w:sz="8" w:space="0" w:color="189394" w:themeColor="accent5"/>
          <w:insideH w:val="nil"/>
          <w:insideV w:val="single" w:sz="8" w:space="0" w:color="18939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89394" w:themeColor="accent5"/>
          <w:left w:val="single" w:sz="8" w:space="0" w:color="189394" w:themeColor="accent5"/>
          <w:bottom w:val="single" w:sz="8" w:space="0" w:color="189394" w:themeColor="accent5"/>
          <w:right w:val="single" w:sz="8" w:space="0" w:color="189394" w:themeColor="accent5"/>
        </w:tcBorders>
      </w:tcPr>
    </w:tblStylePr>
    <w:tblStylePr w:type="band1Vert">
      <w:tblPr/>
      <w:tcPr>
        <w:tcBorders>
          <w:top w:val="single" w:sz="8" w:space="0" w:color="189394" w:themeColor="accent5"/>
          <w:left w:val="single" w:sz="8" w:space="0" w:color="189394" w:themeColor="accent5"/>
          <w:bottom w:val="single" w:sz="8" w:space="0" w:color="189394" w:themeColor="accent5"/>
          <w:right w:val="single" w:sz="8" w:space="0" w:color="189394" w:themeColor="accent5"/>
        </w:tcBorders>
        <w:shd w:val="clear" w:color="auto" w:fill="B7F2F3" w:themeFill="accent5" w:themeFillTint="3F"/>
      </w:tcPr>
    </w:tblStylePr>
    <w:tblStylePr w:type="band1Horz">
      <w:tblPr/>
      <w:tcPr>
        <w:tcBorders>
          <w:top w:val="single" w:sz="8" w:space="0" w:color="189394" w:themeColor="accent5"/>
          <w:left w:val="single" w:sz="8" w:space="0" w:color="189394" w:themeColor="accent5"/>
          <w:bottom w:val="single" w:sz="8" w:space="0" w:color="189394" w:themeColor="accent5"/>
          <w:right w:val="single" w:sz="8" w:space="0" w:color="189394" w:themeColor="accent5"/>
          <w:insideV w:val="single" w:sz="8" w:space="0" w:color="189394" w:themeColor="accent5"/>
        </w:tcBorders>
        <w:shd w:val="clear" w:color="auto" w:fill="B7F2F3" w:themeFill="accent5" w:themeFillTint="3F"/>
      </w:tcPr>
    </w:tblStylePr>
    <w:tblStylePr w:type="band2Horz">
      <w:tblPr/>
      <w:tcPr>
        <w:tcBorders>
          <w:top w:val="single" w:sz="8" w:space="0" w:color="189394" w:themeColor="accent5"/>
          <w:left w:val="single" w:sz="8" w:space="0" w:color="189394" w:themeColor="accent5"/>
          <w:bottom w:val="single" w:sz="8" w:space="0" w:color="189394" w:themeColor="accent5"/>
          <w:right w:val="single" w:sz="8" w:space="0" w:color="189394" w:themeColor="accent5"/>
          <w:insideV w:val="single" w:sz="8" w:space="0" w:color="189394" w:themeColor="accent5"/>
        </w:tcBorders>
      </w:tcPr>
    </w:tblStylePr>
  </w:style>
  <w:style w:type="table" w:styleId="LightGrid-Accent6">
    <w:name w:val="Light Grid Accent 6"/>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17A673" w:themeColor="accent6"/>
        <w:left w:val="single" w:sz="8" w:space="0" w:color="17A673" w:themeColor="accent6"/>
        <w:bottom w:val="single" w:sz="8" w:space="0" w:color="17A673" w:themeColor="accent6"/>
        <w:right w:val="single" w:sz="8" w:space="0" w:color="17A673" w:themeColor="accent6"/>
        <w:insideH w:val="single" w:sz="8" w:space="0" w:color="17A673" w:themeColor="accent6"/>
        <w:insideV w:val="single" w:sz="8" w:space="0" w:color="17A673"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17A673" w:themeColor="accent6"/>
          <w:left w:val="single" w:sz="8" w:space="0" w:color="17A673" w:themeColor="accent6"/>
          <w:bottom w:val="single" w:sz="18" w:space="0" w:color="17A673" w:themeColor="accent6"/>
          <w:right w:val="single" w:sz="8" w:space="0" w:color="17A673" w:themeColor="accent6"/>
          <w:insideH w:val="nil"/>
          <w:insideV w:val="single" w:sz="8" w:space="0" w:color="17A673"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17A673" w:themeColor="accent6"/>
          <w:left w:val="single" w:sz="8" w:space="0" w:color="17A673" w:themeColor="accent6"/>
          <w:bottom w:val="single" w:sz="8" w:space="0" w:color="17A673" w:themeColor="accent6"/>
          <w:right w:val="single" w:sz="8" w:space="0" w:color="17A673" w:themeColor="accent6"/>
          <w:insideH w:val="nil"/>
          <w:insideV w:val="single" w:sz="8" w:space="0" w:color="17A673"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7A673" w:themeColor="accent6"/>
          <w:left w:val="single" w:sz="8" w:space="0" w:color="17A673" w:themeColor="accent6"/>
          <w:bottom w:val="single" w:sz="8" w:space="0" w:color="17A673" w:themeColor="accent6"/>
          <w:right w:val="single" w:sz="8" w:space="0" w:color="17A673" w:themeColor="accent6"/>
        </w:tcBorders>
      </w:tcPr>
    </w:tblStylePr>
    <w:tblStylePr w:type="band1Vert">
      <w:tblPr/>
      <w:tcPr>
        <w:tcBorders>
          <w:top w:val="single" w:sz="8" w:space="0" w:color="17A673" w:themeColor="accent6"/>
          <w:left w:val="single" w:sz="8" w:space="0" w:color="17A673" w:themeColor="accent6"/>
          <w:bottom w:val="single" w:sz="8" w:space="0" w:color="17A673" w:themeColor="accent6"/>
          <w:right w:val="single" w:sz="8" w:space="0" w:color="17A673" w:themeColor="accent6"/>
        </w:tcBorders>
        <w:shd w:val="clear" w:color="auto" w:fill="B9F5DF" w:themeFill="accent6" w:themeFillTint="3F"/>
      </w:tcPr>
    </w:tblStylePr>
    <w:tblStylePr w:type="band1Horz">
      <w:tblPr/>
      <w:tcPr>
        <w:tcBorders>
          <w:top w:val="single" w:sz="8" w:space="0" w:color="17A673" w:themeColor="accent6"/>
          <w:left w:val="single" w:sz="8" w:space="0" w:color="17A673" w:themeColor="accent6"/>
          <w:bottom w:val="single" w:sz="8" w:space="0" w:color="17A673" w:themeColor="accent6"/>
          <w:right w:val="single" w:sz="8" w:space="0" w:color="17A673" w:themeColor="accent6"/>
          <w:insideV w:val="single" w:sz="8" w:space="0" w:color="17A673" w:themeColor="accent6"/>
        </w:tcBorders>
        <w:shd w:val="clear" w:color="auto" w:fill="B9F5DF" w:themeFill="accent6" w:themeFillTint="3F"/>
      </w:tcPr>
    </w:tblStylePr>
    <w:tblStylePr w:type="band2Horz">
      <w:tblPr/>
      <w:tcPr>
        <w:tcBorders>
          <w:top w:val="single" w:sz="8" w:space="0" w:color="17A673" w:themeColor="accent6"/>
          <w:left w:val="single" w:sz="8" w:space="0" w:color="17A673" w:themeColor="accent6"/>
          <w:bottom w:val="single" w:sz="8" w:space="0" w:color="17A673" w:themeColor="accent6"/>
          <w:right w:val="single" w:sz="8" w:space="0" w:color="17A673" w:themeColor="accent6"/>
          <w:insideV w:val="single" w:sz="8" w:space="0" w:color="17A673" w:themeColor="accent6"/>
        </w:tcBorders>
      </w:tcPr>
    </w:tblStylePr>
  </w:style>
  <w:style w:type="table" w:styleId="LightList">
    <w:name w:val="Light List"/>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0B2949" w:themeColor="accent1"/>
        <w:left w:val="single" w:sz="8" w:space="0" w:color="0B2949" w:themeColor="accent1"/>
        <w:bottom w:val="single" w:sz="8" w:space="0" w:color="0B2949" w:themeColor="accent1"/>
        <w:right w:val="single" w:sz="8" w:space="0" w:color="0B2949" w:themeColor="accent1"/>
      </w:tblBorders>
    </w:tblPr>
    <w:tblStylePr w:type="firstRow">
      <w:pPr>
        <w:spacing w:before="0" w:after="0" w:line="240" w:lineRule="auto"/>
      </w:pPr>
      <w:rPr>
        <w:b/>
        <w:bCs/>
        <w:color w:val="FFFFFF" w:themeColor="background1"/>
      </w:rPr>
      <w:tblPr/>
      <w:tcPr>
        <w:shd w:val="clear" w:color="auto" w:fill="0B2949" w:themeFill="accent1"/>
      </w:tcPr>
    </w:tblStylePr>
    <w:tblStylePr w:type="lastRow">
      <w:pPr>
        <w:spacing w:before="0" w:after="0" w:line="240" w:lineRule="auto"/>
      </w:pPr>
      <w:rPr>
        <w:b/>
        <w:bCs/>
      </w:rPr>
      <w:tblPr/>
      <w:tcPr>
        <w:tcBorders>
          <w:top w:val="double" w:sz="6" w:space="0" w:color="0B2949" w:themeColor="accent1"/>
          <w:left w:val="single" w:sz="8" w:space="0" w:color="0B2949" w:themeColor="accent1"/>
          <w:bottom w:val="single" w:sz="8" w:space="0" w:color="0B2949" w:themeColor="accent1"/>
          <w:right w:val="single" w:sz="8" w:space="0" w:color="0B2949" w:themeColor="accent1"/>
        </w:tcBorders>
      </w:tcPr>
    </w:tblStylePr>
    <w:tblStylePr w:type="firstCol">
      <w:rPr>
        <w:b/>
        <w:bCs/>
      </w:rPr>
    </w:tblStylePr>
    <w:tblStylePr w:type="lastCol">
      <w:rPr>
        <w:b/>
        <w:bCs/>
      </w:rPr>
    </w:tblStylePr>
    <w:tblStylePr w:type="band1Vert">
      <w:tblPr/>
      <w:tcPr>
        <w:tcBorders>
          <w:top w:val="single" w:sz="8" w:space="0" w:color="0B2949" w:themeColor="accent1"/>
          <w:left w:val="single" w:sz="8" w:space="0" w:color="0B2949" w:themeColor="accent1"/>
          <w:bottom w:val="single" w:sz="8" w:space="0" w:color="0B2949" w:themeColor="accent1"/>
          <w:right w:val="single" w:sz="8" w:space="0" w:color="0B2949" w:themeColor="accent1"/>
        </w:tcBorders>
      </w:tcPr>
    </w:tblStylePr>
    <w:tblStylePr w:type="band1Horz">
      <w:tblPr/>
      <w:tcPr>
        <w:tcBorders>
          <w:top w:val="single" w:sz="8" w:space="0" w:color="0B2949" w:themeColor="accent1"/>
          <w:left w:val="single" w:sz="8" w:space="0" w:color="0B2949" w:themeColor="accent1"/>
          <w:bottom w:val="single" w:sz="8" w:space="0" w:color="0B2949" w:themeColor="accent1"/>
          <w:right w:val="single" w:sz="8" w:space="0" w:color="0B2949" w:themeColor="accent1"/>
        </w:tcBorders>
      </w:tcPr>
    </w:tblStylePr>
  </w:style>
  <w:style w:type="table" w:styleId="LightList-Accent2">
    <w:name w:val="Light List Accent 2"/>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D02B27" w:themeColor="accent2"/>
        <w:left w:val="single" w:sz="8" w:space="0" w:color="D02B27" w:themeColor="accent2"/>
        <w:bottom w:val="single" w:sz="8" w:space="0" w:color="D02B27" w:themeColor="accent2"/>
        <w:right w:val="single" w:sz="8" w:space="0" w:color="D02B27" w:themeColor="accent2"/>
      </w:tblBorders>
    </w:tblPr>
    <w:tblStylePr w:type="firstRow">
      <w:pPr>
        <w:spacing w:before="0" w:after="0" w:line="240" w:lineRule="auto"/>
      </w:pPr>
      <w:rPr>
        <w:b/>
        <w:bCs/>
        <w:color w:val="FFFFFF" w:themeColor="background1"/>
      </w:rPr>
      <w:tblPr/>
      <w:tcPr>
        <w:shd w:val="clear" w:color="auto" w:fill="D02B27" w:themeFill="accent2"/>
      </w:tcPr>
    </w:tblStylePr>
    <w:tblStylePr w:type="lastRow">
      <w:pPr>
        <w:spacing w:before="0" w:after="0" w:line="240" w:lineRule="auto"/>
      </w:pPr>
      <w:rPr>
        <w:b/>
        <w:bCs/>
      </w:rPr>
      <w:tblPr/>
      <w:tcPr>
        <w:tcBorders>
          <w:top w:val="double" w:sz="6" w:space="0" w:color="D02B27" w:themeColor="accent2"/>
          <w:left w:val="single" w:sz="8" w:space="0" w:color="D02B27" w:themeColor="accent2"/>
          <w:bottom w:val="single" w:sz="8" w:space="0" w:color="D02B27" w:themeColor="accent2"/>
          <w:right w:val="single" w:sz="8" w:space="0" w:color="D02B27" w:themeColor="accent2"/>
        </w:tcBorders>
      </w:tcPr>
    </w:tblStylePr>
    <w:tblStylePr w:type="firstCol">
      <w:rPr>
        <w:b/>
        <w:bCs/>
      </w:rPr>
    </w:tblStylePr>
    <w:tblStylePr w:type="lastCol">
      <w:rPr>
        <w:b/>
        <w:bCs/>
      </w:rPr>
    </w:tblStylePr>
    <w:tblStylePr w:type="band1Vert">
      <w:tblPr/>
      <w:tcPr>
        <w:tcBorders>
          <w:top w:val="single" w:sz="8" w:space="0" w:color="D02B27" w:themeColor="accent2"/>
          <w:left w:val="single" w:sz="8" w:space="0" w:color="D02B27" w:themeColor="accent2"/>
          <w:bottom w:val="single" w:sz="8" w:space="0" w:color="D02B27" w:themeColor="accent2"/>
          <w:right w:val="single" w:sz="8" w:space="0" w:color="D02B27" w:themeColor="accent2"/>
        </w:tcBorders>
      </w:tcPr>
    </w:tblStylePr>
    <w:tblStylePr w:type="band1Horz">
      <w:tblPr/>
      <w:tcPr>
        <w:tcBorders>
          <w:top w:val="single" w:sz="8" w:space="0" w:color="D02B27" w:themeColor="accent2"/>
          <w:left w:val="single" w:sz="8" w:space="0" w:color="D02B27" w:themeColor="accent2"/>
          <w:bottom w:val="single" w:sz="8" w:space="0" w:color="D02B27" w:themeColor="accent2"/>
          <w:right w:val="single" w:sz="8" w:space="0" w:color="D02B27" w:themeColor="accent2"/>
        </w:tcBorders>
      </w:tcPr>
    </w:tblStylePr>
  </w:style>
  <w:style w:type="table" w:styleId="LightList-Accent3">
    <w:name w:val="Light List Accent 3"/>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5B6771" w:themeColor="accent3"/>
        <w:left w:val="single" w:sz="8" w:space="0" w:color="5B6771" w:themeColor="accent3"/>
        <w:bottom w:val="single" w:sz="8" w:space="0" w:color="5B6771" w:themeColor="accent3"/>
        <w:right w:val="single" w:sz="8" w:space="0" w:color="5B6771" w:themeColor="accent3"/>
      </w:tblBorders>
    </w:tblPr>
    <w:tblStylePr w:type="firstRow">
      <w:pPr>
        <w:spacing w:before="0" w:after="0" w:line="240" w:lineRule="auto"/>
      </w:pPr>
      <w:rPr>
        <w:b/>
        <w:bCs/>
        <w:color w:val="FFFFFF" w:themeColor="background1"/>
      </w:rPr>
      <w:tblPr/>
      <w:tcPr>
        <w:shd w:val="clear" w:color="auto" w:fill="5B6771" w:themeFill="accent3"/>
      </w:tcPr>
    </w:tblStylePr>
    <w:tblStylePr w:type="lastRow">
      <w:pPr>
        <w:spacing w:before="0" w:after="0" w:line="240" w:lineRule="auto"/>
      </w:pPr>
      <w:rPr>
        <w:b/>
        <w:bCs/>
      </w:rPr>
      <w:tblPr/>
      <w:tcPr>
        <w:tcBorders>
          <w:top w:val="double" w:sz="6" w:space="0" w:color="5B6771" w:themeColor="accent3"/>
          <w:left w:val="single" w:sz="8" w:space="0" w:color="5B6771" w:themeColor="accent3"/>
          <w:bottom w:val="single" w:sz="8" w:space="0" w:color="5B6771" w:themeColor="accent3"/>
          <w:right w:val="single" w:sz="8" w:space="0" w:color="5B6771" w:themeColor="accent3"/>
        </w:tcBorders>
      </w:tcPr>
    </w:tblStylePr>
    <w:tblStylePr w:type="firstCol">
      <w:rPr>
        <w:b/>
        <w:bCs/>
      </w:rPr>
    </w:tblStylePr>
    <w:tblStylePr w:type="lastCol">
      <w:rPr>
        <w:b/>
        <w:bCs/>
      </w:rPr>
    </w:tblStylePr>
    <w:tblStylePr w:type="band1Vert">
      <w:tblPr/>
      <w:tcPr>
        <w:tcBorders>
          <w:top w:val="single" w:sz="8" w:space="0" w:color="5B6771" w:themeColor="accent3"/>
          <w:left w:val="single" w:sz="8" w:space="0" w:color="5B6771" w:themeColor="accent3"/>
          <w:bottom w:val="single" w:sz="8" w:space="0" w:color="5B6771" w:themeColor="accent3"/>
          <w:right w:val="single" w:sz="8" w:space="0" w:color="5B6771" w:themeColor="accent3"/>
        </w:tcBorders>
      </w:tcPr>
    </w:tblStylePr>
    <w:tblStylePr w:type="band1Horz">
      <w:tblPr/>
      <w:tcPr>
        <w:tcBorders>
          <w:top w:val="single" w:sz="8" w:space="0" w:color="5B6771" w:themeColor="accent3"/>
          <w:left w:val="single" w:sz="8" w:space="0" w:color="5B6771" w:themeColor="accent3"/>
          <w:bottom w:val="single" w:sz="8" w:space="0" w:color="5B6771" w:themeColor="accent3"/>
          <w:right w:val="single" w:sz="8" w:space="0" w:color="5B6771" w:themeColor="accent3"/>
        </w:tcBorders>
      </w:tcPr>
    </w:tblStylePr>
  </w:style>
  <w:style w:type="table" w:styleId="LightList-Accent4">
    <w:name w:val="Light List Accent 4"/>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F1B51C" w:themeColor="accent4"/>
        <w:left w:val="single" w:sz="8" w:space="0" w:color="F1B51C" w:themeColor="accent4"/>
        <w:bottom w:val="single" w:sz="8" w:space="0" w:color="F1B51C" w:themeColor="accent4"/>
        <w:right w:val="single" w:sz="8" w:space="0" w:color="F1B51C" w:themeColor="accent4"/>
      </w:tblBorders>
    </w:tblPr>
    <w:tblStylePr w:type="firstRow">
      <w:pPr>
        <w:spacing w:before="0" w:after="0" w:line="240" w:lineRule="auto"/>
      </w:pPr>
      <w:rPr>
        <w:b/>
        <w:bCs/>
        <w:color w:val="FFFFFF" w:themeColor="background1"/>
      </w:rPr>
      <w:tblPr/>
      <w:tcPr>
        <w:shd w:val="clear" w:color="auto" w:fill="F1B51C" w:themeFill="accent4"/>
      </w:tcPr>
    </w:tblStylePr>
    <w:tblStylePr w:type="lastRow">
      <w:pPr>
        <w:spacing w:before="0" w:after="0" w:line="240" w:lineRule="auto"/>
      </w:pPr>
      <w:rPr>
        <w:b/>
        <w:bCs/>
      </w:rPr>
      <w:tblPr/>
      <w:tcPr>
        <w:tcBorders>
          <w:top w:val="double" w:sz="6" w:space="0" w:color="F1B51C" w:themeColor="accent4"/>
          <w:left w:val="single" w:sz="8" w:space="0" w:color="F1B51C" w:themeColor="accent4"/>
          <w:bottom w:val="single" w:sz="8" w:space="0" w:color="F1B51C" w:themeColor="accent4"/>
          <w:right w:val="single" w:sz="8" w:space="0" w:color="F1B51C" w:themeColor="accent4"/>
        </w:tcBorders>
      </w:tcPr>
    </w:tblStylePr>
    <w:tblStylePr w:type="firstCol">
      <w:rPr>
        <w:b/>
        <w:bCs/>
      </w:rPr>
    </w:tblStylePr>
    <w:tblStylePr w:type="lastCol">
      <w:rPr>
        <w:b/>
        <w:bCs/>
      </w:rPr>
    </w:tblStylePr>
    <w:tblStylePr w:type="band1Vert">
      <w:tblPr/>
      <w:tcPr>
        <w:tcBorders>
          <w:top w:val="single" w:sz="8" w:space="0" w:color="F1B51C" w:themeColor="accent4"/>
          <w:left w:val="single" w:sz="8" w:space="0" w:color="F1B51C" w:themeColor="accent4"/>
          <w:bottom w:val="single" w:sz="8" w:space="0" w:color="F1B51C" w:themeColor="accent4"/>
          <w:right w:val="single" w:sz="8" w:space="0" w:color="F1B51C" w:themeColor="accent4"/>
        </w:tcBorders>
      </w:tcPr>
    </w:tblStylePr>
    <w:tblStylePr w:type="band1Horz">
      <w:tblPr/>
      <w:tcPr>
        <w:tcBorders>
          <w:top w:val="single" w:sz="8" w:space="0" w:color="F1B51C" w:themeColor="accent4"/>
          <w:left w:val="single" w:sz="8" w:space="0" w:color="F1B51C" w:themeColor="accent4"/>
          <w:bottom w:val="single" w:sz="8" w:space="0" w:color="F1B51C" w:themeColor="accent4"/>
          <w:right w:val="single" w:sz="8" w:space="0" w:color="F1B51C" w:themeColor="accent4"/>
        </w:tcBorders>
      </w:tcPr>
    </w:tblStylePr>
  </w:style>
  <w:style w:type="table" w:styleId="LightList-Accent5">
    <w:name w:val="Light List Accent 5"/>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189394" w:themeColor="accent5"/>
        <w:left w:val="single" w:sz="8" w:space="0" w:color="189394" w:themeColor="accent5"/>
        <w:bottom w:val="single" w:sz="8" w:space="0" w:color="189394" w:themeColor="accent5"/>
        <w:right w:val="single" w:sz="8" w:space="0" w:color="189394" w:themeColor="accent5"/>
      </w:tblBorders>
    </w:tblPr>
    <w:tblStylePr w:type="firstRow">
      <w:pPr>
        <w:spacing w:before="0" w:after="0" w:line="240" w:lineRule="auto"/>
      </w:pPr>
      <w:rPr>
        <w:b/>
        <w:bCs/>
        <w:color w:val="FFFFFF" w:themeColor="background1"/>
      </w:rPr>
      <w:tblPr/>
      <w:tcPr>
        <w:shd w:val="clear" w:color="auto" w:fill="189394" w:themeFill="accent5"/>
      </w:tcPr>
    </w:tblStylePr>
    <w:tblStylePr w:type="lastRow">
      <w:pPr>
        <w:spacing w:before="0" w:after="0" w:line="240" w:lineRule="auto"/>
      </w:pPr>
      <w:rPr>
        <w:b/>
        <w:bCs/>
      </w:rPr>
      <w:tblPr/>
      <w:tcPr>
        <w:tcBorders>
          <w:top w:val="double" w:sz="6" w:space="0" w:color="189394" w:themeColor="accent5"/>
          <w:left w:val="single" w:sz="8" w:space="0" w:color="189394" w:themeColor="accent5"/>
          <w:bottom w:val="single" w:sz="8" w:space="0" w:color="189394" w:themeColor="accent5"/>
          <w:right w:val="single" w:sz="8" w:space="0" w:color="189394" w:themeColor="accent5"/>
        </w:tcBorders>
      </w:tcPr>
    </w:tblStylePr>
    <w:tblStylePr w:type="firstCol">
      <w:rPr>
        <w:b/>
        <w:bCs/>
      </w:rPr>
    </w:tblStylePr>
    <w:tblStylePr w:type="lastCol">
      <w:rPr>
        <w:b/>
        <w:bCs/>
      </w:rPr>
    </w:tblStylePr>
    <w:tblStylePr w:type="band1Vert">
      <w:tblPr/>
      <w:tcPr>
        <w:tcBorders>
          <w:top w:val="single" w:sz="8" w:space="0" w:color="189394" w:themeColor="accent5"/>
          <w:left w:val="single" w:sz="8" w:space="0" w:color="189394" w:themeColor="accent5"/>
          <w:bottom w:val="single" w:sz="8" w:space="0" w:color="189394" w:themeColor="accent5"/>
          <w:right w:val="single" w:sz="8" w:space="0" w:color="189394" w:themeColor="accent5"/>
        </w:tcBorders>
      </w:tcPr>
    </w:tblStylePr>
    <w:tblStylePr w:type="band1Horz">
      <w:tblPr/>
      <w:tcPr>
        <w:tcBorders>
          <w:top w:val="single" w:sz="8" w:space="0" w:color="189394" w:themeColor="accent5"/>
          <w:left w:val="single" w:sz="8" w:space="0" w:color="189394" w:themeColor="accent5"/>
          <w:bottom w:val="single" w:sz="8" w:space="0" w:color="189394" w:themeColor="accent5"/>
          <w:right w:val="single" w:sz="8" w:space="0" w:color="189394" w:themeColor="accent5"/>
        </w:tcBorders>
      </w:tcPr>
    </w:tblStylePr>
  </w:style>
  <w:style w:type="table" w:styleId="LightList-Accent6">
    <w:name w:val="Light List Accent 6"/>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17A673" w:themeColor="accent6"/>
        <w:left w:val="single" w:sz="8" w:space="0" w:color="17A673" w:themeColor="accent6"/>
        <w:bottom w:val="single" w:sz="8" w:space="0" w:color="17A673" w:themeColor="accent6"/>
        <w:right w:val="single" w:sz="8" w:space="0" w:color="17A673" w:themeColor="accent6"/>
      </w:tblBorders>
    </w:tblPr>
    <w:tblStylePr w:type="firstRow">
      <w:pPr>
        <w:spacing w:before="0" w:after="0" w:line="240" w:lineRule="auto"/>
      </w:pPr>
      <w:rPr>
        <w:b/>
        <w:bCs/>
        <w:color w:val="FFFFFF" w:themeColor="background1"/>
      </w:rPr>
      <w:tblPr/>
      <w:tcPr>
        <w:shd w:val="clear" w:color="auto" w:fill="17A673" w:themeFill="accent6"/>
      </w:tcPr>
    </w:tblStylePr>
    <w:tblStylePr w:type="lastRow">
      <w:pPr>
        <w:spacing w:before="0" w:after="0" w:line="240" w:lineRule="auto"/>
      </w:pPr>
      <w:rPr>
        <w:b/>
        <w:bCs/>
      </w:rPr>
      <w:tblPr/>
      <w:tcPr>
        <w:tcBorders>
          <w:top w:val="double" w:sz="6" w:space="0" w:color="17A673" w:themeColor="accent6"/>
          <w:left w:val="single" w:sz="8" w:space="0" w:color="17A673" w:themeColor="accent6"/>
          <w:bottom w:val="single" w:sz="8" w:space="0" w:color="17A673" w:themeColor="accent6"/>
          <w:right w:val="single" w:sz="8" w:space="0" w:color="17A673" w:themeColor="accent6"/>
        </w:tcBorders>
      </w:tcPr>
    </w:tblStylePr>
    <w:tblStylePr w:type="firstCol">
      <w:rPr>
        <w:b/>
        <w:bCs/>
      </w:rPr>
    </w:tblStylePr>
    <w:tblStylePr w:type="lastCol">
      <w:rPr>
        <w:b/>
        <w:bCs/>
      </w:rPr>
    </w:tblStylePr>
    <w:tblStylePr w:type="band1Vert">
      <w:tblPr/>
      <w:tcPr>
        <w:tcBorders>
          <w:top w:val="single" w:sz="8" w:space="0" w:color="17A673" w:themeColor="accent6"/>
          <w:left w:val="single" w:sz="8" w:space="0" w:color="17A673" w:themeColor="accent6"/>
          <w:bottom w:val="single" w:sz="8" w:space="0" w:color="17A673" w:themeColor="accent6"/>
          <w:right w:val="single" w:sz="8" w:space="0" w:color="17A673" w:themeColor="accent6"/>
        </w:tcBorders>
      </w:tcPr>
    </w:tblStylePr>
    <w:tblStylePr w:type="band1Horz">
      <w:tblPr/>
      <w:tcPr>
        <w:tcBorders>
          <w:top w:val="single" w:sz="8" w:space="0" w:color="17A673" w:themeColor="accent6"/>
          <w:left w:val="single" w:sz="8" w:space="0" w:color="17A673" w:themeColor="accent6"/>
          <w:bottom w:val="single" w:sz="8" w:space="0" w:color="17A673" w:themeColor="accent6"/>
          <w:right w:val="single" w:sz="8" w:space="0" w:color="17A673" w:themeColor="accent6"/>
        </w:tcBorders>
      </w:tcPr>
    </w:tblStylePr>
  </w:style>
  <w:style w:type="table" w:styleId="LightShading">
    <w:name w:val="Light Shading"/>
    <w:basedOn w:val="TableNormal"/>
    <w:unhideWhenUsed/>
    <w:rsid w:val="00570E30"/>
    <w:rPr>
      <w:rFonts w:asciiTheme="minorHAnsi" w:eastAsiaTheme="minorHAnsi" w:hAnsiTheme="minorHAnsi" w:cstheme="minorBidi"/>
      <w:color w:val="000000" w:themeColor="text1" w:themeShade="BF"/>
      <w:sz w:val="22"/>
      <w:szCs w:val="22"/>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nhideWhenUsed/>
    <w:rsid w:val="00570E30"/>
    <w:rPr>
      <w:rFonts w:asciiTheme="minorHAnsi" w:eastAsiaTheme="minorHAnsi" w:hAnsiTheme="minorHAnsi" w:cstheme="minorBidi"/>
      <w:color w:val="081E36" w:themeColor="accent1" w:themeShade="BF"/>
      <w:sz w:val="22"/>
      <w:szCs w:val="22"/>
    </w:rPr>
    <w:tblPr>
      <w:tblStyleRowBandSize w:val="1"/>
      <w:tblStyleColBandSize w:val="1"/>
      <w:tblBorders>
        <w:top w:val="single" w:sz="8" w:space="0" w:color="0B2949" w:themeColor="accent1"/>
        <w:bottom w:val="single" w:sz="8" w:space="0" w:color="0B2949" w:themeColor="accent1"/>
      </w:tblBorders>
    </w:tblPr>
    <w:tblStylePr w:type="firstRow">
      <w:pPr>
        <w:spacing w:before="0" w:after="0" w:line="240" w:lineRule="auto"/>
      </w:pPr>
      <w:rPr>
        <w:b/>
        <w:bCs/>
      </w:rPr>
      <w:tblPr/>
      <w:tcPr>
        <w:tcBorders>
          <w:top w:val="single" w:sz="8" w:space="0" w:color="0B2949" w:themeColor="accent1"/>
          <w:left w:val="nil"/>
          <w:bottom w:val="single" w:sz="8" w:space="0" w:color="0B2949" w:themeColor="accent1"/>
          <w:right w:val="nil"/>
          <w:insideH w:val="nil"/>
          <w:insideV w:val="nil"/>
        </w:tcBorders>
      </w:tcPr>
    </w:tblStylePr>
    <w:tblStylePr w:type="lastRow">
      <w:pPr>
        <w:spacing w:before="0" w:after="0" w:line="240" w:lineRule="auto"/>
      </w:pPr>
      <w:rPr>
        <w:b/>
        <w:bCs/>
      </w:rPr>
      <w:tblPr/>
      <w:tcPr>
        <w:tcBorders>
          <w:top w:val="single" w:sz="8" w:space="0" w:color="0B2949" w:themeColor="accent1"/>
          <w:left w:val="nil"/>
          <w:bottom w:val="single" w:sz="8" w:space="0" w:color="0B2949"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3C8F1" w:themeFill="accent1" w:themeFillTint="3F"/>
      </w:tcPr>
    </w:tblStylePr>
    <w:tblStylePr w:type="band1Horz">
      <w:tblPr/>
      <w:tcPr>
        <w:tcBorders>
          <w:left w:val="nil"/>
          <w:right w:val="nil"/>
          <w:insideH w:val="nil"/>
          <w:insideV w:val="nil"/>
        </w:tcBorders>
        <w:shd w:val="clear" w:color="auto" w:fill="A3C8F1" w:themeFill="accent1" w:themeFillTint="3F"/>
      </w:tcPr>
    </w:tblStylePr>
  </w:style>
  <w:style w:type="table" w:styleId="LightShading-Accent2">
    <w:name w:val="Light Shading Accent 2"/>
    <w:basedOn w:val="TableNormal"/>
    <w:unhideWhenUsed/>
    <w:rsid w:val="00570E30"/>
    <w:rPr>
      <w:rFonts w:asciiTheme="minorHAnsi" w:eastAsiaTheme="minorHAnsi" w:hAnsiTheme="minorHAnsi" w:cstheme="minorBidi"/>
      <w:color w:val="9B201D" w:themeColor="accent2" w:themeShade="BF"/>
      <w:sz w:val="22"/>
      <w:szCs w:val="22"/>
    </w:rPr>
    <w:tblPr>
      <w:tblStyleRowBandSize w:val="1"/>
      <w:tblStyleColBandSize w:val="1"/>
      <w:tblBorders>
        <w:top w:val="single" w:sz="8" w:space="0" w:color="D02B27" w:themeColor="accent2"/>
        <w:bottom w:val="single" w:sz="8" w:space="0" w:color="D02B27" w:themeColor="accent2"/>
      </w:tblBorders>
    </w:tblPr>
    <w:tblStylePr w:type="firstRow">
      <w:pPr>
        <w:spacing w:before="0" w:after="0" w:line="240" w:lineRule="auto"/>
      </w:pPr>
      <w:rPr>
        <w:b/>
        <w:bCs/>
      </w:rPr>
      <w:tblPr/>
      <w:tcPr>
        <w:tcBorders>
          <w:top w:val="single" w:sz="8" w:space="0" w:color="D02B27" w:themeColor="accent2"/>
          <w:left w:val="nil"/>
          <w:bottom w:val="single" w:sz="8" w:space="0" w:color="D02B27" w:themeColor="accent2"/>
          <w:right w:val="nil"/>
          <w:insideH w:val="nil"/>
          <w:insideV w:val="nil"/>
        </w:tcBorders>
      </w:tcPr>
    </w:tblStylePr>
    <w:tblStylePr w:type="lastRow">
      <w:pPr>
        <w:spacing w:before="0" w:after="0" w:line="240" w:lineRule="auto"/>
      </w:pPr>
      <w:rPr>
        <w:b/>
        <w:bCs/>
      </w:rPr>
      <w:tblPr/>
      <w:tcPr>
        <w:tcBorders>
          <w:top w:val="single" w:sz="8" w:space="0" w:color="D02B27" w:themeColor="accent2"/>
          <w:left w:val="nil"/>
          <w:bottom w:val="single" w:sz="8" w:space="0" w:color="D02B27"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4C9C8" w:themeFill="accent2" w:themeFillTint="3F"/>
      </w:tcPr>
    </w:tblStylePr>
    <w:tblStylePr w:type="band1Horz">
      <w:tblPr/>
      <w:tcPr>
        <w:tcBorders>
          <w:left w:val="nil"/>
          <w:right w:val="nil"/>
          <w:insideH w:val="nil"/>
          <w:insideV w:val="nil"/>
        </w:tcBorders>
        <w:shd w:val="clear" w:color="auto" w:fill="F4C9C8" w:themeFill="accent2" w:themeFillTint="3F"/>
      </w:tcPr>
    </w:tblStylePr>
  </w:style>
  <w:style w:type="table" w:styleId="LightShading-Accent3">
    <w:name w:val="Light Shading Accent 3"/>
    <w:basedOn w:val="TableNormal"/>
    <w:unhideWhenUsed/>
    <w:rsid w:val="00570E30"/>
    <w:rPr>
      <w:rFonts w:asciiTheme="minorHAnsi" w:eastAsiaTheme="minorHAnsi" w:hAnsiTheme="minorHAnsi" w:cstheme="minorBidi"/>
      <w:color w:val="444D54" w:themeColor="accent3" w:themeShade="BF"/>
      <w:sz w:val="22"/>
      <w:szCs w:val="22"/>
    </w:rPr>
    <w:tblPr>
      <w:tblStyleRowBandSize w:val="1"/>
      <w:tblStyleColBandSize w:val="1"/>
      <w:tblBorders>
        <w:top w:val="single" w:sz="8" w:space="0" w:color="5B6771" w:themeColor="accent3"/>
        <w:bottom w:val="single" w:sz="8" w:space="0" w:color="5B6771" w:themeColor="accent3"/>
      </w:tblBorders>
    </w:tblPr>
    <w:tblStylePr w:type="firstRow">
      <w:pPr>
        <w:spacing w:before="0" w:after="0" w:line="240" w:lineRule="auto"/>
      </w:pPr>
      <w:rPr>
        <w:b/>
        <w:bCs/>
      </w:rPr>
      <w:tblPr/>
      <w:tcPr>
        <w:tcBorders>
          <w:top w:val="single" w:sz="8" w:space="0" w:color="5B6771" w:themeColor="accent3"/>
          <w:left w:val="nil"/>
          <w:bottom w:val="single" w:sz="8" w:space="0" w:color="5B6771" w:themeColor="accent3"/>
          <w:right w:val="nil"/>
          <w:insideH w:val="nil"/>
          <w:insideV w:val="nil"/>
        </w:tcBorders>
      </w:tcPr>
    </w:tblStylePr>
    <w:tblStylePr w:type="lastRow">
      <w:pPr>
        <w:spacing w:before="0" w:after="0" w:line="240" w:lineRule="auto"/>
      </w:pPr>
      <w:rPr>
        <w:b/>
        <w:bCs/>
      </w:rPr>
      <w:tblPr/>
      <w:tcPr>
        <w:tcBorders>
          <w:top w:val="single" w:sz="8" w:space="0" w:color="5B6771" w:themeColor="accent3"/>
          <w:left w:val="nil"/>
          <w:bottom w:val="single" w:sz="8" w:space="0" w:color="5B6771"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5D9DD" w:themeFill="accent3" w:themeFillTint="3F"/>
      </w:tcPr>
    </w:tblStylePr>
    <w:tblStylePr w:type="band1Horz">
      <w:tblPr/>
      <w:tcPr>
        <w:tcBorders>
          <w:left w:val="nil"/>
          <w:right w:val="nil"/>
          <w:insideH w:val="nil"/>
          <w:insideV w:val="nil"/>
        </w:tcBorders>
        <w:shd w:val="clear" w:color="auto" w:fill="D5D9DD" w:themeFill="accent3" w:themeFillTint="3F"/>
      </w:tcPr>
    </w:tblStylePr>
  </w:style>
  <w:style w:type="table" w:styleId="LightShading-Accent4">
    <w:name w:val="Light Shading Accent 4"/>
    <w:basedOn w:val="TableNormal"/>
    <w:unhideWhenUsed/>
    <w:rsid w:val="00570E30"/>
    <w:rPr>
      <w:rFonts w:asciiTheme="minorHAnsi" w:eastAsiaTheme="minorHAnsi" w:hAnsiTheme="minorHAnsi" w:cstheme="minorBidi"/>
      <w:color w:val="BD8B0B" w:themeColor="accent4" w:themeShade="BF"/>
      <w:sz w:val="22"/>
      <w:szCs w:val="22"/>
    </w:rPr>
    <w:tblPr>
      <w:tblStyleRowBandSize w:val="1"/>
      <w:tblStyleColBandSize w:val="1"/>
      <w:tblBorders>
        <w:top w:val="single" w:sz="8" w:space="0" w:color="F1B51C" w:themeColor="accent4"/>
        <w:bottom w:val="single" w:sz="8" w:space="0" w:color="F1B51C" w:themeColor="accent4"/>
      </w:tblBorders>
    </w:tblPr>
    <w:tblStylePr w:type="firstRow">
      <w:pPr>
        <w:spacing w:before="0" w:after="0" w:line="240" w:lineRule="auto"/>
      </w:pPr>
      <w:rPr>
        <w:b/>
        <w:bCs/>
      </w:rPr>
      <w:tblPr/>
      <w:tcPr>
        <w:tcBorders>
          <w:top w:val="single" w:sz="8" w:space="0" w:color="F1B51C" w:themeColor="accent4"/>
          <w:left w:val="nil"/>
          <w:bottom w:val="single" w:sz="8" w:space="0" w:color="F1B51C" w:themeColor="accent4"/>
          <w:right w:val="nil"/>
          <w:insideH w:val="nil"/>
          <w:insideV w:val="nil"/>
        </w:tcBorders>
      </w:tcPr>
    </w:tblStylePr>
    <w:tblStylePr w:type="lastRow">
      <w:pPr>
        <w:spacing w:before="0" w:after="0" w:line="240" w:lineRule="auto"/>
      </w:pPr>
      <w:rPr>
        <w:b/>
        <w:bCs/>
      </w:rPr>
      <w:tblPr/>
      <w:tcPr>
        <w:tcBorders>
          <w:top w:val="single" w:sz="8" w:space="0" w:color="F1B51C" w:themeColor="accent4"/>
          <w:left w:val="nil"/>
          <w:bottom w:val="single" w:sz="8" w:space="0" w:color="F1B51C"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BECC6" w:themeFill="accent4" w:themeFillTint="3F"/>
      </w:tcPr>
    </w:tblStylePr>
    <w:tblStylePr w:type="band1Horz">
      <w:tblPr/>
      <w:tcPr>
        <w:tcBorders>
          <w:left w:val="nil"/>
          <w:right w:val="nil"/>
          <w:insideH w:val="nil"/>
          <w:insideV w:val="nil"/>
        </w:tcBorders>
        <w:shd w:val="clear" w:color="auto" w:fill="FBECC6" w:themeFill="accent4" w:themeFillTint="3F"/>
      </w:tcPr>
    </w:tblStylePr>
  </w:style>
  <w:style w:type="table" w:styleId="LightShading-Accent5">
    <w:name w:val="Light Shading Accent 5"/>
    <w:basedOn w:val="TableNormal"/>
    <w:unhideWhenUsed/>
    <w:rsid w:val="00570E30"/>
    <w:rPr>
      <w:rFonts w:asciiTheme="minorHAnsi" w:eastAsiaTheme="minorHAnsi" w:hAnsiTheme="minorHAnsi" w:cstheme="minorBidi"/>
      <w:color w:val="126D6E" w:themeColor="accent5" w:themeShade="BF"/>
      <w:sz w:val="22"/>
      <w:szCs w:val="22"/>
    </w:rPr>
    <w:tblPr>
      <w:tblStyleRowBandSize w:val="1"/>
      <w:tblStyleColBandSize w:val="1"/>
      <w:tblBorders>
        <w:top w:val="single" w:sz="8" w:space="0" w:color="189394" w:themeColor="accent5"/>
        <w:bottom w:val="single" w:sz="8" w:space="0" w:color="189394" w:themeColor="accent5"/>
      </w:tblBorders>
    </w:tblPr>
    <w:tblStylePr w:type="firstRow">
      <w:pPr>
        <w:spacing w:before="0" w:after="0" w:line="240" w:lineRule="auto"/>
      </w:pPr>
      <w:rPr>
        <w:b/>
        <w:bCs/>
      </w:rPr>
      <w:tblPr/>
      <w:tcPr>
        <w:tcBorders>
          <w:top w:val="single" w:sz="8" w:space="0" w:color="189394" w:themeColor="accent5"/>
          <w:left w:val="nil"/>
          <w:bottom w:val="single" w:sz="8" w:space="0" w:color="189394" w:themeColor="accent5"/>
          <w:right w:val="nil"/>
          <w:insideH w:val="nil"/>
          <w:insideV w:val="nil"/>
        </w:tcBorders>
      </w:tcPr>
    </w:tblStylePr>
    <w:tblStylePr w:type="lastRow">
      <w:pPr>
        <w:spacing w:before="0" w:after="0" w:line="240" w:lineRule="auto"/>
      </w:pPr>
      <w:rPr>
        <w:b/>
        <w:bCs/>
      </w:rPr>
      <w:tblPr/>
      <w:tcPr>
        <w:tcBorders>
          <w:top w:val="single" w:sz="8" w:space="0" w:color="189394" w:themeColor="accent5"/>
          <w:left w:val="nil"/>
          <w:bottom w:val="single" w:sz="8" w:space="0" w:color="18939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7F2F3" w:themeFill="accent5" w:themeFillTint="3F"/>
      </w:tcPr>
    </w:tblStylePr>
    <w:tblStylePr w:type="band1Horz">
      <w:tblPr/>
      <w:tcPr>
        <w:tcBorders>
          <w:left w:val="nil"/>
          <w:right w:val="nil"/>
          <w:insideH w:val="nil"/>
          <w:insideV w:val="nil"/>
        </w:tcBorders>
        <w:shd w:val="clear" w:color="auto" w:fill="B7F2F3" w:themeFill="accent5" w:themeFillTint="3F"/>
      </w:tcPr>
    </w:tblStylePr>
  </w:style>
  <w:style w:type="table" w:styleId="LightShading-Accent6">
    <w:name w:val="Light Shading Accent 6"/>
    <w:basedOn w:val="TableNormal"/>
    <w:unhideWhenUsed/>
    <w:rsid w:val="00570E30"/>
    <w:rPr>
      <w:rFonts w:asciiTheme="minorHAnsi" w:eastAsiaTheme="minorHAnsi" w:hAnsiTheme="minorHAnsi" w:cstheme="minorBidi"/>
      <w:color w:val="117C55" w:themeColor="accent6" w:themeShade="BF"/>
      <w:sz w:val="22"/>
      <w:szCs w:val="22"/>
    </w:rPr>
    <w:tblPr>
      <w:tblStyleRowBandSize w:val="1"/>
      <w:tblStyleColBandSize w:val="1"/>
      <w:tblBorders>
        <w:top w:val="single" w:sz="8" w:space="0" w:color="17A673" w:themeColor="accent6"/>
        <w:bottom w:val="single" w:sz="8" w:space="0" w:color="17A673" w:themeColor="accent6"/>
      </w:tblBorders>
    </w:tblPr>
    <w:tblStylePr w:type="firstRow">
      <w:pPr>
        <w:spacing w:before="0" w:after="0" w:line="240" w:lineRule="auto"/>
      </w:pPr>
      <w:rPr>
        <w:b/>
        <w:bCs/>
      </w:rPr>
      <w:tblPr/>
      <w:tcPr>
        <w:tcBorders>
          <w:top w:val="single" w:sz="8" w:space="0" w:color="17A673" w:themeColor="accent6"/>
          <w:left w:val="nil"/>
          <w:bottom w:val="single" w:sz="8" w:space="0" w:color="17A673" w:themeColor="accent6"/>
          <w:right w:val="nil"/>
          <w:insideH w:val="nil"/>
          <w:insideV w:val="nil"/>
        </w:tcBorders>
      </w:tcPr>
    </w:tblStylePr>
    <w:tblStylePr w:type="lastRow">
      <w:pPr>
        <w:spacing w:before="0" w:after="0" w:line="240" w:lineRule="auto"/>
      </w:pPr>
      <w:rPr>
        <w:b/>
        <w:bCs/>
      </w:rPr>
      <w:tblPr/>
      <w:tcPr>
        <w:tcBorders>
          <w:top w:val="single" w:sz="8" w:space="0" w:color="17A673" w:themeColor="accent6"/>
          <w:left w:val="nil"/>
          <w:bottom w:val="single" w:sz="8" w:space="0" w:color="17A673"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9F5DF" w:themeFill="accent6" w:themeFillTint="3F"/>
      </w:tcPr>
    </w:tblStylePr>
    <w:tblStylePr w:type="band1Horz">
      <w:tblPr/>
      <w:tcPr>
        <w:tcBorders>
          <w:left w:val="nil"/>
          <w:right w:val="nil"/>
          <w:insideH w:val="nil"/>
          <w:insideV w:val="nil"/>
        </w:tcBorders>
        <w:shd w:val="clear" w:color="auto" w:fill="B9F5DF" w:themeFill="accent6" w:themeFillTint="3F"/>
      </w:tcPr>
    </w:tblStylePr>
  </w:style>
  <w:style w:type="character" w:styleId="LineNumber">
    <w:name w:val="line number"/>
    <w:basedOn w:val="DefaultParagraphFont"/>
    <w:qFormat/>
    <w:rsid w:val="00570E30"/>
  </w:style>
  <w:style w:type="paragraph" w:styleId="ListContinue4">
    <w:name w:val="List Continue 4"/>
    <w:basedOn w:val="Normal"/>
    <w:qFormat/>
    <w:rsid w:val="00570E30"/>
    <w:pPr>
      <w:spacing w:after="120"/>
      <w:ind w:left="720"/>
      <w:contextualSpacing/>
    </w:pPr>
  </w:style>
  <w:style w:type="paragraph" w:styleId="ListContinue5">
    <w:name w:val="List Continue 5"/>
    <w:basedOn w:val="Normal"/>
    <w:qFormat/>
    <w:rsid w:val="00570E30"/>
    <w:pPr>
      <w:spacing w:after="120"/>
      <w:ind w:left="1080"/>
      <w:contextualSpacing/>
    </w:pPr>
  </w:style>
  <w:style w:type="table" w:styleId="ListTable1Light">
    <w:name w:val="List Table 1 Light"/>
    <w:basedOn w:val="TableNormal"/>
    <w:rsid w:val="00570E30"/>
    <w:rPr>
      <w:rFonts w:asciiTheme="minorHAnsi" w:eastAsiaTheme="minorHAnsi" w:hAnsiTheme="minorHAnsi" w:cstheme="minorBidi"/>
      <w:sz w:val="22"/>
      <w:szCs w:val="22"/>
    </w:r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1Light-Accent1">
    <w:name w:val="List Table 1 Light Accent 1"/>
    <w:basedOn w:val="TableNormal"/>
    <w:rsid w:val="00570E30"/>
    <w:rPr>
      <w:rFonts w:asciiTheme="minorHAnsi" w:eastAsiaTheme="minorHAnsi" w:hAnsiTheme="minorHAnsi" w:cstheme="minorBidi"/>
      <w:sz w:val="22"/>
      <w:szCs w:val="22"/>
    </w:rPr>
    <w:tblPr>
      <w:tblStyleRowBandSize w:val="1"/>
      <w:tblStyleColBandSize w:val="1"/>
    </w:tblPr>
    <w:tblStylePr w:type="firstRow">
      <w:rPr>
        <w:b/>
        <w:bCs/>
      </w:rPr>
      <w:tblPr/>
      <w:tcPr>
        <w:tcBorders>
          <w:bottom w:val="single" w:sz="4" w:space="0" w:color="217BDD" w:themeColor="accent1" w:themeTint="99"/>
        </w:tcBorders>
      </w:tcPr>
    </w:tblStylePr>
    <w:tblStylePr w:type="lastRow">
      <w:rPr>
        <w:b/>
        <w:bCs/>
      </w:rPr>
      <w:tblPr/>
      <w:tcPr>
        <w:tcBorders>
          <w:top w:val="single" w:sz="4" w:space="0" w:color="217BDD" w:themeColor="accent1" w:themeTint="99"/>
        </w:tcBorders>
      </w:tcPr>
    </w:tblStylePr>
    <w:tblStylePr w:type="firstCol">
      <w:rPr>
        <w:b/>
        <w:bCs/>
      </w:rPr>
    </w:tblStylePr>
    <w:tblStylePr w:type="lastCol">
      <w:rPr>
        <w:b/>
        <w:bCs/>
      </w:rPr>
    </w:tblStylePr>
    <w:tblStylePr w:type="band1Vert">
      <w:tblPr/>
      <w:tcPr>
        <w:shd w:val="clear" w:color="auto" w:fill="B4D3F3" w:themeFill="accent1" w:themeFillTint="33"/>
      </w:tcPr>
    </w:tblStylePr>
    <w:tblStylePr w:type="band1Horz">
      <w:tblPr/>
      <w:tcPr>
        <w:shd w:val="clear" w:color="auto" w:fill="B4D3F3" w:themeFill="accent1" w:themeFillTint="33"/>
      </w:tcPr>
    </w:tblStylePr>
  </w:style>
  <w:style w:type="table" w:styleId="ListTable1Light-Accent2">
    <w:name w:val="List Table 1 Light Accent 2"/>
    <w:basedOn w:val="TableNormal"/>
    <w:rsid w:val="00570E30"/>
    <w:rPr>
      <w:rFonts w:asciiTheme="minorHAnsi" w:eastAsiaTheme="minorHAnsi" w:hAnsiTheme="minorHAnsi" w:cstheme="minorBidi"/>
      <w:sz w:val="22"/>
      <w:szCs w:val="22"/>
    </w:rPr>
    <w:tblPr>
      <w:tblStyleRowBandSize w:val="1"/>
      <w:tblStyleColBandSize w:val="1"/>
    </w:tblPr>
    <w:tblStylePr w:type="firstRow">
      <w:rPr>
        <w:b/>
        <w:bCs/>
      </w:rPr>
      <w:tblPr/>
      <w:tcPr>
        <w:tcBorders>
          <w:bottom w:val="single" w:sz="4" w:space="0" w:color="E67C79" w:themeColor="accent2" w:themeTint="99"/>
        </w:tcBorders>
      </w:tcPr>
    </w:tblStylePr>
    <w:tblStylePr w:type="lastRow">
      <w:rPr>
        <w:b/>
        <w:bCs/>
      </w:rPr>
      <w:tblPr/>
      <w:tcPr>
        <w:tcBorders>
          <w:top w:val="single" w:sz="4" w:space="0" w:color="E67C79" w:themeColor="accent2" w:themeTint="99"/>
        </w:tcBorders>
      </w:tcPr>
    </w:tblStylePr>
    <w:tblStylePr w:type="firstCol">
      <w:rPr>
        <w:b/>
        <w:bCs/>
      </w:rPr>
    </w:tblStylePr>
    <w:tblStylePr w:type="lastCol">
      <w:rPr>
        <w:b/>
        <w:bCs/>
      </w:rPr>
    </w:tblStylePr>
    <w:tblStylePr w:type="band1Vert">
      <w:tblPr/>
      <w:tcPr>
        <w:shd w:val="clear" w:color="auto" w:fill="F6D3D2" w:themeFill="accent2" w:themeFillTint="33"/>
      </w:tcPr>
    </w:tblStylePr>
    <w:tblStylePr w:type="band1Horz">
      <w:tblPr/>
      <w:tcPr>
        <w:shd w:val="clear" w:color="auto" w:fill="F6D3D2" w:themeFill="accent2" w:themeFillTint="33"/>
      </w:tcPr>
    </w:tblStylePr>
  </w:style>
  <w:style w:type="table" w:styleId="ListTable1Light-Accent3">
    <w:name w:val="List Table 1 Light Accent 3"/>
    <w:basedOn w:val="TableNormal"/>
    <w:rsid w:val="00570E30"/>
    <w:rPr>
      <w:rFonts w:asciiTheme="minorHAnsi" w:eastAsiaTheme="minorHAnsi" w:hAnsiTheme="minorHAnsi" w:cstheme="minorBidi"/>
      <w:sz w:val="22"/>
      <w:szCs w:val="22"/>
    </w:rPr>
    <w:tblPr>
      <w:tblStyleRowBandSize w:val="1"/>
      <w:tblStyleColBandSize w:val="1"/>
    </w:tblPr>
    <w:tblStylePr w:type="firstRow">
      <w:rPr>
        <w:b/>
        <w:bCs/>
      </w:rPr>
      <w:tblPr/>
      <w:tcPr>
        <w:tcBorders>
          <w:bottom w:val="single" w:sz="4" w:space="0" w:color="99A4AD" w:themeColor="accent3" w:themeTint="99"/>
        </w:tcBorders>
      </w:tcPr>
    </w:tblStylePr>
    <w:tblStylePr w:type="lastRow">
      <w:rPr>
        <w:b/>
        <w:bCs/>
      </w:rPr>
      <w:tblPr/>
      <w:tcPr>
        <w:tcBorders>
          <w:top w:val="single" w:sz="4" w:space="0" w:color="99A4AD" w:themeColor="accent3" w:themeTint="99"/>
        </w:tcBorders>
      </w:tcPr>
    </w:tblStylePr>
    <w:tblStylePr w:type="firstCol">
      <w:rPr>
        <w:b/>
        <w:bCs/>
      </w:rPr>
    </w:tblStylePr>
    <w:tblStylePr w:type="lastCol">
      <w:rPr>
        <w:b/>
        <w:bCs/>
      </w:rPr>
    </w:tblStylePr>
    <w:tblStylePr w:type="band1Vert">
      <w:tblPr/>
      <w:tcPr>
        <w:shd w:val="clear" w:color="auto" w:fill="DDE0E3" w:themeFill="accent3" w:themeFillTint="33"/>
      </w:tcPr>
    </w:tblStylePr>
    <w:tblStylePr w:type="band1Horz">
      <w:tblPr/>
      <w:tcPr>
        <w:shd w:val="clear" w:color="auto" w:fill="DDE0E3" w:themeFill="accent3" w:themeFillTint="33"/>
      </w:tcPr>
    </w:tblStylePr>
  </w:style>
  <w:style w:type="table" w:styleId="ListTable1Light-Accent4">
    <w:name w:val="List Table 1 Light Accent 4"/>
    <w:basedOn w:val="TableNormal"/>
    <w:rsid w:val="00570E30"/>
    <w:rPr>
      <w:rFonts w:asciiTheme="minorHAnsi" w:eastAsiaTheme="minorHAnsi" w:hAnsiTheme="minorHAnsi" w:cstheme="minorBidi"/>
      <w:sz w:val="22"/>
      <w:szCs w:val="22"/>
    </w:rPr>
    <w:tblPr>
      <w:tblStyleRowBandSize w:val="1"/>
      <w:tblStyleColBandSize w:val="1"/>
    </w:tblPr>
    <w:tblStylePr w:type="firstRow">
      <w:rPr>
        <w:b/>
        <w:bCs/>
      </w:rPr>
      <w:tblPr/>
      <w:tcPr>
        <w:tcBorders>
          <w:bottom w:val="single" w:sz="4" w:space="0" w:color="F6D276" w:themeColor="accent4" w:themeTint="99"/>
        </w:tcBorders>
      </w:tcPr>
    </w:tblStylePr>
    <w:tblStylePr w:type="lastRow">
      <w:rPr>
        <w:b/>
        <w:bCs/>
      </w:rPr>
      <w:tblPr/>
      <w:tcPr>
        <w:tcBorders>
          <w:top w:val="single" w:sz="4" w:space="0" w:color="F6D276" w:themeColor="accent4" w:themeTint="99"/>
        </w:tcBorders>
      </w:tcPr>
    </w:tblStylePr>
    <w:tblStylePr w:type="firstCol">
      <w:rPr>
        <w:b/>
        <w:bCs/>
      </w:rPr>
    </w:tblStylePr>
    <w:tblStylePr w:type="lastCol">
      <w:rPr>
        <w:b/>
        <w:bCs/>
      </w:rPr>
    </w:tblStylePr>
    <w:tblStylePr w:type="band1Vert">
      <w:tblPr/>
      <w:tcPr>
        <w:shd w:val="clear" w:color="auto" w:fill="FCF0D1" w:themeFill="accent4" w:themeFillTint="33"/>
      </w:tcPr>
    </w:tblStylePr>
    <w:tblStylePr w:type="band1Horz">
      <w:tblPr/>
      <w:tcPr>
        <w:shd w:val="clear" w:color="auto" w:fill="FCF0D1" w:themeFill="accent4" w:themeFillTint="33"/>
      </w:tcPr>
    </w:tblStylePr>
  </w:style>
  <w:style w:type="table" w:styleId="ListTable1Light-Accent5">
    <w:name w:val="List Table 1 Light Accent 5"/>
    <w:basedOn w:val="TableNormal"/>
    <w:rsid w:val="00570E30"/>
    <w:rPr>
      <w:rFonts w:asciiTheme="minorHAnsi" w:eastAsiaTheme="minorHAnsi" w:hAnsiTheme="minorHAnsi" w:cstheme="minorBidi"/>
      <w:sz w:val="22"/>
      <w:szCs w:val="22"/>
    </w:rPr>
    <w:tblPr>
      <w:tblStyleRowBandSize w:val="1"/>
      <w:tblStyleColBandSize w:val="1"/>
    </w:tblPr>
    <w:tblStylePr w:type="firstRow">
      <w:rPr>
        <w:b/>
        <w:bCs/>
      </w:rPr>
      <w:tblPr/>
      <w:tcPr>
        <w:tcBorders>
          <w:bottom w:val="single" w:sz="4" w:space="0" w:color="50E1E2" w:themeColor="accent5" w:themeTint="99"/>
        </w:tcBorders>
      </w:tcPr>
    </w:tblStylePr>
    <w:tblStylePr w:type="lastRow">
      <w:rPr>
        <w:b/>
        <w:bCs/>
      </w:rPr>
      <w:tblPr/>
      <w:tcPr>
        <w:tcBorders>
          <w:top w:val="single" w:sz="4" w:space="0" w:color="50E1E2" w:themeColor="accent5" w:themeTint="99"/>
        </w:tcBorders>
      </w:tcPr>
    </w:tblStylePr>
    <w:tblStylePr w:type="firstCol">
      <w:rPr>
        <w:b/>
        <w:bCs/>
      </w:rPr>
    </w:tblStylePr>
    <w:tblStylePr w:type="lastCol">
      <w:rPr>
        <w:b/>
        <w:bCs/>
      </w:rPr>
    </w:tblStylePr>
    <w:tblStylePr w:type="band1Vert">
      <w:tblPr/>
      <w:tcPr>
        <w:shd w:val="clear" w:color="auto" w:fill="C4F5F5" w:themeFill="accent5" w:themeFillTint="33"/>
      </w:tcPr>
    </w:tblStylePr>
    <w:tblStylePr w:type="band1Horz">
      <w:tblPr/>
      <w:tcPr>
        <w:shd w:val="clear" w:color="auto" w:fill="C4F5F5" w:themeFill="accent5" w:themeFillTint="33"/>
      </w:tcPr>
    </w:tblStylePr>
  </w:style>
  <w:style w:type="table" w:styleId="ListTable1Light-Accent6">
    <w:name w:val="List Table 1 Light Accent 6"/>
    <w:basedOn w:val="TableNormal"/>
    <w:rsid w:val="00570E30"/>
    <w:rPr>
      <w:rFonts w:asciiTheme="minorHAnsi" w:eastAsiaTheme="minorHAnsi" w:hAnsiTheme="minorHAnsi" w:cstheme="minorBidi"/>
      <w:sz w:val="22"/>
      <w:szCs w:val="22"/>
    </w:rPr>
    <w:tblPr>
      <w:tblStyleRowBandSize w:val="1"/>
      <w:tblStyleColBandSize w:val="1"/>
    </w:tblPr>
    <w:tblStylePr w:type="firstRow">
      <w:rPr>
        <w:b/>
        <w:bCs/>
      </w:rPr>
      <w:tblPr/>
      <w:tcPr>
        <w:tcBorders>
          <w:bottom w:val="single" w:sz="4" w:space="0" w:color="55E7B3" w:themeColor="accent6" w:themeTint="99"/>
        </w:tcBorders>
      </w:tcPr>
    </w:tblStylePr>
    <w:tblStylePr w:type="lastRow">
      <w:rPr>
        <w:b/>
        <w:bCs/>
      </w:rPr>
      <w:tblPr/>
      <w:tcPr>
        <w:tcBorders>
          <w:top w:val="single" w:sz="4" w:space="0" w:color="55E7B3" w:themeColor="accent6" w:themeTint="99"/>
        </w:tcBorders>
      </w:tcPr>
    </w:tblStylePr>
    <w:tblStylePr w:type="firstCol">
      <w:rPr>
        <w:b/>
        <w:bCs/>
      </w:rPr>
    </w:tblStylePr>
    <w:tblStylePr w:type="lastCol">
      <w:rPr>
        <w:b/>
        <w:bCs/>
      </w:rPr>
    </w:tblStylePr>
    <w:tblStylePr w:type="band1Vert">
      <w:tblPr/>
      <w:tcPr>
        <w:shd w:val="clear" w:color="auto" w:fill="C6F7E5" w:themeFill="accent6" w:themeFillTint="33"/>
      </w:tcPr>
    </w:tblStylePr>
    <w:tblStylePr w:type="band1Horz">
      <w:tblPr/>
      <w:tcPr>
        <w:shd w:val="clear" w:color="auto" w:fill="C6F7E5" w:themeFill="accent6" w:themeFillTint="33"/>
      </w:tcPr>
    </w:tblStylePr>
  </w:style>
  <w:style w:type="table" w:styleId="ListTable2">
    <w:name w:val="List Table 2"/>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2-Accent1">
    <w:name w:val="List Table 2 Accent 1"/>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217BDD" w:themeColor="accent1" w:themeTint="99"/>
        <w:bottom w:val="single" w:sz="4" w:space="0" w:color="217BDD" w:themeColor="accent1" w:themeTint="99"/>
        <w:insideH w:val="single" w:sz="4" w:space="0" w:color="217BDD"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B4D3F3" w:themeFill="accent1" w:themeFillTint="33"/>
      </w:tcPr>
    </w:tblStylePr>
    <w:tblStylePr w:type="band1Horz">
      <w:tblPr/>
      <w:tcPr>
        <w:shd w:val="clear" w:color="auto" w:fill="B4D3F3" w:themeFill="accent1" w:themeFillTint="33"/>
      </w:tcPr>
    </w:tblStylePr>
  </w:style>
  <w:style w:type="table" w:styleId="ListTable2-Accent2">
    <w:name w:val="List Table 2 Accent 2"/>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E67C79" w:themeColor="accent2" w:themeTint="99"/>
        <w:bottom w:val="single" w:sz="4" w:space="0" w:color="E67C79" w:themeColor="accent2" w:themeTint="99"/>
        <w:insideH w:val="single" w:sz="4" w:space="0" w:color="E67C79"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6D3D2" w:themeFill="accent2" w:themeFillTint="33"/>
      </w:tcPr>
    </w:tblStylePr>
    <w:tblStylePr w:type="band1Horz">
      <w:tblPr/>
      <w:tcPr>
        <w:shd w:val="clear" w:color="auto" w:fill="F6D3D2" w:themeFill="accent2" w:themeFillTint="33"/>
      </w:tcPr>
    </w:tblStylePr>
  </w:style>
  <w:style w:type="table" w:styleId="ListTable2-Accent3">
    <w:name w:val="List Table 2 Accent 3"/>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99A4AD" w:themeColor="accent3" w:themeTint="99"/>
        <w:bottom w:val="single" w:sz="4" w:space="0" w:color="99A4AD" w:themeColor="accent3" w:themeTint="99"/>
        <w:insideH w:val="single" w:sz="4" w:space="0" w:color="99A4AD"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DE0E3" w:themeFill="accent3" w:themeFillTint="33"/>
      </w:tcPr>
    </w:tblStylePr>
    <w:tblStylePr w:type="band1Horz">
      <w:tblPr/>
      <w:tcPr>
        <w:shd w:val="clear" w:color="auto" w:fill="DDE0E3" w:themeFill="accent3" w:themeFillTint="33"/>
      </w:tcPr>
    </w:tblStylePr>
  </w:style>
  <w:style w:type="table" w:styleId="ListTable2-Accent4">
    <w:name w:val="List Table 2 Accent 4"/>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F6D276" w:themeColor="accent4" w:themeTint="99"/>
        <w:bottom w:val="single" w:sz="4" w:space="0" w:color="F6D276" w:themeColor="accent4" w:themeTint="99"/>
        <w:insideH w:val="single" w:sz="4" w:space="0" w:color="F6D276"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CF0D1" w:themeFill="accent4" w:themeFillTint="33"/>
      </w:tcPr>
    </w:tblStylePr>
    <w:tblStylePr w:type="band1Horz">
      <w:tblPr/>
      <w:tcPr>
        <w:shd w:val="clear" w:color="auto" w:fill="FCF0D1" w:themeFill="accent4" w:themeFillTint="33"/>
      </w:tcPr>
    </w:tblStylePr>
  </w:style>
  <w:style w:type="table" w:styleId="ListTable2-Accent5">
    <w:name w:val="List Table 2 Accent 5"/>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50E1E2" w:themeColor="accent5" w:themeTint="99"/>
        <w:bottom w:val="single" w:sz="4" w:space="0" w:color="50E1E2" w:themeColor="accent5" w:themeTint="99"/>
        <w:insideH w:val="single" w:sz="4" w:space="0" w:color="50E1E2"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4F5F5" w:themeFill="accent5" w:themeFillTint="33"/>
      </w:tcPr>
    </w:tblStylePr>
    <w:tblStylePr w:type="band1Horz">
      <w:tblPr/>
      <w:tcPr>
        <w:shd w:val="clear" w:color="auto" w:fill="C4F5F5" w:themeFill="accent5" w:themeFillTint="33"/>
      </w:tcPr>
    </w:tblStylePr>
  </w:style>
  <w:style w:type="table" w:styleId="ListTable2-Accent6">
    <w:name w:val="List Table 2 Accent 6"/>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55E7B3" w:themeColor="accent6" w:themeTint="99"/>
        <w:bottom w:val="single" w:sz="4" w:space="0" w:color="55E7B3" w:themeColor="accent6" w:themeTint="99"/>
        <w:insideH w:val="single" w:sz="4" w:space="0" w:color="55E7B3"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6F7E5" w:themeFill="accent6" w:themeFillTint="33"/>
      </w:tcPr>
    </w:tblStylePr>
    <w:tblStylePr w:type="band1Horz">
      <w:tblPr/>
      <w:tcPr>
        <w:shd w:val="clear" w:color="auto" w:fill="C6F7E5" w:themeFill="accent6" w:themeFillTint="33"/>
      </w:tcPr>
    </w:tblStylePr>
  </w:style>
  <w:style w:type="table" w:styleId="ListTable3">
    <w:name w:val="List Table 3"/>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ListTable3-Accent1">
    <w:name w:val="List Table 3 Accent 1"/>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0B2949" w:themeColor="accent1"/>
        <w:left w:val="single" w:sz="4" w:space="0" w:color="0B2949" w:themeColor="accent1"/>
        <w:bottom w:val="single" w:sz="4" w:space="0" w:color="0B2949" w:themeColor="accent1"/>
        <w:right w:val="single" w:sz="4" w:space="0" w:color="0B2949" w:themeColor="accent1"/>
      </w:tblBorders>
    </w:tblPr>
    <w:tblStylePr w:type="firstRow">
      <w:rPr>
        <w:b/>
        <w:bCs/>
        <w:color w:val="FFFFFF" w:themeColor="background1"/>
      </w:rPr>
      <w:tblPr/>
      <w:tcPr>
        <w:shd w:val="clear" w:color="auto" w:fill="0B2949" w:themeFill="accent1"/>
      </w:tcPr>
    </w:tblStylePr>
    <w:tblStylePr w:type="lastRow">
      <w:rPr>
        <w:b/>
        <w:bCs/>
      </w:rPr>
      <w:tblPr/>
      <w:tcPr>
        <w:tcBorders>
          <w:top w:val="double" w:sz="4" w:space="0" w:color="0B2949"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B2949" w:themeColor="accent1"/>
          <w:right w:val="single" w:sz="4" w:space="0" w:color="0B2949" w:themeColor="accent1"/>
        </w:tcBorders>
      </w:tcPr>
    </w:tblStylePr>
    <w:tblStylePr w:type="band1Horz">
      <w:tblPr/>
      <w:tcPr>
        <w:tcBorders>
          <w:top w:val="single" w:sz="4" w:space="0" w:color="0B2949" w:themeColor="accent1"/>
          <w:bottom w:val="single" w:sz="4" w:space="0" w:color="0B2949"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B2949" w:themeColor="accent1"/>
          <w:left w:val="nil"/>
        </w:tcBorders>
      </w:tcPr>
    </w:tblStylePr>
    <w:tblStylePr w:type="swCell">
      <w:tblPr/>
      <w:tcPr>
        <w:tcBorders>
          <w:top w:val="double" w:sz="4" w:space="0" w:color="0B2949" w:themeColor="accent1"/>
          <w:right w:val="nil"/>
        </w:tcBorders>
      </w:tcPr>
    </w:tblStylePr>
  </w:style>
  <w:style w:type="table" w:styleId="ListTable3-Accent2">
    <w:name w:val="List Table 3 Accent 2"/>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D02B27" w:themeColor="accent2"/>
        <w:left w:val="single" w:sz="4" w:space="0" w:color="D02B27" w:themeColor="accent2"/>
        <w:bottom w:val="single" w:sz="4" w:space="0" w:color="D02B27" w:themeColor="accent2"/>
        <w:right w:val="single" w:sz="4" w:space="0" w:color="D02B27" w:themeColor="accent2"/>
      </w:tblBorders>
    </w:tblPr>
    <w:tblStylePr w:type="firstRow">
      <w:rPr>
        <w:b/>
        <w:bCs/>
        <w:color w:val="FFFFFF" w:themeColor="background1"/>
      </w:rPr>
      <w:tblPr/>
      <w:tcPr>
        <w:shd w:val="clear" w:color="auto" w:fill="D02B27" w:themeFill="accent2"/>
      </w:tcPr>
    </w:tblStylePr>
    <w:tblStylePr w:type="lastRow">
      <w:rPr>
        <w:b/>
        <w:bCs/>
      </w:rPr>
      <w:tblPr/>
      <w:tcPr>
        <w:tcBorders>
          <w:top w:val="double" w:sz="4" w:space="0" w:color="D02B27"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D02B27" w:themeColor="accent2"/>
          <w:right w:val="single" w:sz="4" w:space="0" w:color="D02B27" w:themeColor="accent2"/>
        </w:tcBorders>
      </w:tcPr>
    </w:tblStylePr>
    <w:tblStylePr w:type="band1Horz">
      <w:tblPr/>
      <w:tcPr>
        <w:tcBorders>
          <w:top w:val="single" w:sz="4" w:space="0" w:color="D02B27" w:themeColor="accent2"/>
          <w:bottom w:val="single" w:sz="4" w:space="0" w:color="D02B27"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D02B27" w:themeColor="accent2"/>
          <w:left w:val="nil"/>
        </w:tcBorders>
      </w:tcPr>
    </w:tblStylePr>
    <w:tblStylePr w:type="swCell">
      <w:tblPr/>
      <w:tcPr>
        <w:tcBorders>
          <w:top w:val="double" w:sz="4" w:space="0" w:color="D02B27" w:themeColor="accent2"/>
          <w:right w:val="nil"/>
        </w:tcBorders>
      </w:tcPr>
    </w:tblStylePr>
  </w:style>
  <w:style w:type="table" w:styleId="ListTable3-Accent3">
    <w:name w:val="List Table 3 Accent 3"/>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5B6771" w:themeColor="accent3"/>
        <w:left w:val="single" w:sz="4" w:space="0" w:color="5B6771" w:themeColor="accent3"/>
        <w:bottom w:val="single" w:sz="4" w:space="0" w:color="5B6771" w:themeColor="accent3"/>
        <w:right w:val="single" w:sz="4" w:space="0" w:color="5B6771" w:themeColor="accent3"/>
      </w:tblBorders>
    </w:tblPr>
    <w:tblStylePr w:type="firstRow">
      <w:rPr>
        <w:b/>
        <w:bCs/>
        <w:color w:val="FFFFFF" w:themeColor="background1"/>
      </w:rPr>
      <w:tblPr/>
      <w:tcPr>
        <w:shd w:val="clear" w:color="auto" w:fill="5B6771" w:themeFill="accent3"/>
      </w:tcPr>
    </w:tblStylePr>
    <w:tblStylePr w:type="lastRow">
      <w:rPr>
        <w:b/>
        <w:bCs/>
      </w:rPr>
      <w:tblPr/>
      <w:tcPr>
        <w:tcBorders>
          <w:top w:val="double" w:sz="4" w:space="0" w:color="5B6771"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6771" w:themeColor="accent3"/>
          <w:right w:val="single" w:sz="4" w:space="0" w:color="5B6771" w:themeColor="accent3"/>
        </w:tcBorders>
      </w:tcPr>
    </w:tblStylePr>
    <w:tblStylePr w:type="band1Horz">
      <w:tblPr/>
      <w:tcPr>
        <w:tcBorders>
          <w:top w:val="single" w:sz="4" w:space="0" w:color="5B6771" w:themeColor="accent3"/>
          <w:bottom w:val="single" w:sz="4" w:space="0" w:color="5B6771"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6771" w:themeColor="accent3"/>
          <w:left w:val="nil"/>
        </w:tcBorders>
      </w:tcPr>
    </w:tblStylePr>
    <w:tblStylePr w:type="swCell">
      <w:tblPr/>
      <w:tcPr>
        <w:tcBorders>
          <w:top w:val="double" w:sz="4" w:space="0" w:color="5B6771" w:themeColor="accent3"/>
          <w:right w:val="nil"/>
        </w:tcBorders>
      </w:tcPr>
    </w:tblStylePr>
  </w:style>
  <w:style w:type="table" w:styleId="ListTable3-Accent4">
    <w:name w:val="List Table 3 Accent 4"/>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F1B51C" w:themeColor="accent4"/>
        <w:left w:val="single" w:sz="4" w:space="0" w:color="F1B51C" w:themeColor="accent4"/>
        <w:bottom w:val="single" w:sz="4" w:space="0" w:color="F1B51C" w:themeColor="accent4"/>
        <w:right w:val="single" w:sz="4" w:space="0" w:color="F1B51C" w:themeColor="accent4"/>
      </w:tblBorders>
    </w:tblPr>
    <w:tblStylePr w:type="firstRow">
      <w:rPr>
        <w:b/>
        <w:bCs/>
        <w:color w:val="FFFFFF" w:themeColor="background1"/>
      </w:rPr>
      <w:tblPr/>
      <w:tcPr>
        <w:shd w:val="clear" w:color="auto" w:fill="F1B51C" w:themeFill="accent4"/>
      </w:tcPr>
    </w:tblStylePr>
    <w:tblStylePr w:type="lastRow">
      <w:rPr>
        <w:b/>
        <w:bCs/>
      </w:rPr>
      <w:tblPr/>
      <w:tcPr>
        <w:tcBorders>
          <w:top w:val="double" w:sz="4" w:space="0" w:color="F1B51C"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1B51C" w:themeColor="accent4"/>
          <w:right w:val="single" w:sz="4" w:space="0" w:color="F1B51C" w:themeColor="accent4"/>
        </w:tcBorders>
      </w:tcPr>
    </w:tblStylePr>
    <w:tblStylePr w:type="band1Horz">
      <w:tblPr/>
      <w:tcPr>
        <w:tcBorders>
          <w:top w:val="single" w:sz="4" w:space="0" w:color="F1B51C" w:themeColor="accent4"/>
          <w:bottom w:val="single" w:sz="4" w:space="0" w:color="F1B51C"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1B51C" w:themeColor="accent4"/>
          <w:left w:val="nil"/>
        </w:tcBorders>
      </w:tcPr>
    </w:tblStylePr>
    <w:tblStylePr w:type="swCell">
      <w:tblPr/>
      <w:tcPr>
        <w:tcBorders>
          <w:top w:val="double" w:sz="4" w:space="0" w:color="F1B51C" w:themeColor="accent4"/>
          <w:right w:val="nil"/>
        </w:tcBorders>
      </w:tcPr>
    </w:tblStylePr>
  </w:style>
  <w:style w:type="table" w:styleId="ListTable3-Accent5">
    <w:name w:val="List Table 3 Accent 5"/>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189394" w:themeColor="accent5"/>
        <w:left w:val="single" w:sz="4" w:space="0" w:color="189394" w:themeColor="accent5"/>
        <w:bottom w:val="single" w:sz="4" w:space="0" w:color="189394" w:themeColor="accent5"/>
        <w:right w:val="single" w:sz="4" w:space="0" w:color="189394" w:themeColor="accent5"/>
      </w:tblBorders>
    </w:tblPr>
    <w:tblStylePr w:type="firstRow">
      <w:rPr>
        <w:b/>
        <w:bCs/>
        <w:color w:val="FFFFFF" w:themeColor="background1"/>
      </w:rPr>
      <w:tblPr/>
      <w:tcPr>
        <w:shd w:val="clear" w:color="auto" w:fill="189394" w:themeFill="accent5"/>
      </w:tcPr>
    </w:tblStylePr>
    <w:tblStylePr w:type="lastRow">
      <w:rPr>
        <w:b/>
        <w:bCs/>
      </w:rPr>
      <w:tblPr/>
      <w:tcPr>
        <w:tcBorders>
          <w:top w:val="double" w:sz="4" w:space="0" w:color="189394"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189394" w:themeColor="accent5"/>
          <w:right w:val="single" w:sz="4" w:space="0" w:color="189394" w:themeColor="accent5"/>
        </w:tcBorders>
      </w:tcPr>
    </w:tblStylePr>
    <w:tblStylePr w:type="band1Horz">
      <w:tblPr/>
      <w:tcPr>
        <w:tcBorders>
          <w:top w:val="single" w:sz="4" w:space="0" w:color="189394" w:themeColor="accent5"/>
          <w:bottom w:val="single" w:sz="4" w:space="0" w:color="189394"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189394" w:themeColor="accent5"/>
          <w:left w:val="nil"/>
        </w:tcBorders>
      </w:tcPr>
    </w:tblStylePr>
    <w:tblStylePr w:type="swCell">
      <w:tblPr/>
      <w:tcPr>
        <w:tcBorders>
          <w:top w:val="double" w:sz="4" w:space="0" w:color="189394" w:themeColor="accent5"/>
          <w:right w:val="nil"/>
        </w:tcBorders>
      </w:tcPr>
    </w:tblStylePr>
  </w:style>
  <w:style w:type="table" w:styleId="ListTable3-Accent6">
    <w:name w:val="List Table 3 Accent 6"/>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17A673" w:themeColor="accent6"/>
        <w:left w:val="single" w:sz="4" w:space="0" w:color="17A673" w:themeColor="accent6"/>
        <w:bottom w:val="single" w:sz="4" w:space="0" w:color="17A673" w:themeColor="accent6"/>
        <w:right w:val="single" w:sz="4" w:space="0" w:color="17A673" w:themeColor="accent6"/>
      </w:tblBorders>
    </w:tblPr>
    <w:tblStylePr w:type="firstRow">
      <w:rPr>
        <w:b/>
        <w:bCs/>
        <w:color w:val="FFFFFF" w:themeColor="background1"/>
      </w:rPr>
      <w:tblPr/>
      <w:tcPr>
        <w:shd w:val="clear" w:color="auto" w:fill="17A673" w:themeFill="accent6"/>
      </w:tcPr>
    </w:tblStylePr>
    <w:tblStylePr w:type="lastRow">
      <w:rPr>
        <w:b/>
        <w:bCs/>
      </w:rPr>
      <w:tblPr/>
      <w:tcPr>
        <w:tcBorders>
          <w:top w:val="double" w:sz="4" w:space="0" w:color="17A673"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17A673" w:themeColor="accent6"/>
          <w:right w:val="single" w:sz="4" w:space="0" w:color="17A673" w:themeColor="accent6"/>
        </w:tcBorders>
      </w:tcPr>
    </w:tblStylePr>
    <w:tblStylePr w:type="band1Horz">
      <w:tblPr/>
      <w:tcPr>
        <w:tcBorders>
          <w:top w:val="single" w:sz="4" w:space="0" w:color="17A673" w:themeColor="accent6"/>
          <w:bottom w:val="single" w:sz="4" w:space="0" w:color="17A673"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17A673" w:themeColor="accent6"/>
          <w:left w:val="nil"/>
        </w:tcBorders>
      </w:tcPr>
    </w:tblStylePr>
    <w:tblStylePr w:type="swCell">
      <w:tblPr/>
      <w:tcPr>
        <w:tcBorders>
          <w:top w:val="double" w:sz="4" w:space="0" w:color="17A673" w:themeColor="accent6"/>
          <w:right w:val="nil"/>
        </w:tcBorders>
      </w:tcPr>
    </w:tblStylePr>
  </w:style>
  <w:style w:type="table" w:styleId="ListTable4">
    <w:name w:val="List Table 4"/>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4-Accent1">
    <w:name w:val="List Table 4 Accent 1"/>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217BDD" w:themeColor="accent1" w:themeTint="99"/>
        <w:left w:val="single" w:sz="4" w:space="0" w:color="217BDD" w:themeColor="accent1" w:themeTint="99"/>
        <w:bottom w:val="single" w:sz="4" w:space="0" w:color="217BDD" w:themeColor="accent1" w:themeTint="99"/>
        <w:right w:val="single" w:sz="4" w:space="0" w:color="217BDD" w:themeColor="accent1" w:themeTint="99"/>
        <w:insideH w:val="single" w:sz="4" w:space="0" w:color="217BDD" w:themeColor="accent1" w:themeTint="99"/>
      </w:tblBorders>
    </w:tblPr>
    <w:tblStylePr w:type="firstRow">
      <w:rPr>
        <w:b/>
        <w:bCs/>
        <w:color w:val="FFFFFF" w:themeColor="background1"/>
      </w:rPr>
      <w:tblPr/>
      <w:tcPr>
        <w:tcBorders>
          <w:top w:val="single" w:sz="4" w:space="0" w:color="0B2949" w:themeColor="accent1"/>
          <w:left w:val="single" w:sz="4" w:space="0" w:color="0B2949" w:themeColor="accent1"/>
          <w:bottom w:val="single" w:sz="4" w:space="0" w:color="0B2949" w:themeColor="accent1"/>
          <w:right w:val="single" w:sz="4" w:space="0" w:color="0B2949" w:themeColor="accent1"/>
          <w:insideH w:val="nil"/>
        </w:tcBorders>
        <w:shd w:val="clear" w:color="auto" w:fill="0B2949" w:themeFill="accent1"/>
      </w:tcPr>
    </w:tblStylePr>
    <w:tblStylePr w:type="lastRow">
      <w:rPr>
        <w:b/>
        <w:bCs/>
      </w:rPr>
      <w:tblPr/>
      <w:tcPr>
        <w:tcBorders>
          <w:top w:val="double" w:sz="4" w:space="0" w:color="217BDD" w:themeColor="accent1" w:themeTint="99"/>
        </w:tcBorders>
      </w:tcPr>
    </w:tblStylePr>
    <w:tblStylePr w:type="firstCol">
      <w:rPr>
        <w:b/>
        <w:bCs/>
      </w:rPr>
    </w:tblStylePr>
    <w:tblStylePr w:type="lastCol">
      <w:rPr>
        <w:b/>
        <w:bCs/>
      </w:rPr>
    </w:tblStylePr>
    <w:tblStylePr w:type="band1Vert">
      <w:tblPr/>
      <w:tcPr>
        <w:shd w:val="clear" w:color="auto" w:fill="B4D3F3" w:themeFill="accent1" w:themeFillTint="33"/>
      </w:tcPr>
    </w:tblStylePr>
    <w:tblStylePr w:type="band1Horz">
      <w:tblPr/>
      <w:tcPr>
        <w:shd w:val="clear" w:color="auto" w:fill="B4D3F3" w:themeFill="accent1" w:themeFillTint="33"/>
      </w:tcPr>
    </w:tblStylePr>
  </w:style>
  <w:style w:type="table" w:styleId="ListTable4-Accent2">
    <w:name w:val="List Table 4 Accent 2"/>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E67C79" w:themeColor="accent2" w:themeTint="99"/>
        <w:left w:val="single" w:sz="4" w:space="0" w:color="E67C79" w:themeColor="accent2" w:themeTint="99"/>
        <w:bottom w:val="single" w:sz="4" w:space="0" w:color="E67C79" w:themeColor="accent2" w:themeTint="99"/>
        <w:right w:val="single" w:sz="4" w:space="0" w:color="E67C79" w:themeColor="accent2" w:themeTint="99"/>
        <w:insideH w:val="single" w:sz="4" w:space="0" w:color="E67C79" w:themeColor="accent2" w:themeTint="99"/>
      </w:tblBorders>
    </w:tblPr>
    <w:tblStylePr w:type="firstRow">
      <w:rPr>
        <w:b/>
        <w:bCs/>
        <w:color w:val="FFFFFF" w:themeColor="background1"/>
      </w:rPr>
      <w:tblPr/>
      <w:tcPr>
        <w:tcBorders>
          <w:top w:val="single" w:sz="4" w:space="0" w:color="D02B27" w:themeColor="accent2"/>
          <w:left w:val="single" w:sz="4" w:space="0" w:color="D02B27" w:themeColor="accent2"/>
          <w:bottom w:val="single" w:sz="4" w:space="0" w:color="D02B27" w:themeColor="accent2"/>
          <w:right w:val="single" w:sz="4" w:space="0" w:color="D02B27" w:themeColor="accent2"/>
          <w:insideH w:val="nil"/>
        </w:tcBorders>
        <w:shd w:val="clear" w:color="auto" w:fill="D02B27" w:themeFill="accent2"/>
      </w:tcPr>
    </w:tblStylePr>
    <w:tblStylePr w:type="lastRow">
      <w:rPr>
        <w:b/>
        <w:bCs/>
      </w:rPr>
      <w:tblPr/>
      <w:tcPr>
        <w:tcBorders>
          <w:top w:val="double" w:sz="4" w:space="0" w:color="E67C79" w:themeColor="accent2" w:themeTint="99"/>
        </w:tcBorders>
      </w:tcPr>
    </w:tblStylePr>
    <w:tblStylePr w:type="firstCol">
      <w:rPr>
        <w:b/>
        <w:bCs/>
      </w:rPr>
    </w:tblStylePr>
    <w:tblStylePr w:type="lastCol">
      <w:rPr>
        <w:b/>
        <w:bCs/>
      </w:rPr>
    </w:tblStylePr>
    <w:tblStylePr w:type="band1Vert">
      <w:tblPr/>
      <w:tcPr>
        <w:shd w:val="clear" w:color="auto" w:fill="F6D3D2" w:themeFill="accent2" w:themeFillTint="33"/>
      </w:tcPr>
    </w:tblStylePr>
    <w:tblStylePr w:type="band1Horz">
      <w:tblPr/>
      <w:tcPr>
        <w:shd w:val="clear" w:color="auto" w:fill="F6D3D2" w:themeFill="accent2" w:themeFillTint="33"/>
      </w:tcPr>
    </w:tblStylePr>
  </w:style>
  <w:style w:type="table" w:styleId="ListTable4-Accent3">
    <w:name w:val="List Table 4 Accent 3"/>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99A4AD" w:themeColor="accent3" w:themeTint="99"/>
        <w:left w:val="single" w:sz="4" w:space="0" w:color="99A4AD" w:themeColor="accent3" w:themeTint="99"/>
        <w:bottom w:val="single" w:sz="4" w:space="0" w:color="99A4AD" w:themeColor="accent3" w:themeTint="99"/>
        <w:right w:val="single" w:sz="4" w:space="0" w:color="99A4AD" w:themeColor="accent3" w:themeTint="99"/>
        <w:insideH w:val="single" w:sz="4" w:space="0" w:color="99A4AD" w:themeColor="accent3" w:themeTint="99"/>
      </w:tblBorders>
    </w:tblPr>
    <w:tblStylePr w:type="firstRow">
      <w:rPr>
        <w:b/>
        <w:bCs/>
        <w:color w:val="FFFFFF" w:themeColor="background1"/>
      </w:rPr>
      <w:tblPr/>
      <w:tcPr>
        <w:tcBorders>
          <w:top w:val="single" w:sz="4" w:space="0" w:color="5B6771" w:themeColor="accent3"/>
          <w:left w:val="single" w:sz="4" w:space="0" w:color="5B6771" w:themeColor="accent3"/>
          <w:bottom w:val="single" w:sz="4" w:space="0" w:color="5B6771" w:themeColor="accent3"/>
          <w:right w:val="single" w:sz="4" w:space="0" w:color="5B6771" w:themeColor="accent3"/>
          <w:insideH w:val="nil"/>
        </w:tcBorders>
        <w:shd w:val="clear" w:color="auto" w:fill="5B6771" w:themeFill="accent3"/>
      </w:tcPr>
    </w:tblStylePr>
    <w:tblStylePr w:type="lastRow">
      <w:rPr>
        <w:b/>
        <w:bCs/>
      </w:rPr>
      <w:tblPr/>
      <w:tcPr>
        <w:tcBorders>
          <w:top w:val="double" w:sz="4" w:space="0" w:color="99A4AD" w:themeColor="accent3" w:themeTint="99"/>
        </w:tcBorders>
      </w:tcPr>
    </w:tblStylePr>
    <w:tblStylePr w:type="firstCol">
      <w:rPr>
        <w:b/>
        <w:bCs/>
      </w:rPr>
    </w:tblStylePr>
    <w:tblStylePr w:type="lastCol">
      <w:rPr>
        <w:b/>
        <w:bCs/>
      </w:rPr>
    </w:tblStylePr>
    <w:tblStylePr w:type="band1Vert">
      <w:tblPr/>
      <w:tcPr>
        <w:shd w:val="clear" w:color="auto" w:fill="DDE0E3" w:themeFill="accent3" w:themeFillTint="33"/>
      </w:tcPr>
    </w:tblStylePr>
    <w:tblStylePr w:type="band1Horz">
      <w:tblPr/>
      <w:tcPr>
        <w:shd w:val="clear" w:color="auto" w:fill="DDE0E3" w:themeFill="accent3" w:themeFillTint="33"/>
      </w:tcPr>
    </w:tblStylePr>
  </w:style>
  <w:style w:type="table" w:styleId="ListTable4-Accent4">
    <w:name w:val="List Table 4 Accent 4"/>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F6D276" w:themeColor="accent4" w:themeTint="99"/>
        <w:left w:val="single" w:sz="4" w:space="0" w:color="F6D276" w:themeColor="accent4" w:themeTint="99"/>
        <w:bottom w:val="single" w:sz="4" w:space="0" w:color="F6D276" w:themeColor="accent4" w:themeTint="99"/>
        <w:right w:val="single" w:sz="4" w:space="0" w:color="F6D276" w:themeColor="accent4" w:themeTint="99"/>
        <w:insideH w:val="single" w:sz="4" w:space="0" w:color="F6D276" w:themeColor="accent4" w:themeTint="99"/>
      </w:tblBorders>
    </w:tblPr>
    <w:tblStylePr w:type="firstRow">
      <w:rPr>
        <w:b/>
        <w:bCs/>
        <w:color w:val="FFFFFF" w:themeColor="background1"/>
      </w:rPr>
      <w:tblPr/>
      <w:tcPr>
        <w:tcBorders>
          <w:top w:val="single" w:sz="4" w:space="0" w:color="F1B51C" w:themeColor="accent4"/>
          <w:left w:val="single" w:sz="4" w:space="0" w:color="F1B51C" w:themeColor="accent4"/>
          <w:bottom w:val="single" w:sz="4" w:space="0" w:color="F1B51C" w:themeColor="accent4"/>
          <w:right w:val="single" w:sz="4" w:space="0" w:color="F1B51C" w:themeColor="accent4"/>
          <w:insideH w:val="nil"/>
        </w:tcBorders>
        <w:shd w:val="clear" w:color="auto" w:fill="F1B51C" w:themeFill="accent4"/>
      </w:tcPr>
    </w:tblStylePr>
    <w:tblStylePr w:type="lastRow">
      <w:rPr>
        <w:b/>
        <w:bCs/>
      </w:rPr>
      <w:tblPr/>
      <w:tcPr>
        <w:tcBorders>
          <w:top w:val="double" w:sz="4" w:space="0" w:color="F6D276" w:themeColor="accent4" w:themeTint="99"/>
        </w:tcBorders>
      </w:tcPr>
    </w:tblStylePr>
    <w:tblStylePr w:type="firstCol">
      <w:rPr>
        <w:b/>
        <w:bCs/>
      </w:rPr>
    </w:tblStylePr>
    <w:tblStylePr w:type="lastCol">
      <w:rPr>
        <w:b/>
        <w:bCs/>
      </w:rPr>
    </w:tblStylePr>
    <w:tblStylePr w:type="band1Vert">
      <w:tblPr/>
      <w:tcPr>
        <w:shd w:val="clear" w:color="auto" w:fill="FCF0D1" w:themeFill="accent4" w:themeFillTint="33"/>
      </w:tcPr>
    </w:tblStylePr>
    <w:tblStylePr w:type="band1Horz">
      <w:tblPr/>
      <w:tcPr>
        <w:shd w:val="clear" w:color="auto" w:fill="FCF0D1" w:themeFill="accent4" w:themeFillTint="33"/>
      </w:tcPr>
    </w:tblStylePr>
  </w:style>
  <w:style w:type="table" w:styleId="ListTable4-Accent5">
    <w:name w:val="List Table 4 Accent 5"/>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50E1E2" w:themeColor="accent5" w:themeTint="99"/>
        <w:left w:val="single" w:sz="4" w:space="0" w:color="50E1E2" w:themeColor="accent5" w:themeTint="99"/>
        <w:bottom w:val="single" w:sz="4" w:space="0" w:color="50E1E2" w:themeColor="accent5" w:themeTint="99"/>
        <w:right w:val="single" w:sz="4" w:space="0" w:color="50E1E2" w:themeColor="accent5" w:themeTint="99"/>
        <w:insideH w:val="single" w:sz="4" w:space="0" w:color="50E1E2" w:themeColor="accent5" w:themeTint="99"/>
      </w:tblBorders>
    </w:tblPr>
    <w:tblStylePr w:type="firstRow">
      <w:rPr>
        <w:b/>
        <w:bCs/>
        <w:color w:val="FFFFFF" w:themeColor="background1"/>
      </w:rPr>
      <w:tblPr/>
      <w:tcPr>
        <w:tcBorders>
          <w:top w:val="single" w:sz="4" w:space="0" w:color="189394" w:themeColor="accent5"/>
          <w:left w:val="single" w:sz="4" w:space="0" w:color="189394" w:themeColor="accent5"/>
          <w:bottom w:val="single" w:sz="4" w:space="0" w:color="189394" w:themeColor="accent5"/>
          <w:right w:val="single" w:sz="4" w:space="0" w:color="189394" w:themeColor="accent5"/>
          <w:insideH w:val="nil"/>
        </w:tcBorders>
        <w:shd w:val="clear" w:color="auto" w:fill="189394" w:themeFill="accent5"/>
      </w:tcPr>
    </w:tblStylePr>
    <w:tblStylePr w:type="lastRow">
      <w:rPr>
        <w:b/>
        <w:bCs/>
      </w:rPr>
      <w:tblPr/>
      <w:tcPr>
        <w:tcBorders>
          <w:top w:val="double" w:sz="4" w:space="0" w:color="50E1E2" w:themeColor="accent5" w:themeTint="99"/>
        </w:tcBorders>
      </w:tcPr>
    </w:tblStylePr>
    <w:tblStylePr w:type="firstCol">
      <w:rPr>
        <w:b/>
        <w:bCs/>
      </w:rPr>
    </w:tblStylePr>
    <w:tblStylePr w:type="lastCol">
      <w:rPr>
        <w:b/>
        <w:bCs/>
      </w:rPr>
    </w:tblStylePr>
    <w:tblStylePr w:type="band1Vert">
      <w:tblPr/>
      <w:tcPr>
        <w:shd w:val="clear" w:color="auto" w:fill="C4F5F5" w:themeFill="accent5" w:themeFillTint="33"/>
      </w:tcPr>
    </w:tblStylePr>
    <w:tblStylePr w:type="band1Horz">
      <w:tblPr/>
      <w:tcPr>
        <w:shd w:val="clear" w:color="auto" w:fill="C4F5F5" w:themeFill="accent5" w:themeFillTint="33"/>
      </w:tcPr>
    </w:tblStylePr>
  </w:style>
  <w:style w:type="table" w:styleId="ListTable4-Accent6">
    <w:name w:val="List Table 4 Accent 6"/>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55E7B3" w:themeColor="accent6" w:themeTint="99"/>
        <w:left w:val="single" w:sz="4" w:space="0" w:color="55E7B3" w:themeColor="accent6" w:themeTint="99"/>
        <w:bottom w:val="single" w:sz="4" w:space="0" w:color="55E7B3" w:themeColor="accent6" w:themeTint="99"/>
        <w:right w:val="single" w:sz="4" w:space="0" w:color="55E7B3" w:themeColor="accent6" w:themeTint="99"/>
        <w:insideH w:val="single" w:sz="4" w:space="0" w:color="55E7B3" w:themeColor="accent6" w:themeTint="99"/>
      </w:tblBorders>
    </w:tblPr>
    <w:tblStylePr w:type="firstRow">
      <w:rPr>
        <w:b/>
        <w:bCs/>
        <w:color w:val="FFFFFF" w:themeColor="background1"/>
      </w:rPr>
      <w:tblPr/>
      <w:tcPr>
        <w:tcBorders>
          <w:top w:val="single" w:sz="4" w:space="0" w:color="17A673" w:themeColor="accent6"/>
          <w:left w:val="single" w:sz="4" w:space="0" w:color="17A673" w:themeColor="accent6"/>
          <w:bottom w:val="single" w:sz="4" w:space="0" w:color="17A673" w:themeColor="accent6"/>
          <w:right w:val="single" w:sz="4" w:space="0" w:color="17A673" w:themeColor="accent6"/>
          <w:insideH w:val="nil"/>
        </w:tcBorders>
        <w:shd w:val="clear" w:color="auto" w:fill="17A673" w:themeFill="accent6"/>
      </w:tcPr>
    </w:tblStylePr>
    <w:tblStylePr w:type="lastRow">
      <w:rPr>
        <w:b/>
        <w:bCs/>
      </w:rPr>
      <w:tblPr/>
      <w:tcPr>
        <w:tcBorders>
          <w:top w:val="double" w:sz="4" w:space="0" w:color="55E7B3" w:themeColor="accent6" w:themeTint="99"/>
        </w:tcBorders>
      </w:tcPr>
    </w:tblStylePr>
    <w:tblStylePr w:type="firstCol">
      <w:rPr>
        <w:b/>
        <w:bCs/>
      </w:rPr>
    </w:tblStylePr>
    <w:tblStylePr w:type="lastCol">
      <w:rPr>
        <w:b/>
        <w:bCs/>
      </w:rPr>
    </w:tblStylePr>
    <w:tblStylePr w:type="band1Vert">
      <w:tblPr/>
      <w:tcPr>
        <w:shd w:val="clear" w:color="auto" w:fill="C6F7E5" w:themeFill="accent6" w:themeFillTint="33"/>
      </w:tcPr>
    </w:tblStylePr>
    <w:tblStylePr w:type="band1Horz">
      <w:tblPr/>
      <w:tcPr>
        <w:shd w:val="clear" w:color="auto" w:fill="C6F7E5" w:themeFill="accent6" w:themeFillTint="33"/>
      </w:tcPr>
    </w:tblStylePr>
  </w:style>
  <w:style w:type="table" w:styleId="ListTable5Dark">
    <w:name w:val="List Table 5 Dark"/>
    <w:basedOn w:val="TableNormal"/>
    <w:rsid w:val="00570E30"/>
    <w:rPr>
      <w:rFonts w:asciiTheme="minorHAnsi" w:eastAsiaTheme="minorHAnsi" w:hAnsiTheme="minorHAnsi" w:cstheme="minorBidi"/>
      <w:color w:val="FFFFFF" w:themeColor="background1"/>
      <w:sz w:val="22"/>
      <w:szCs w:val="22"/>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1">
    <w:name w:val="List Table 5 Dark Accent 1"/>
    <w:basedOn w:val="TableNormal"/>
    <w:rsid w:val="00570E30"/>
    <w:rPr>
      <w:rFonts w:asciiTheme="minorHAnsi" w:eastAsiaTheme="minorHAnsi" w:hAnsiTheme="minorHAnsi" w:cstheme="minorBidi"/>
      <w:color w:val="FFFFFF" w:themeColor="background1"/>
      <w:sz w:val="22"/>
      <w:szCs w:val="22"/>
    </w:rPr>
    <w:tblPr>
      <w:tblStyleRowBandSize w:val="1"/>
      <w:tblStyleColBandSize w:val="1"/>
      <w:tblBorders>
        <w:top w:val="single" w:sz="24" w:space="0" w:color="0B2949" w:themeColor="accent1"/>
        <w:left w:val="single" w:sz="24" w:space="0" w:color="0B2949" w:themeColor="accent1"/>
        <w:bottom w:val="single" w:sz="24" w:space="0" w:color="0B2949" w:themeColor="accent1"/>
        <w:right w:val="single" w:sz="24" w:space="0" w:color="0B2949" w:themeColor="accent1"/>
      </w:tblBorders>
    </w:tblPr>
    <w:tcPr>
      <w:shd w:val="clear" w:color="auto" w:fill="0B2949"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2">
    <w:name w:val="List Table 5 Dark Accent 2"/>
    <w:basedOn w:val="TableNormal"/>
    <w:rsid w:val="00570E30"/>
    <w:rPr>
      <w:rFonts w:asciiTheme="minorHAnsi" w:eastAsiaTheme="minorHAnsi" w:hAnsiTheme="minorHAnsi" w:cstheme="minorBidi"/>
      <w:color w:val="FFFFFF" w:themeColor="background1"/>
      <w:sz w:val="22"/>
      <w:szCs w:val="22"/>
    </w:rPr>
    <w:tblPr>
      <w:tblStyleRowBandSize w:val="1"/>
      <w:tblStyleColBandSize w:val="1"/>
      <w:tblBorders>
        <w:top w:val="single" w:sz="24" w:space="0" w:color="D02B27" w:themeColor="accent2"/>
        <w:left w:val="single" w:sz="24" w:space="0" w:color="D02B27" w:themeColor="accent2"/>
        <w:bottom w:val="single" w:sz="24" w:space="0" w:color="D02B27" w:themeColor="accent2"/>
        <w:right w:val="single" w:sz="24" w:space="0" w:color="D02B27" w:themeColor="accent2"/>
      </w:tblBorders>
    </w:tblPr>
    <w:tcPr>
      <w:shd w:val="clear" w:color="auto" w:fill="D02B27"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3">
    <w:name w:val="List Table 5 Dark Accent 3"/>
    <w:basedOn w:val="TableNormal"/>
    <w:rsid w:val="00570E30"/>
    <w:rPr>
      <w:rFonts w:asciiTheme="minorHAnsi" w:eastAsiaTheme="minorHAnsi" w:hAnsiTheme="minorHAnsi" w:cstheme="minorBidi"/>
      <w:color w:val="FFFFFF" w:themeColor="background1"/>
      <w:sz w:val="22"/>
      <w:szCs w:val="22"/>
    </w:rPr>
    <w:tblPr>
      <w:tblStyleRowBandSize w:val="1"/>
      <w:tblStyleColBandSize w:val="1"/>
      <w:tblBorders>
        <w:top w:val="single" w:sz="24" w:space="0" w:color="5B6771" w:themeColor="accent3"/>
        <w:left w:val="single" w:sz="24" w:space="0" w:color="5B6771" w:themeColor="accent3"/>
        <w:bottom w:val="single" w:sz="24" w:space="0" w:color="5B6771" w:themeColor="accent3"/>
        <w:right w:val="single" w:sz="24" w:space="0" w:color="5B6771" w:themeColor="accent3"/>
      </w:tblBorders>
    </w:tblPr>
    <w:tcPr>
      <w:shd w:val="clear" w:color="auto" w:fill="5B6771"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4">
    <w:name w:val="List Table 5 Dark Accent 4"/>
    <w:basedOn w:val="TableNormal"/>
    <w:rsid w:val="00570E30"/>
    <w:rPr>
      <w:rFonts w:asciiTheme="minorHAnsi" w:eastAsiaTheme="minorHAnsi" w:hAnsiTheme="minorHAnsi" w:cstheme="minorBidi"/>
      <w:color w:val="FFFFFF" w:themeColor="background1"/>
      <w:sz w:val="22"/>
      <w:szCs w:val="22"/>
    </w:rPr>
    <w:tblPr>
      <w:tblStyleRowBandSize w:val="1"/>
      <w:tblStyleColBandSize w:val="1"/>
      <w:tblBorders>
        <w:top w:val="single" w:sz="24" w:space="0" w:color="F1B51C" w:themeColor="accent4"/>
        <w:left w:val="single" w:sz="24" w:space="0" w:color="F1B51C" w:themeColor="accent4"/>
        <w:bottom w:val="single" w:sz="24" w:space="0" w:color="F1B51C" w:themeColor="accent4"/>
        <w:right w:val="single" w:sz="24" w:space="0" w:color="F1B51C" w:themeColor="accent4"/>
      </w:tblBorders>
    </w:tblPr>
    <w:tcPr>
      <w:shd w:val="clear" w:color="auto" w:fill="F1B51C"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5">
    <w:name w:val="List Table 5 Dark Accent 5"/>
    <w:basedOn w:val="TableNormal"/>
    <w:rsid w:val="00570E30"/>
    <w:rPr>
      <w:rFonts w:asciiTheme="minorHAnsi" w:eastAsiaTheme="minorHAnsi" w:hAnsiTheme="minorHAnsi" w:cstheme="minorBidi"/>
      <w:color w:val="FFFFFF" w:themeColor="background1"/>
      <w:sz w:val="22"/>
      <w:szCs w:val="22"/>
    </w:rPr>
    <w:tblPr>
      <w:tblStyleRowBandSize w:val="1"/>
      <w:tblStyleColBandSize w:val="1"/>
      <w:tblBorders>
        <w:top w:val="single" w:sz="24" w:space="0" w:color="189394" w:themeColor="accent5"/>
        <w:left w:val="single" w:sz="24" w:space="0" w:color="189394" w:themeColor="accent5"/>
        <w:bottom w:val="single" w:sz="24" w:space="0" w:color="189394" w:themeColor="accent5"/>
        <w:right w:val="single" w:sz="24" w:space="0" w:color="189394" w:themeColor="accent5"/>
      </w:tblBorders>
    </w:tblPr>
    <w:tcPr>
      <w:shd w:val="clear" w:color="auto" w:fill="189394"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6">
    <w:name w:val="List Table 5 Dark Accent 6"/>
    <w:basedOn w:val="TableNormal"/>
    <w:rsid w:val="00570E30"/>
    <w:rPr>
      <w:rFonts w:asciiTheme="minorHAnsi" w:eastAsiaTheme="minorHAnsi" w:hAnsiTheme="minorHAnsi" w:cstheme="minorBidi"/>
      <w:color w:val="FFFFFF" w:themeColor="background1"/>
      <w:sz w:val="22"/>
      <w:szCs w:val="22"/>
    </w:rPr>
    <w:tblPr>
      <w:tblStyleRowBandSize w:val="1"/>
      <w:tblStyleColBandSize w:val="1"/>
      <w:tblBorders>
        <w:top w:val="single" w:sz="24" w:space="0" w:color="17A673" w:themeColor="accent6"/>
        <w:left w:val="single" w:sz="24" w:space="0" w:color="17A673" w:themeColor="accent6"/>
        <w:bottom w:val="single" w:sz="24" w:space="0" w:color="17A673" w:themeColor="accent6"/>
        <w:right w:val="single" w:sz="24" w:space="0" w:color="17A673" w:themeColor="accent6"/>
      </w:tblBorders>
    </w:tblPr>
    <w:tcPr>
      <w:shd w:val="clear" w:color="auto" w:fill="17A673"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6Colorful">
    <w:name w:val="List Table 6 Colorful"/>
    <w:basedOn w:val="TableNormal"/>
    <w:rsid w:val="00570E30"/>
    <w:rPr>
      <w:rFonts w:asciiTheme="minorHAnsi" w:eastAsiaTheme="minorHAnsi" w:hAnsiTheme="minorHAnsi" w:cstheme="minorBidi"/>
      <w:color w:val="000000" w:themeColor="text1"/>
      <w:sz w:val="22"/>
      <w:szCs w:val="22"/>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6Colorful-Accent1">
    <w:name w:val="List Table 6 Colorful Accent 1"/>
    <w:basedOn w:val="TableNormal"/>
    <w:rsid w:val="00570E30"/>
    <w:rPr>
      <w:rFonts w:asciiTheme="minorHAnsi" w:eastAsiaTheme="minorHAnsi" w:hAnsiTheme="minorHAnsi" w:cstheme="minorBidi"/>
      <w:color w:val="081E36" w:themeColor="accent1" w:themeShade="BF"/>
      <w:sz w:val="22"/>
      <w:szCs w:val="22"/>
    </w:rPr>
    <w:tblPr>
      <w:tblStyleRowBandSize w:val="1"/>
      <w:tblStyleColBandSize w:val="1"/>
      <w:tblBorders>
        <w:top w:val="single" w:sz="4" w:space="0" w:color="0B2949" w:themeColor="accent1"/>
        <w:bottom w:val="single" w:sz="4" w:space="0" w:color="0B2949" w:themeColor="accent1"/>
      </w:tblBorders>
    </w:tblPr>
    <w:tblStylePr w:type="firstRow">
      <w:rPr>
        <w:b/>
        <w:bCs/>
      </w:rPr>
      <w:tblPr/>
      <w:tcPr>
        <w:tcBorders>
          <w:bottom w:val="single" w:sz="4" w:space="0" w:color="0B2949" w:themeColor="accent1"/>
        </w:tcBorders>
      </w:tcPr>
    </w:tblStylePr>
    <w:tblStylePr w:type="lastRow">
      <w:rPr>
        <w:b/>
        <w:bCs/>
      </w:rPr>
      <w:tblPr/>
      <w:tcPr>
        <w:tcBorders>
          <w:top w:val="double" w:sz="4" w:space="0" w:color="0B2949" w:themeColor="accent1"/>
        </w:tcBorders>
      </w:tcPr>
    </w:tblStylePr>
    <w:tblStylePr w:type="firstCol">
      <w:rPr>
        <w:b/>
        <w:bCs/>
      </w:rPr>
    </w:tblStylePr>
    <w:tblStylePr w:type="lastCol">
      <w:rPr>
        <w:b/>
        <w:bCs/>
      </w:rPr>
    </w:tblStylePr>
    <w:tblStylePr w:type="band1Vert">
      <w:tblPr/>
      <w:tcPr>
        <w:shd w:val="clear" w:color="auto" w:fill="B4D3F3" w:themeFill="accent1" w:themeFillTint="33"/>
      </w:tcPr>
    </w:tblStylePr>
    <w:tblStylePr w:type="band1Horz">
      <w:tblPr/>
      <w:tcPr>
        <w:shd w:val="clear" w:color="auto" w:fill="B4D3F3" w:themeFill="accent1" w:themeFillTint="33"/>
      </w:tcPr>
    </w:tblStylePr>
  </w:style>
  <w:style w:type="table" w:styleId="ListTable6Colorful-Accent2">
    <w:name w:val="List Table 6 Colorful Accent 2"/>
    <w:basedOn w:val="TableNormal"/>
    <w:rsid w:val="00570E30"/>
    <w:rPr>
      <w:rFonts w:asciiTheme="minorHAnsi" w:eastAsiaTheme="minorHAnsi" w:hAnsiTheme="minorHAnsi" w:cstheme="minorBidi"/>
      <w:color w:val="9B201D" w:themeColor="accent2" w:themeShade="BF"/>
      <w:sz w:val="22"/>
      <w:szCs w:val="22"/>
    </w:rPr>
    <w:tblPr>
      <w:tblStyleRowBandSize w:val="1"/>
      <w:tblStyleColBandSize w:val="1"/>
      <w:tblBorders>
        <w:top w:val="single" w:sz="4" w:space="0" w:color="D02B27" w:themeColor="accent2"/>
        <w:bottom w:val="single" w:sz="4" w:space="0" w:color="D02B27" w:themeColor="accent2"/>
      </w:tblBorders>
    </w:tblPr>
    <w:tblStylePr w:type="firstRow">
      <w:rPr>
        <w:b/>
        <w:bCs/>
      </w:rPr>
      <w:tblPr/>
      <w:tcPr>
        <w:tcBorders>
          <w:bottom w:val="single" w:sz="4" w:space="0" w:color="D02B27" w:themeColor="accent2"/>
        </w:tcBorders>
      </w:tcPr>
    </w:tblStylePr>
    <w:tblStylePr w:type="lastRow">
      <w:rPr>
        <w:b/>
        <w:bCs/>
      </w:rPr>
      <w:tblPr/>
      <w:tcPr>
        <w:tcBorders>
          <w:top w:val="double" w:sz="4" w:space="0" w:color="D02B27" w:themeColor="accent2"/>
        </w:tcBorders>
      </w:tcPr>
    </w:tblStylePr>
    <w:tblStylePr w:type="firstCol">
      <w:rPr>
        <w:b/>
        <w:bCs/>
      </w:rPr>
    </w:tblStylePr>
    <w:tblStylePr w:type="lastCol">
      <w:rPr>
        <w:b/>
        <w:bCs/>
      </w:rPr>
    </w:tblStylePr>
    <w:tblStylePr w:type="band1Vert">
      <w:tblPr/>
      <w:tcPr>
        <w:shd w:val="clear" w:color="auto" w:fill="F6D3D2" w:themeFill="accent2" w:themeFillTint="33"/>
      </w:tcPr>
    </w:tblStylePr>
    <w:tblStylePr w:type="band1Horz">
      <w:tblPr/>
      <w:tcPr>
        <w:shd w:val="clear" w:color="auto" w:fill="F6D3D2" w:themeFill="accent2" w:themeFillTint="33"/>
      </w:tcPr>
    </w:tblStylePr>
  </w:style>
  <w:style w:type="table" w:styleId="ListTable6Colorful-Accent3">
    <w:name w:val="List Table 6 Colorful Accent 3"/>
    <w:basedOn w:val="TableNormal"/>
    <w:rsid w:val="00570E30"/>
    <w:rPr>
      <w:rFonts w:asciiTheme="minorHAnsi" w:eastAsiaTheme="minorHAnsi" w:hAnsiTheme="minorHAnsi" w:cstheme="minorBidi"/>
      <w:color w:val="444D54" w:themeColor="accent3" w:themeShade="BF"/>
      <w:sz w:val="22"/>
      <w:szCs w:val="22"/>
    </w:rPr>
    <w:tblPr>
      <w:tblStyleRowBandSize w:val="1"/>
      <w:tblStyleColBandSize w:val="1"/>
      <w:tblBorders>
        <w:top w:val="single" w:sz="4" w:space="0" w:color="5B6771" w:themeColor="accent3"/>
        <w:bottom w:val="single" w:sz="4" w:space="0" w:color="5B6771" w:themeColor="accent3"/>
      </w:tblBorders>
    </w:tblPr>
    <w:tblStylePr w:type="firstRow">
      <w:rPr>
        <w:b/>
        <w:bCs/>
      </w:rPr>
      <w:tblPr/>
      <w:tcPr>
        <w:tcBorders>
          <w:bottom w:val="single" w:sz="4" w:space="0" w:color="5B6771" w:themeColor="accent3"/>
        </w:tcBorders>
      </w:tcPr>
    </w:tblStylePr>
    <w:tblStylePr w:type="lastRow">
      <w:rPr>
        <w:b/>
        <w:bCs/>
      </w:rPr>
      <w:tblPr/>
      <w:tcPr>
        <w:tcBorders>
          <w:top w:val="double" w:sz="4" w:space="0" w:color="5B6771" w:themeColor="accent3"/>
        </w:tcBorders>
      </w:tcPr>
    </w:tblStylePr>
    <w:tblStylePr w:type="firstCol">
      <w:rPr>
        <w:b/>
        <w:bCs/>
      </w:rPr>
    </w:tblStylePr>
    <w:tblStylePr w:type="lastCol">
      <w:rPr>
        <w:b/>
        <w:bCs/>
      </w:rPr>
    </w:tblStylePr>
    <w:tblStylePr w:type="band1Vert">
      <w:tblPr/>
      <w:tcPr>
        <w:shd w:val="clear" w:color="auto" w:fill="DDE0E3" w:themeFill="accent3" w:themeFillTint="33"/>
      </w:tcPr>
    </w:tblStylePr>
    <w:tblStylePr w:type="band1Horz">
      <w:tblPr/>
      <w:tcPr>
        <w:shd w:val="clear" w:color="auto" w:fill="DDE0E3" w:themeFill="accent3" w:themeFillTint="33"/>
      </w:tcPr>
    </w:tblStylePr>
  </w:style>
  <w:style w:type="table" w:styleId="ListTable6Colorful-Accent4">
    <w:name w:val="List Table 6 Colorful Accent 4"/>
    <w:basedOn w:val="TableNormal"/>
    <w:rsid w:val="00570E30"/>
    <w:rPr>
      <w:rFonts w:asciiTheme="minorHAnsi" w:eastAsiaTheme="minorHAnsi" w:hAnsiTheme="minorHAnsi" w:cstheme="minorBidi"/>
      <w:color w:val="BD8B0B" w:themeColor="accent4" w:themeShade="BF"/>
      <w:sz w:val="22"/>
      <w:szCs w:val="22"/>
    </w:rPr>
    <w:tblPr>
      <w:tblStyleRowBandSize w:val="1"/>
      <w:tblStyleColBandSize w:val="1"/>
      <w:tblBorders>
        <w:top w:val="single" w:sz="4" w:space="0" w:color="F1B51C" w:themeColor="accent4"/>
        <w:bottom w:val="single" w:sz="4" w:space="0" w:color="F1B51C" w:themeColor="accent4"/>
      </w:tblBorders>
    </w:tblPr>
    <w:tblStylePr w:type="firstRow">
      <w:rPr>
        <w:b/>
        <w:bCs/>
      </w:rPr>
      <w:tblPr/>
      <w:tcPr>
        <w:tcBorders>
          <w:bottom w:val="single" w:sz="4" w:space="0" w:color="F1B51C" w:themeColor="accent4"/>
        </w:tcBorders>
      </w:tcPr>
    </w:tblStylePr>
    <w:tblStylePr w:type="lastRow">
      <w:rPr>
        <w:b/>
        <w:bCs/>
      </w:rPr>
      <w:tblPr/>
      <w:tcPr>
        <w:tcBorders>
          <w:top w:val="double" w:sz="4" w:space="0" w:color="F1B51C" w:themeColor="accent4"/>
        </w:tcBorders>
      </w:tcPr>
    </w:tblStylePr>
    <w:tblStylePr w:type="firstCol">
      <w:rPr>
        <w:b/>
        <w:bCs/>
      </w:rPr>
    </w:tblStylePr>
    <w:tblStylePr w:type="lastCol">
      <w:rPr>
        <w:b/>
        <w:bCs/>
      </w:rPr>
    </w:tblStylePr>
    <w:tblStylePr w:type="band1Vert">
      <w:tblPr/>
      <w:tcPr>
        <w:shd w:val="clear" w:color="auto" w:fill="FCF0D1" w:themeFill="accent4" w:themeFillTint="33"/>
      </w:tcPr>
    </w:tblStylePr>
    <w:tblStylePr w:type="band1Horz">
      <w:tblPr/>
      <w:tcPr>
        <w:shd w:val="clear" w:color="auto" w:fill="FCF0D1" w:themeFill="accent4" w:themeFillTint="33"/>
      </w:tcPr>
    </w:tblStylePr>
  </w:style>
  <w:style w:type="table" w:styleId="ListTable6Colorful-Accent5">
    <w:name w:val="List Table 6 Colorful Accent 5"/>
    <w:basedOn w:val="TableNormal"/>
    <w:rsid w:val="00570E30"/>
    <w:rPr>
      <w:rFonts w:asciiTheme="minorHAnsi" w:eastAsiaTheme="minorHAnsi" w:hAnsiTheme="minorHAnsi" w:cstheme="minorBidi"/>
      <w:color w:val="126D6E" w:themeColor="accent5" w:themeShade="BF"/>
      <w:sz w:val="22"/>
      <w:szCs w:val="22"/>
    </w:rPr>
    <w:tblPr>
      <w:tblStyleRowBandSize w:val="1"/>
      <w:tblStyleColBandSize w:val="1"/>
      <w:tblBorders>
        <w:top w:val="single" w:sz="4" w:space="0" w:color="189394" w:themeColor="accent5"/>
        <w:bottom w:val="single" w:sz="4" w:space="0" w:color="189394" w:themeColor="accent5"/>
      </w:tblBorders>
    </w:tblPr>
    <w:tblStylePr w:type="firstRow">
      <w:rPr>
        <w:b/>
        <w:bCs/>
      </w:rPr>
      <w:tblPr/>
      <w:tcPr>
        <w:tcBorders>
          <w:bottom w:val="single" w:sz="4" w:space="0" w:color="189394" w:themeColor="accent5"/>
        </w:tcBorders>
      </w:tcPr>
    </w:tblStylePr>
    <w:tblStylePr w:type="lastRow">
      <w:rPr>
        <w:b/>
        <w:bCs/>
      </w:rPr>
      <w:tblPr/>
      <w:tcPr>
        <w:tcBorders>
          <w:top w:val="double" w:sz="4" w:space="0" w:color="189394" w:themeColor="accent5"/>
        </w:tcBorders>
      </w:tcPr>
    </w:tblStylePr>
    <w:tblStylePr w:type="firstCol">
      <w:rPr>
        <w:b/>
        <w:bCs/>
      </w:rPr>
    </w:tblStylePr>
    <w:tblStylePr w:type="lastCol">
      <w:rPr>
        <w:b/>
        <w:bCs/>
      </w:rPr>
    </w:tblStylePr>
    <w:tblStylePr w:type="band1Vert">
      <w:tblPr/>
      <w:tcPr>
        <w:shd w:val="clear" w:color="auto" w:fill="C4F5F5" w:themeFill="accent5" w:themeFillTint="33"/>
      </w:tcPr>
    </w:tblStylePr>
    <w:tblStylePr w:type="band1Horz">
      <w:tblPr/>
      <w:tcPr>
        <w:shd w:val="clear" w:color="auto" w:fill="C4F5F5" w:themeFill="accent5" w:themeFillTint="33"/>
      </w:tcPr>
    </w:tblStylePr>
  </w:style>
  <w:style w:type="table" w:styleId="ListTable6Colorful-Accent6">
    <w:name w:val="List Table 6 Colorful Accent 6"/>
    <w:basedOn w:val="TableNormal"/>
    <w:rsid w:val="00570E30"/>
    <w:rPr>
      <w:rFonts w:asciiTheme="minorHAnsi" w:eastAsiaTheme="minorHAnsi" w:hAnsiTheme="minorHAnsi" w:cstheme="minorBidi"/>
      <w:color w:val="117C55" w:themeColor="accent6" w:themeShade="BF"/>
      <w:sz w:val="22"/>
      <w:szCs w:val="22"/>
    </w:rPr>
    <w:tblPr>
      <w:tblStyleRowBandSize w:val="1"/>
      <w:tblStyleColBandSize w:val="1"/>
      <w:tblBorders>
        <w:top w:val="single" w:sz="4" w:space="0" w:color="17A673" w:themeColor="accent6"/>
        <w:bottom w:val="single" w:sz="4" w:space="0" w:color="17A673" w:themeColor="accent6"/>
      </w:tblBorders>
    </w:tblPr>
    <w:tblStylePr w:type="firstRow">
      <w:rPr>
        <w:b/>
        <w:bCs/>
      </w:rPr>
      <w:tblPr/>
      <w:tcPr>
        <w:tcBorders>
          <w:bottom w:val="single" w:sz="4" w:space="0" w:color="17A673" w:themeColor="accent6"/>
        </w:tcBorders>
      </w:tcPr>
    </w:tblStylePr>
    <w:tblStylePr w:type="lastRow">
      <w:rPr>
        <w:b/>
        <w:bCs/>
      </w:rPr>
      <w:tblPr/>
      <w:tcPr>
        <w:tcBorders>
          <w:top w:val="double" w:sz="4" w:space="0" w:color="17A673" w:themeColor="accent6"/>
        </w:tcBorders>
      </w:tcPr>
    </w:tblStylePr>
    <w:tblStylePr w:type="firstCol">
      <w:rPr>
        <w:b/>
        <w:bCs/>
      </w:rPr>
    </w:tblStylePr>
    <w:tblStylePr w:type="lastCol">
      <w:rPr>
        <w:b/>
        <w:bCs/>
      </w:rPr>
    </w:tblStylePr>
    <w:tblStylePr w:type="band1Vert">
      <w:tblPr/>
      <w:tcPr>
        <w:shd w:val="clear" w:color="auto" w:fill="C6F7E5" w:themeFill="accent6" w:themeFillTint="33"/>
      </w:tcPr>
    </w:tblStylePr>
    <w:tblStylePr w:type="band1Horz">
      <w:tblPr/>
      <w:tcPr>
        <w:shd w:val="clear" w:color="auto" w:fill="C6F7E5" w:themeFill="accent6" w:themeFillTint="33"/>
      </w:tcPr>
    </w:tblStylePr>
  </w:style>
  <w:style w:type="table" w:styleId="ListTable7Colorful">
    <w:name w:val="List Table 7 Colorful"/>
    <w:basedOn w:val="TableNormal"/>
    <w:rsid w:val="00570E30"/>
    <w:rPr>
      <w:rFonts w:asciiTheme="minorHAnsi" w:eastAsiaTheme="minorHAnsi" w:hAnsiTheme="minorHAnsi" w:cstheme="minorBidi"/>
      <w:color w:val="000000" w:themeColor="text1"/>
      <w:sz w:val="22"/>
      <w:szCs w:val="22"/>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1">
    <w:name w:val="List Table 7 Colorful Accent 1"/>
    <w:basedOn w:val="TableNormal"/>
    <w:rsid w:val="00570E30"/>
    <w:rPr>
      <w:rFonts w:asciiTheme="minorHAnsi" w:eastAsiaTheme="minorHAnsi" w:hAnsiTheme="minorHAnsi" w:cstheme="minorBidi"/>
      <w:color w:val="081E36" w:themeColor="accent1" w:themeShade="BF"/>
      <w:sz w:val="22"/>
      <w:szCs w:val="22"/>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B2949"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B2949"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B2949"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B2949" w:themeColor="accent1"/>
        </w:tcBorders>
        <w:shd w:val="clear" w:color="auto" w:fill="FFFFFF" w:themeFill="background1"/>
      </w:tcPr>
    </w:tblStylePr>
    <w:tblStylePr w:type="band1Vert">
      <w:tblPr/>
      <w:tcPr>
        <w:shd w:val="clear" w:color="auto" w:fill="B4D3F3" w:themeFill="accent1" w:themeFillTint="33"/>
      </w:tcPr>
    </w:tblStylePr>
    <w:tblStylePr w:type="band1Horz">
      <w:tblPr/>
      <w:tcPr>
        <w:shd w:val="clear" w:color="auto" w:fill="B4D3F3"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2">
    <w:name w:val="List Table 7 Colorful Accent 2"/>
    <w:basedOn w:val="TableNormal"/>
    <w:rsid w:val="00570E30"/>
    <w:rPr>
      <w:rFonts w:asciiTheme="minorHAnsi" w:eastAsiaTheme="minorHAnsi" w:hAnsiTheme="minorHAnsi" w:cstheme="minorBidi"/>
      <w:color w:val="9B201D" w:themeColor="accent2" w:themeShade="BF"/>
      <w:sz w:val="22"/>
      <w:szCs w:val="22"/>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D02B27"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D02B27"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D02B27"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D02B27" w:themeColor="accent2"/>
        </w:tcBorders>
        <w:shd w:val="clear" w:color="auto" w:fill="FFFFFF" w:themeFill="background1"/>
      </w:tcPr>
    </w:tblStylePr>
    <w:tblStylePr w:type="band1Vert">
      <w:tblPr/>
      <w:tcPr>
        <w:shd w:val="clear" w:color="auto" w:fill="F6D3D2" w:themeFill="accent2" w:themeFillTint="33"/>
      </w:tcPr>
    </w:tblStylePr>
    <w:tblStylePr w:type="band1Horz">
      <w:tblPr/>
      <w:tcPr>
        <w:shd w:val="clear" w:color="auto" w:fill="F6D3D2"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3">
    <w:name w:val="List Table 7 Colorful Accent 3"/>
    <w:basedOn w:val="TableNormal"/>
    <w:rsid w:val="00570E30"/>
    <w:rPr>
      <w:rFonts w:asciiTheme="minorHAnsi" w:eastAsiaTheme="minorHAnsi" w:hAnsiTheme="minorHAnsi" w:cstheme="minorBidi"/>
      <w:color w:val="444D54" w:themeColor="accent3" w:themeShade="BF"/>
      <w:sz w:val="22"/>
      <w:szCs w:val="22"/>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5B6771"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5B6771"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5B6771"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5B6771" w:themeColor="accent3"/>
        </w:tcBorders>
        <w:shd w:val="clear" w:color="auto" w:fill="FFFFFF" w:themeFill="background1"/>
      </w:tcPr>
    </w:tblStylePr>
    <w:tblStylePr w:type="band1Vert">
      <w:tblPr/>
      <w:tcPr>
        <w:shd w:val="clear" w:color="auto" w:fill="DDE0E3" w:themeFill="accent3" w:themeFillTint="33"/>
      </w:tcPr>
    </w:tblStylePr>
    <w:tblStylePr w:type="band1Horz">
      <w:tblPr/>
      <w:tcPr>
        <w:shd w:val="clear" w:color="auto" w:fill="DDE0E3"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4">
    <w:name w:val="List Table 7 Colorful Accent 4"/>
    <w:basedOn w:val="TableNormal"/>
    <w:rsid w:val="00570E30"/>
    <w:rPr>
      <w:rFonts w:asciiTheme="minorHAnsi" w:eastAsiaTheme="minorHAnsi" w:hAnsiTheme="minorHAnsi" w:cstheme="minorBidi"/>
      <w:color w:val="BD8B0B" w:themeColor="accent4" w:themeShade="BF"/>
      <w:sz w:val="22"/>
      <w:szCs w:val="22"/>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1B51C"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1B51C"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1B51C"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1B51C" w:themeColor="accent4"/>
        </w:tcBorders>
        <w:shd w:val="clear" w:color="auto" w:fill="FFFFFF" w:themeFill="background1"/>
      </w:tcPr>
    </w:tblStylePr>
    <w:tblStylePr w:type="band1Vert">
      <w:tblPr/>
      <w:tcPr>
        <w:shd w:val="clear" w:color="auto" w:fill="FCF0D1" w:themeFill="accent4" w:themeFillTint="33"/>
      </w:tcPr>
    </w:tblStylePr>
    <w:tblStylePr w:type="band1Horz">
      <w:tblPr/>
      <w:tcPr>
        <w:shd w:val="clear" w:color="auto" w:fill="FCF0D1"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5">
    <w:name w:val="List Table 7 Colorful Accent 5"/>
    <w:basedOn w:val="TableNormal"/>
    <w:rsid w:val="00570E30"/>
    <w:rPr>
      <w:rFonts w:asciiTheme="minorHAnsi" w:eastAsiaTheme="minorHAnsi" w:hAnsiTheme="minorHAnsi" w:cstheme="minorBidi"/>
      <w:color w:val="126D6E" w:themeColor="accent5" w:themeShade="BF"/>
      <w:sz w:val="22"/>
      <w:szCs w:val="22"/>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189394"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189394"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189394"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189394" w:themeColor="accent5"/>
        </w:tcBorders>
        <w:shd w:val="clear" w:color="auto" w:fill="FFFFFF" w:themeFill="background1"/>
      </w:tcPr>
    </w:tblStylePr>
    <w:tblStylePr w:type="band1Vert">
      <w:tblPr/>
      <w:tcPr>
        <w:shd w:val="clear" w:color="auto" w:fill="C4F5F5" w:themeFill="accent5" w:themeFillTint="33"/>
      </w:tcPr>
    </w:tblStylePr>
    <w:tblStylePr w:type="band1Horz">
      <w:tblPr/>
      <w:tcPr>
        <w:shd w:val="clear" w:color="auto" w:fill="C4F5F5"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6">
    <w:name w:val="List Table 7 Colorful Accent 6"/>
    <w:basedOn w:val="TableNormal"/>
    <w:rsid w:val="00570E30"/>
    <w:rPr>
      <w:rFonts w:asciiTheme="minorHAnsi" w:eastAsiaTheme="minorHAnsi" w:hAnsiTheme="minorHAnsi" w:cstheme="minorBidi"/>
      <w:color w:val="117C55" w:themeColor="accent6" w:themeShade="BF"/>
      <w:sz w:val="22"/>
      <w:szCs w:val="22"/>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17A673"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17A673"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17A673"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17A673" w:themeColor="accent6"/>
        </w:tcBorders>
        <w:shd w:val="clear" w:color="auto" w:fill="FFFFFF" w:themeFill="background1"/>
      </w:tcPr>
    </w:tblStylePr>
    <w:tblStylePr w:type="band1Vert">
      <w:tblPr/>
      <w:tcPr>
        <w:shd w:val="clear" w:color="auto" w:fill="C6F7E5" w:themeFill="accent6" w:themeFillTint="33"/>
      </w:tcPr>
    </w:tblStylePr>
    <w:tblStylePr w:type="band1Horz">
      <w:tblPr/>
      <w:tcPr>
        <w:shd w:val="clear" w:color="auto" w:fill="C6F7E5"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MediumGrid1">
    <w:name w:val="Medium Grid 1"/>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195CA5" w:themeColor="accent1" w:themeTint="BF"/>
        <w:left w:val="single" w:sz="8" w:space="0" w:color="195CA5" w:themeColor="accent1" w:themeTint="BF"/>
        <w:bottom w:val="single" w:sz="8" w:space="0" w:color="195CA5" w:themeColor="accent1" w:themeTint="BF"/>
        <w:right w:val="single" w:sz="8" w:space="0" w:color="195CA5" w:themeColor="accent1" w:themeTint="BF"/>
        <w:insideH w:val="single" w:sz="8" w:space="0" w:color="195CA5" w:themeColor="accent1" w:themeTint="BF"/>
        <w:insideV w:val="single" w:sz="8" w:space="0" w:color="195CA5" w:themeColor="accent1" w:themeTint="BF"/>
      </w:tblBorders>
    </w:tblPr>
    <w:tcPr>
      <w:shd w:val="clear" w:color="auto" w:fill="A3C8F1" w:themeFill="accent1" w:themeFillTint="3F"/>
    </w:tcPr>
    <w:tblStylePr w:type="firstRow">
      <w:rPr>
        <w:b/>
        <w:bCs/>
      </w:rPr>
    </w:tblStylePr>
    <w:tblStylePr w:type="lastRow">
      <w:rPr>
        <w:b/>
        <w:bCs/>
      </w:rPr>
      <w:tblPr/>
      <w:tcPr>
        <w:tcBorders>
          <w:top w:val="single" w:sz="18" w:space="0" w:color="195CA5" w:themeColor="accent1" w:themeTint="BF"/>
        </w:tcBorders>
      </w:tcPr>
    </w:tblStylePr>
    <w:tblStylePr w:type="firstCol">
      <w:rPr>
        <w:b/>
        <w:bCs/>
      </w:rPr>
    </w:tblStylePr>
    <w:tblStylePr w:type="lastCol">
      <w:rPr>
        <w:b/>
        <w:bCs/>
      </w:rPr>
    </w:tblStylePr>
    <w:tblStylePr w:type="band1Vert">
      <w:tblPr/>
      <w:tcPr>
        <w:shd w:val="clear" w:color="auto" w:fill="4692E3" w:themeFill="accent1" w:themeFillTint="7F"/>
      </w:tcPr>
    </w:tblStylePr>
    <w:tblStylePr w:type="band1Horz">
      <w:tblPr/>
      <w:tcPr>
        <w:shd w:val="clear" w:color="auto" w:fill="4692E3" w:themeFill="accent1" w:themeFillTint="7F"/>
      </w:tcPr>
    </w:tblStylePr>
  </w:style>
  <w:style w:type="table" w:styleId="MediumGrid1-Accent2">
    <w:name w:val="Medium Grid 1 Accent 2"/>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E05C59" w:themeColor="accent2" w:themeTint="BF"/>
        <w:left w:val="single" w:sz="8" w:space="0" w:color="E05C59" w:themeColor="accent2" w:themeTint="BF"/>
        <w:bottom w:val="single" w:sz="8" w:space="0" w:color="E05C59" w:themeColor="accent2" w:themeTint="BF"/>
        <w:right w:val="single" w:sz="8" w:space="0" w:color="E05C59" w:themeColor="accent2" w:themeTint="BF"/>
        <w:insideH w:val="single" w:sz="8" w:space="0" w:color="E05C59" w:themeColor="accent2" w:themeTint="BF"/>
        <w:insideV w:val="single" w:sz="8" w:space="0" w:color="E05C59" w:themeColor="accent2" w:themeTint="BF"/>
      </w:tblBorders>
    </w:tblPr>
    <w:tcPr>
      <w:shd w:val="clear" w:color="auto" w:fill="F4C9C8" w:themeFill="accent2" w:themeFillTint="3F"/>
    </w:tcPr>
    <w:tblStylePr w:type="firstRow">
      <w:rPr>
        <w:b/>
        <w:bCs/>
      </w:rPr>
    </w:tblStylePr>
    <w:tblStylePr w:type="lastRow">
      <w:rPr>
        <w:b/>
        <w:bCs/>
      </w:rPr>
      <w:tblPr/>
      <w:tcPr>
        <w:tcBorders>
          <w:top w:val="single" w:sz="18" w:space="0" w:color="E05C59" w:themeColor="accent2" w:themeTint="BF"/>
        </w:tcBorders>
      </w:tcPr>
    </w:tblStylePr>
    <w:tblStylePr w:type="firstCol">
      <w:rPr>
        <w:b/>
        <w:bCs/>
      </w:rPr>
    </w:tblStylePr>
    <w:tblStylePr w:type="lastCol">
      <w:rPr>
        <w:b/>
        <w:bCs/>
      </w:rPr>
    </w:tblStylePr>
    <w:tblStylePr w:type="band1Vert">
      <w:tblPr/>
      <w:tcPr>
        <w:shd w:val="clear" w:color="auto" w:fill="EA9290" w:themeFill="accent2" w:themeFillTint="7F"/>
      </w:tcPr>
    </w:tblStylePr>
    <w:tblStylePr w:type="band1Horz">
      <w:tblPr/>
      <w:tcPr>
        <w:shd w:val="clear" w:color="auto" w:fill="EA9290" w:themeFill="accent2" w:themeFillTint="7F"/>
      </w:tcPr>
    </w:tblStylePr>
  </w:style>
  <w:style w:type="table" w:styleId="MediumGrid1-Accent3">
    <w:name w:val="Medium Grid 1 Accent 3"/>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7F8D98" w:themeColor="accent3" w:themeTint="BF"/>
        <w:left w:val="single" w:sz="8" w:space="0" w:color="7F8D98" w:themeColor="accent3" w:themeTint="BF"/>
        <w:bottom w:val="single" w:sz="8" w:space="0" w:color="7F8D98" w:themeColor="accent3" w:themeTint="BF"/>
        <w:right w:val="single" w:sz="8" w:space="0" w:color="7F8D98" w:themeColor="accent3" w:themeTint="BF"/>
        <w:insideH w:val="single" w:sz="8" w:space="0" w:color="7F8D98" w:themeColor="accent3" w:themeTint="BF"/>
        <w:insideV w:val="single" w:sz="8" w:space="0" w:color="7F8D98" w:themeColor="accent3" w:themeTint="BF"/>
      </w:tblBorders>
    </w:tblPr>
    <w:tcPr>
      <w:shd w:val="clear" w:color="auto" w:fill="D5D9DD" w:themeFill="accent3" w:themeFillTint="3F"/>
    </w:tcPr>
    <w:tblStylePr w:type="firstRow">
      <w:rPr>
        <w:b/>
        <w:bCs/>
      </w:rPr>
    </w:tblStylePr>
    <w:tblStylePr w:type="lastRow">
      <w:rPr>
        <w:b/>
        <w:bCs/>
      </w:rPr>
      <w:tblPr/>
      <w:tcPr>
        <w:tcBorders>
          <w:top w:val="single" w:sz="18" w:space="0" w:color="7F8D98" w:themeColor="accent3" w:themeTint="BF"/>
        </w:tcBorders>
      </w:tcPr>
    </w:tblStylePr>
    <w:tblStylePr w:type="firstCol">
      <w:rPr>
        <w:b/>
        <w:bCs/>
      </w:rPr>
    </w:tblStylePr>
    <w:tblStylePr w:type="lastCol">
      <w:rPr>
        <w:b/>
        <w:bCs/>
      </w:rPr>
    </w:tblStylePr>
    <w:tblStylePr w:type="band1Vert">
      <w:tblPr/>
      <w:tcPr>
        <w:shd w:val="clear" w:color="auto" w:fill="AAB3BB" w:themeFill="accent3" w:themeFillTint="7F"/>
      </w:tcPr>
    </w:tblStylePr>
    <w:tblStylePr w:type="band1Horz">
      <w:tblPr/>
      <w:tcPr>
        <w:shd w:val="clear" w:color="auto" w:fill="AAB3BB" w:themeFill="accent3" w:themeFillTint="7F"/>
      </w:tcPr>
    </w:tblStylePr>
  </w:style>
  <w:style w:type="table" w:styleId="MediumGrid1-Accent4">
    <w:name w:val="Medium Grid 1 Accent 4"/>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F4C754" w:themeColor="accent4" w:themeTint="BF"/>
        <w:left w:val="single" w:sz="8" w:space="0" w:color="F4C754" w:themeColor="accent4" w:themeTint="BF"/>
        <w:bottom w:val="single" w:sz="8" w:space="0" w:color="F4C754" w:themeColor="accent4" w:themeTint="BF"/>
        <w:right w:val="single" w:sz="8" w:space="0" w:color="F4C754" w:themeColor="accent4" w:themeTint="BF"/>
        <w:insideH w:val="single" w:sz="8" w:space="0" w:color="F4C754" w:themeColor="accent4" w:themeTint="BF"/>
        <w:insideV w:val="single" w:sz="8" w:space="0" w:color="F4C754" w:themeColor="accent4" w:themeTint="BF"/>
      </w:tblBorders>
    </w:tblPr>
    <w:tcPr>
      <w:shd w:val="clear" w:color="auto" w:fill="FBECC6" w:themeFill="accent4" w:themeFillTint="3F"/>
    </w:tcPr>
    <w:tblStylePr w:type="firstRow">
      <w:rPr>
        <w:b/>
        <w:bCs/>
      </w:rPr>
    </w:tblStylePr>
    <w:tblStylePr w:type="lastRow">
      <w:rPr>
        <w:b/>
        <w:bCs/>
      </w:rPr>
      <w:tblPr/>
      <w:tcPr>
        <w:tcBorders>
          <w:top w:val="single" w:sz="18" w:space="0" w:color="F4C754" w:themeColor="accent4" w:themeTint="BF"/>
        </w:tcBorders>
      </w:tcPr>
    </w:tblStylePr>
    <w:tblStylePr w:type="firstCol">
      <w:rPr>
        <w:b/>
        <w:bCs/>
      </w:rPr>
    </w:tblStylePr>
    <w:tblStylePr w:type="lastCol">
      <w:rPr>
        <w:b/>
        <w:bCs/>
      </w:rPr>
    </w:tblStylePr>
    <w:tblStylePr w:type="band1Vert">
      <w:tblPr/>
      <w:tcPr>
        <w:shd w:val="clear" w:color="auto" w:fill="F8DA8D" w:themeFill="accent4" w:themeFillTint="7F"/>
      </w:tcPr>
    </w:tblStylePr>
    <w:tblStylePr w:type="band1Horz">
      <w:tblPr/>
      <w:tcPr>
        <w:shd w:val="clear" w:color="auto" w:fill="F8DA8D" w:themeFill="accent4" w:themeFillTint="7F"/>
      </w:tcPr>
    </w:tblStylePr>
  </w:style>
  <w:style w:type="table" w:styleId="MediumGrid1-Accent5">
    <w:name w:val="Medium Grid 1 Accent 5"/>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25D9DB" w:themeColor="accent5" w:themeTint="BF"/>
        <w:left w:val="single" w:sz="8" w:space="0" w:color="25D9DB" w:themeColor="accent5" w:themeTint="BF"/>
        <w:bottom w:val="single" w:sz="8" w:space="0" w:color="25D9DB" w:themeColor="accent5" w:themeTint="BF"/>
        <w:right w:val="single" w:sz="8" w:space="0" w:color="25D9DB" w:themeColor="accent5" w:themeTint="BF"/>
        <w:insideH w:val="single" w:sz="8" w:space="0" w:color="25D9DB" w:themeColor="accent5" w:themeTint="BF"/>
        <w:insideV w:val="single" w:sz="8" w:space="0" w:color="25D9DB" w:themeColor="accent5" w:themeTint="BF"/>
      </w:tblBorders>
    </w:tblPr>
    <w:tcPr>
      <w:shd w:val="clear" w:color="auto" w:fill="B7F2F3" w:themeFill="accent5" w:themeFillTint="3F"/>
    </w:tcPr>
    <w:tblStylePr w:type="firstRow">
      <w:rPr>
        <w:b/>
        <w:bCs/>
      </w:rPr>
    </w:tblStylePr>
    <w:tblStylePr w:type="lastRow">
      <w:rPr>
        <w:b/>
        <w:bCs/>
      </w:rPr>
      <w:tblPr/>
      <w:tcPr>
        <w:tcBorders>
          <w:top w:val="single" w:sz="18" w:space="0" w:color="25D9DB" w:themeColor="accent5" w:themeTint="BF"/>
        </w:tcBorders>
      </w:tcPr>
    </w:tblStylePr>
    <w:tblStylePr w:type="firstCol">
      <w:rPr>
        <w:b/>
        <w:bCs/>
      </w:rPr>
    </w:tblStylePr>
    <w:tblStylePr w:type="lastCol">
      <w:rPr>
        <w:b/>
        <w:bCs/>
      </w:rPr>
    </w:tblStylePr>
    <w:tblStylePr w:type="band1Vert">
      <w:tblPr/>
      <w:tcPr>
        <w:shd w:val="clear" w:color="auto" w:fill="6DE6E7" w:themeFill="accent5" w:themeFillTint="7F"/>
      </w:tcPr>
    </w:tblStylePr>
    <w:tblStylePr w:type="band1Horz">
      <w:tblPr/>
      <w:tcPr>
        <w:shd w:val="clear" w:color="auto" w:fill="6DE6E7" w:themeFill="accent5" w:themeFillTint="7F"/>
      </w:tcPr>
    </w:tblStylePr>
  </w:style>
  <w:style w:type="table" w:styleId="MediumGrid1-Accent6">
    <w:name w:val="Medium Grid 1 Accent 6"/>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2BE1A0" w:themeColor="accent6" w:themeTint="BF"/>
        <w:left w:val="single" w:sz="8" w:space="0" w:color="2BE1A0" w:themeColor="accent6" w:themeTint="BF"/>
        <w:bottom w:val="single" w:sz="8" w:space="0" w:color="2BE1A0" w:themeColor="accent6" w:themeTint="BF"/>
        <w:right w:val="single" w:sz="8" w:space="0" w:color="2BE1A0" w:themeColor="accent6" w:themeTint="BF"/>
        <w:insideH w:val="single" w:sz="8" w:space="0" w:color="2BE1A0" w:themeColor="accent6" w:themeTint="BF"/>
        <w:insideV w:val="single" w:sz="8" w:space="0" w:color="2BE1A0" w:themeColor="accent6" w:themeTint="BF"/>
      </w:tblBorders>
    </w:tblPr>
    <w:tcPr>
      <w:shd w:val="clear" w:color="auto" w:fill="B9F5DF" w:themeFill="accent6" w:themeFillTint="3F"/>
    </w:tcPr>
    <w:tblStylePr w:type="firstRow">
      <w:rPr>
        <w:b/>
        <w:bCs/>
      </w:rPr>
    </w:tblStylePr>
    <w:tblStylePr w:type="lastRow">
      <w:rPr>
        <w:b/>
        <w:bCs/>
      </w:rPr>
      <w:tblPr/>
      <w:tcPr>
        <w:tcBorders>
          <w:top w:val="single" w:sz="18" w:space="0" w:color="2BE1A0" w:themeColor="accent6" w:themeTint="BF"/>
        </w:tcBorders>
      </w:tcPr>
    </w:tblStylePr>
    <w:tblStylePr w:type="firstCol">
      <w:rPr>
        <w:b/>
        <w:bCs/>
      </w:rPr>
    </w:tblStylePr>
    <w:tblStylePr w:type="lastCol">
      <w:rPr>
        <w:b/>
        <w:bCs/>
      </w:rPr>
    </w:tblStylePr>
    <w:tblStylePr w:type="band1Vert">
      <w:tblPr/>
      <w:tcPr>
        <w:shd w:val="clear" w:color="auto" w:fill="72EBC0" w:themeFill="accent6" w:themeFillTint="7F"/>
      </w:tcPr>
    </w:tblStylePr>
    <w:tblStylePr w:type="band1Horz">
      <w:tblPr/>
      <w:tcPr>
        <w:shd w:val="clear" w:color="auto" w:fill="72EBC0" w:themeFill="accent6" w:themeFillTint="7F"/>
      </w:tcPr>
    </w:tblStylePr>
  </w:style>
  <w:style w:type="table" w:styleId="MediumGrid2">
    <w:name w:val="Medium Grid 2"/>
    <w:basedOn w:val="TableNormal"/>
    <w:unhideWhenUsed/>
    <w:rsid w:val="00570E30"/>
    <w:rPr>
      <w:rFonts w:asciiTheme="majorHAnsi" w:eastAsiaTheme="majorEastAsia" w:hAnsiTheme="majorHAnsi" w:cstheme="majorBidi"/>
      <w:color w:val="000000" w:themeColor="text1"/>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nhideWhenUsed/>
    <w:rsid w:val="00570E30"/>
    <w:rPr>
      <w:rFonts w:asciiTheme="majorHAnsi" w:eastAsiaTheme="majorEastAsia" w:hAnsiTheme="majorHAnsi" w:cstheme="majorBidi"/>
      <w:color w:val="000000" w:themeColor="text1"/>
      <w:sz w:val="22"/>
      <w:szCs w:val="22"/>
    </w:rPr>
    <w:tblPr>
      <w:tblStyleRowBandSize w:val="1"/>
      <w:tblStyleColBandSize w:val="1"/>
      <w:tblBorders>
        <w:top w:val="single" w:sz="8" w:space="0" w:color="0B2949" w:themeColor="accent1"/>
        <w:left w:val="single" w:sz="8" w:space="0" w:color="0B2949" w:themeColor="accent1"/>
        <w:bottom w:val="single" w:sz="8" w:space="0" w:color="0B2949" w:themeColor="accent1"/>
        <w:right w:val="single" w:sz="8" w:space="0" w:color="0B2949" w:themeColor="accent1"/>
        <w:insideH w:val="single" w:sz="8" w:space="0" w:color="0B2949" w:themeColor="accent1"/>
        <w:insideV w:val="single" w:sz="8" w:space="0" w:color="0B2949" w:themeColor="accent1"/>
      </w:tblBorders>
    </w:tblPr>
    <w:tcPr>
      <w:shd w:val="clear" w:color="auto" w:fill="A3C8F1" w:themeFill="accent1" w:themeFillTint="3F"/>
    </w:tcPr>
    <w:tblStylePr w:type="firstRow">
      <w:rPr>
        <w:b/>
        <w:bCs/>
        <w:color w:val="000000" w:themeColor="text1"/>
      </w:rPr>
      <w:tblPr/>
      <w:tcPr>
        <w:shd w:val="clear" w:color="auto" w:fill="DAE9F9"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B4D3F3" w:themeFill="accent1" w:themeFillTint="33"/>
      </w:tcPr>
    </w:tblStylePr>
    <w:tblStylePr w:type="band1Vert">
      <w:tblPr/>
      <w:tcPr>
        <w:shd w:val="clear" w:color="auto" w:fill="4692E3" w:themeFill="accent1" w:themeFillTint="7F"/>
      </w:tcPr>
    </w:tblStylePr>
    <w:tblStylePr w:type="band1Horz">
      <w:tblPr/>
      <w:tcPr>
        <w:tcBorders>
          <w:insideH w:val="single" w:sz="6" w:space="0" w:color="0B2949" w:themeColor="accent1"/>
          <w:insideV w:val="single" w:sz="6" w:space="0" w:color="0B2949" w:themeColor="accent1"/>
        </w:tcBorders>
        <w:shd w:val="clear" w:color="auto" w:fill="4692E3"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nhideWhenUsed/>
    <w:rsid w:val="00570E30"/>
    <w:rPr>
      <w:rFonts w:asciiTheme="majorHAnsi" w:eastAsiaTheme="majorEastAsia" w:hAnsiTheme="majorHAnsi" w:cstheme="majorBidi"/>
      <w:color w:val="000000" w:themeColor="text1"/>
      <w:sz w:val="22"/>
      <w:szCs w:val="22"/>
    </w:rPr>
    <w:tblPr>
      <w:tblStyleRowBandSize w:val="1"/>
      <w:tblStyleColBandSize w:val="1"/>
      <w:tblBorders>
        <w:top w:val="single" w:sz="8" w:space="0" w:color="D02B27" w:themeColor="accent2"/>
        <w:left w:val="single" w:sz="8" w:space="0" w:color="D02B27" w:themeColor="accent2"/>
        <w:bottom w:val="single" w:sz="8" w:space="0" w:color="D02B27" w:themeColor="accent2"/>
        <w:right w:val="single" w:sz="8" w:space="0" w:color="D02B27" w:themeColor="accent2"/>
        <w:insideH w:val="single" w:sz="8" w:space="0" w:color="D02B27" w:themeColor="accent2"/>
        <w:insideV w:val="single" w:sz="8" w:space="0" w:color="D02B27" w:themeColor="accent2"/>
      </w:tblBorders>
    </w:tblPr>
    <w:tcPr>
      <w:shd w:val="clear" w:color="auto" w:fill="F4C9C8" w:themeFill="accent2" w:themeFillTint="3F"/>
    </w:tcPr>
    <w:tblStylePr w:type="firstRow">
      <w:rPr>
        <w:b/>
        <w:bCs/>
        <w:color w:val="000000" w:themeColor="text1"/>
      </w:rPr>
      <w:tblPr/>
      <w:tcPr>
        <w:shd w:val="clear" w:color="auto" w:fill="FBE9E9"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6D3D2" w:themeFill="accent2" w:themeFillTint="33"/>
      </w:tcPr>
    </w:tblStylePr>
    <w:tblStylePr w:type="band1Vert">
      <w:tblPr/>
      <w:tcPr>
        <w:shd w:val="clear" w:color="auto" w:fill="EA9290" w:themeFill="accent2" w:themeFillTint="7F"/>
      </w:tcPr>
    </w:tblStylePr>
    <w:tblStylePr w:type="band1Horz">
      <w:tblPr/>
      <w:tcPr>
        <w:tcBorders>
          <w:insideH w:val="single" w:sz="6" w:space="0" w:color="D02B27" w:themeColor="accent2"/>
          <w:insideV w:val="single" w:sz="6" w:space="0" w:color="D02B27" w:themeColor="accent2"/>
        </w:tcBorders>
        <w:shd w:val="clear" w:color="auto" w:fill="EA9290"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nhideWhenUsed/>
    <w:rsid w:val="00570E30"/>
    <w:rPr>
      <w:rFonts w:asciiTheme="majorHAnsi" w:eastAsiaTheme="majorEastAsia" w:hAnsiTheme="majorHAnsi" w:cstheme="majorBidi"/>
      <w:color w:val="000000" w:themeColor="text1"/>
      <w:sz w:val="22"/>
      <w:szCs w:val="22"/>
    </w:rPr>
    <w:tblPr>
      <w:tblStyleRowBandSize w:val="1"/>
      <w:tblStyleColBandSize w:val="1"/>
      <w:tblBorders>
        <w:top w:val="single" w:sz="8" w:space="0" w:color="5B6771" w:themeColor="accent3"/>
        <w:left w:val="single" w:sz="8" w:space="0" w:color="5B6771" w:themeColor="accent3"/>
        <w:bottom w:val="single" w:sz="8" w:space="0" w:color="5B6771" w:themeColor="accent3"/>
        <w:right w:val="single" w:sz="8" w:space="0" w:color="5B6771" w:themeColor="accent3"/>
        <w:insideH w:val="single" w:sz="8" w:space="0" w:color="5B6771" w:themeColor="accent3"/>
        <w:insideV w:val="single" w:sz="8" w:space="0" w:color="5B6771" w:themeColor="accent3"/>
      </w:tblBorders>
    </w:tblPr>
    <w:tcPr>
      <w:shd w:val="clear" w:color="auto" w:fill="D5D9DD" w:themeFill="accent3" w:themeFillTint="3F"/>
    </w:tcPr>
    <w:tblStylePr w:type="firstRow">
      <w:rPr>
        <w:b/>
        <w:bCs/>
        <w:color w:val="000000" w:themeColor="text1"/>
      </w:rPr>
      <w:tblPr/>
      <w:tcPr>
        <w:shd w:val="clear" w:color="auto" w:fill="EEF0F1"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DE0E3" w:themeFill="accent3" w:themeFillTint="33"/>
      </w:tcPr>
    </w:tblStylePr>
    <w:tblStylePr w:type="band1Vert">
      <w:tblPr/>
      <w:tcPr>
        <w:shd w:val="clear" w:color="auto" w:fill="AAB3BB" w:themeFill="accent3" w:themeFillTint="7F"/>
      </w:tcPr>
    </w:tblStylePr>
    <w:tblStylePr w:type="band1Horz">
      <w:tblPr/>
      <w:tcPr>
        <w:tcBorders>
          <w:insideH w:val="single" w:sz="6" w:space="0" w:color="5B6771" w:themeColor="accent3"/>
          <w:insideV w:val="single" w:sz="6" w:space="0" w:color="5B6771" w:themeColor="accent3"/>
        </w:tcBorders>
        <w:shd w:val="clear" w:color="auto" w:fill="AAB3BB"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nhideWhenUsed/>
    <w:rsid w:val="00570E30"/>
    <w:rPr>
      <w:rFonts w:asciiTheme="majorHAnsi" w:eastAsiaTheme="majorEastAsia" w:hAnsiTheme="majorHAnsi" w:cstheme="majorBidi"/>
      <w:color w:val="000000" w:themeColor="text1"/>
      <w:sz w:val="22"/>
      <w:szCs w:val="22"/>
    </w:rPr>
    <w:tblPr>
      <w:tblStyleRowBandSize w:val="1"/>
      <w:tblStyleColBandSize w:val="1"/>
      <w:tblBorders>
        <w:top w:val="single" w:sz="8" w:space="0" w:color="F1B51C" w:themeColor="accent4"/>
        <w:left w:val="single" w:sz="8" w:space="0" w:color="F1B51C" w:themeColor="accent4"/>
        <w:bottom w:val="single" w:sz="8" w:space="0" w:color="F1B51C" w:themeColor="accent4"/>
        <w:right w:val="single" w:sz="8" w:space="0" w:color="F1B51C" w:themeColor="accent4"/>
        <w:insideH w:val="single" w:sz="8" w:space="0" w:color="F1B51C" w:themeColor="accent4"/>
        <w:insideV w:val="single" w:sz="8" w:space="0" w:color="F1B51C" w:themeColor="accent4"/>
      </w:tblBorders>
    </w:tblPr>
    <w:tcPr>
      <w:shd w:val="clear" w:color="auto" w:fill="FBECC6" w:themeFill="accent4" w:themeFillTint="3F"/>
    </w:tcPr>
    <w:tblStylePr w:type="firstRow">
      <w:rPr>
        <w:b/>
        <w:bCs/>
        <w:color w:val="000000" w:themeColor="text1"/>
      </w:rPr>
      <w:tblPr/>
      <w:tcPr>
        <w:shd w:val="clear" w:color="auto" w:fill="FDF7E8"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CF0D1" w:themeFill="accent4" w:themeFillTint="33"/>
      </w:tcPr>
    </w:tblStylePr>
    <w:tblStylePr w:type="band1Vert">
      <w:tblPr/>
      <w:tcPr>
        <w:shd w:val="clear" w:color="auto" w:fill="F8DA8D" w:themeFill="accent4" w:themeFillTint="7F"/>
      </w:tcPr>
    </w:tblStylePr>
    <w:tblStylePr w:type="band1Horz">
      <w:tblPr/>
      <w:tcPr>
        <w:tcBorders>
          <w:insideH w:val="single" w:sz="6" w:space="0" w:color="F1B51C" w:themeColor="accent4"/>
          <w:insideV w:val="single" w:sz="6" w:space="0" w:color="F1B51C" w:themeColor="accent4"/>
        </w:tcBorders>
        <w:shd w:val="clear" w:color="auto" w:fill="F8DA8D"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nhideWhenUsed/>
    <w:rsid w:val="00570E30"/>
    <w:rPr>
      <w:rFonts w:asciiTheme="majorHAnsi" w:eastAsiaTheme="majorEastAsia" w:hAnsiTheme="majorHAnsi" w:cstheme="majorBidi"/>
      <w:color w:val="000000" w:themeColor="text1"/>
      <w:sz w:val="22"/>
      <w:szCs w:val="22"/>
    </w:rPr>
    <w:tblPr>
      <w:tblStyleRowBandSize w:val="1"/>
      <w:tblStyleColBandSize w:val="1"/>
      <w:tblBorders>
        <w:top w:val="single" w:sz="8" w:space="0" w:color="189394" w:themeColor="accent5"/>
        <w:left w:val="single" w:sz="8" w:space="0" w:color="189394" w:themeColor="accent5"/>
        <w:bottom w:val="single" w:sz="8" w:space="0" w:color="189394" w:themeColor="accent5"/>
        <w:right w:val="single" w:sz="8" w:space="0" w:color="189394" w:themeColor="accent5"/>
        <w:insideH w:val="single" w:sz="8" w:space="0" w:color="189394" w:themeColor="accent5"/>
        <w:insideV w:val="single" w:sz="8" w:space="0" w:color="189394" w:themeColor="accent5"/>
      </w:tblBorders>
    </w:tblPr>
    <w:tcPr>
      <w:shd w:val="clear" w:color="auto" w:fill="B7F2F3" w:themeFill="accent5" w:themeFillTint="3F"/>
    </w:tcPr>
    <w:tblStylePr w:type="firstRow">
      <w:rPr>
        <w:b/>
        <w:bCs/>
        <w:color w:val="000000" w:themeColor="text1"/>
      </w:rPr>
      <w:tblPr/>
      <w:tcPr>
        <w:shd w:val="clear" w:color="auto" w:fill="E2FAFA"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4F5F5" w:themeFill="accent5" w:themeFillTint="33"/>
      </w:tcPr>
    </w:tblStylePr>
    <w:tblStylePr w:type="band1Vert">
      <w:tblPr/>
      <w:tcPr>
        <w:shd w:val="clear" w:color="auto" w:fill="6DE6E7" w:themeFill="accent5" w:themeFillTint="7F"/>
      </w:tcPr>
    </w:tblStylePr>
    <w:tblStylePr w:type="band1Horz">
      <w:tblPr/>
      <w:tcPr>
        <w:tcBorders>
          <w:insideH w:val="single" w:sz="6" w:space="0" w:color="189394" w:themeColor="accent5"/>
          <w:insideV w:val="single" w:sz="6" w:space="0" w:color="189394" w:themeColor="accent5"/>
        </w:tcBorders>
        <w:shd w:val="clear" w:color="auto" w:fill="6DE6E7"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nhideWhenUsed/>
    <w:rsid w:val="00570E30"/>
    <w:rPr>
      <w:rFonts w:asciiTheme="majorHAnsi" w:eastAsiaTheme="majorEastAsia" w:hAnsiTheme="majorHAnsi" w:cstheme="majorBidi"/>
      <w:color w:val="000000" w:themeColor="text1"/>
      <w:sz w:val="22"/>
      <w:szCs w:val="22"/>
    </w:rPr>
    <w:tblPr>
      <w:tblStyleRowBandSize w:val="1"/>
      <w:tblStyleColBandSize w:val="1"/>
      <w:tblBorders>
        <w:top w:val="single" w:sz="8" w:space="0" w:color="17A673" w:themeColor="accent6"/>
        <w:left w:val="single" w:sz="8" w:space="0" w:color="17A673" w:themeColor="accent6"/>
        <w:bottom w:val="single" w:sz="8" w:space="0" w:color="17A673" w:themeColor="accent6"/>
        <w:right w:val="single" w:sz="8" w:space="0" w:color="17A673" w:themeColor="accent6"/>
        <w:insideH w:val="single" w:sz="8" w:space="0" w:color="17A673" w:themeColor="accent6"/>
        <w:insideV w:val="single" w:sz="8" w:space="0" w:color="17A673" w:themeColor="accent6"/>
      </w:tblBorders>
    </w:tblPr>
    <w:tcPr>
      <w:shd w:val="clear" w:color="auto" w:fill="B9F5DF" w:themeFill="accent6" w:themeFillTint="3F"/>
    </w:tcPr>
    <w:tblStylePr w:type="firstRow">
      <w:rPr>
        <w:b/>
        <w:bCs/>
        <w:color w:val="000000" w:themeColor="text1"/>
      </w:rPr>
      <w:tblPr/>
      <w:tcPr>
        <w:shd w:val="clear" w:color="auto" w:fill="E3FBF2"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6F7E5" w:themeFill="accent6" w:themeFillTint="33"/>
      </w:tcPr>
    </w:tblStylePr>
    <w:tblStylePr w:type="band1Vert">
      <w:tblPr/>
      <w:tcPr>
        <w:shd w:val="clear" w:color="auto" w:fill="72EBC0" w:themeFill="accent6" w:themeFillTint="7F"/>
      </w:tcPr>
    </w:tblStylePr>
    <w:tblStylePr w:type="band1Horz">
      <w:tblPr/>
      <w:tcPr>
        <w:tcBorders>
          <w:insideH w:val="single" w:sz="6" w:space="0" w:color="17A673" w:themeColor="accent6"/>
          <w:insideV w:val="single" w:sz="6" w:space="0" w:color="17A673" w:themeColor="accent6"/>
        </w:tcBorders>
        <w:shd w:val="clear" w:color="auto" w:fill="72EBC0" w:themeFill="accent6" w:themeFillTint="7F"/>
      </w:tcPr>
    </w:tblStylePr>
    <w:tblStylePr w:type="nwCell">
      <w:tblPr/>
      <w:tcPr>
        <w:shd w:val="clear" w:color="auto" w:fill="FFFFFF" w:themeFill="background1"/>
      </w:tcPr>
    </w:tblStylePr>
  </w:style>
  <w:style w:type="table" w:styleId="MediumGrid3">
    <w:name w:val="Medium Grid 3"/>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A3C8F1"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B2949"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B2949"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B2949"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B2949"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4692E3"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4692E3" w:themeFill="accent1" w:themeFillTint="7F"/>
      </w:tcPr>
    </w:tblStylePr>
  </w:style>
  <w:style w:type="table" w:styleId="MediumGrid3-Accent2">
    <w:name w:val="Medium Grid 3 Accent 2"/>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4C9C8"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D02B27"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D02B27"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D02B27"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D02B27"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EA9290"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EA9290" w:themeFill="accent2" w:themeFillTint="7F"/>
      </w:tcPr>
    </w:tblStylePr>
  </w:style>
  <w:style w:type="table" w:styleId="MediumGrid3-Accent3">
    <w:name w:val="Medium Grid 3 Accent 3"/>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5D9DD"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6771"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6771"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6771"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6771"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AB3BB"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AB3BB" w:themeFill="accent3" w:themeFillTint="7F"/>
      </w:tcPr>
    </w:tblStylePr>
  </w:style>
  <w:style w:type="table" w:styleId="MediumGrid3-Accent4">
    <w:name w:val="Medium Grid 3 Accent 4"/>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BECC6"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1B51C"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1B51C"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1B51C"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1B51C"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8DA8D"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8DA8D" w:themeFill="accent4" w:themeFillTint="7F"/>
      </w:tcPr>
    </w:tblStylePr>
  </w:style>
  <w:style w:type="table" w:styleId="MediumGrid3-Accent5">
    <w:name w:val="Medium Grid 3 Accent 5"/>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7F2F3"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18939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18939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18939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18939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DE6E7"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DE6E7" w:themeFill="accent5" w:themeFillTint="7F"/>
      </w:tcPr>
    </w:tblStylePr>
  </w:style>
  <w:style w:type="table" w:styleId="MediumGrid3-Accent6">
    <w:name w:val="Medium Grid 3 Accent 6"/>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9F5DF"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17A673"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17A673"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17A673"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17A673"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72EBC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72EBC0" w:themeFill="accent6" w:themeFillTint="7F"/>
      </w:tcPr>
    </w:tblStylePr>
  </w:style>
  <w:style w:type="table" w:styleId="MediumList1">
    <w:name w:val="Medium List 1"/>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046B5C"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Borders>
        <w:top w:val="single" w:sz="8" w:space="0" w:color="0B2949" w:themeColor="accent1"/>
        <w:bottom w:val="single" w:sz="8" w:space="0" w:color="0B2949" w:themeColor="accent1"/>
      </w:tblBorders>
    </w:tblPr>
    <w:tblStylePr w:type="firstRow">
      <w:rPr>
        <w:rFonts w:asciiTheme="majorHAnsi" w:eastAsiaTheme="majorEastAsia" w:hAnsiTheme="majorHAnsi" w:cstheme="majorBidi"/>
      </w:rPr>
      <w:tblPr/>
      <w:tcPr>
        <w:tcBorders>
          <w:top w:val="nil"/>
          <w:bottom w:val="single" w:sz="8" w:space="0" w:color="0B2949" w:themeColor="accent1"/>
        </w:tcBorders>
      </w:tcPr>
    </w:tblStylePr>
    <w:tblStylePr w:type="lastRow">
      <w:rPr>
        <w:b/>
        <w:bCs/>
        <w:color w:val="046B5C" w:themeColor="text2"/>
      </w:rPr>
      <w:tblPr/>
      <w:tcPr>
        <w:tcBorders>
          <w:top w:val="single" w:sz="8" w:space="0" w:color="0B2949" w:themeColor="accent1"/>
          <w:bottom w:val="single" w:sz="8" w:space="0" w:color="0B2949" w:themeColor="accent1"/>
        </w:tcBorders>
      </w:tcPr>
    </w:tblStylePr>
    <w:tblStylePr w:type="firstCol">
      <w:rPr>
        <w:b/>
        <w:bCs/>
      </w:rPr>
    </w:tblStylePr>
    <w:tblStylePr w:type="lastCol">
      <w:rPr>
        <w:b/>
        <w:bCs/>
      </w:rPr>
      <w:tblPr/>
      <w:tcPr>
        <w:tcBorders>
          <w:top w:val="single" w:sz="8" w:space="0" w:color="0B2949" w:themeColor="accent1"/>
          <w:bottom w:val="single" w:sz="8" w:space="0" w:color="0B2949" w:themeColor="accent1"/>
        </w:tcBorders>
      </w:tcPr>
    </w:tblStylePr>
    <w:tblStylePr w:type="band1Vert">
      <w:tblPr/>
      <w:tcPr>
        <w:shd w:val="clear" w:color="auto" w:fill="A3C8F1" w:themeFill="accent1" w:themeFillTint="3F"/>
      </w:tcPr>
    </w:tblStylePr>
    <w:tblStylePr w:type="band1Horz">
      <w:tblPr/>
      <w:tcPr>
        <w:shd w:val="clear" w:color="auto" w:fill="A3C8F1" w:themeFill="accent1" w:themeFillTint="3F"/>
      </w:tcPr>
    </w:tblStylePr>
  </w:style>
  <w:style w:type="table" w:styleId="MediumList1-Accent2">
    <w:name w:val="Medium List 1 Accent 2"/>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Borders>
        <w:top w:val="single" w:sz="8" w:space="0" w:color="D02B27" w:themeColor="accent2"/>
        <w:bottom w:val="single" w:sz="8" w:space="0" w:color="D02B27" w:themeColor="accent2"/>
      </w:tblBorders>
    </w:tblPr>
    <w:tblStylePr w:type="firstRow">
      <w:rPr>
        <w:rFonts w:asciiTheme="majorHAnsi" w:eastAsiaTheme="majorEastAsia" w:hAnsiTheme="majorHAnsi" w:cstheme="majorBidi"/>
      </w:rPr>
      <w:tblPr/>
      <w:tcPr>
        <w:tcBorders>
          <w:top w:val="nil"/>
          <w:bottom w:val="single" w:sz="8" w:space="0" w:color="D02B27" w:themeColor="accent2"/>
        </w:tcBorders>
      </w:tcPr>
    </w:tblStylePr>
    <w:tblStylePr w:type="lastRow">
      <w:rPr>
        <w:b/>
        <w:bCs/>
        <w:color w:val="046B5C" w:themeColor="text2"/>
      </w:rPr>
      <w:tblPr/>
      <w:tcPr>
        <w:tcBorders>
          <w:top w:val="single" w:sz="8" w:space="0" w:color="D02B27" w:themeColor="accent2"/>
          <w:bottom w:val="single" w:sz="8" w:space="0" w:color="D02B27" w:themeColor="accent2"/>
        </w:tcBorders>
      </w:tcPr>
    </w:tblStylePr>
    <w:tblStylePr w:type="firstCol">
      <w:rPr>
        <w:b/>
        <w:bCs/>
      </w:rPr>
    </w:tblStylePr>
    <w:tblStylePr w:type="lastCol">
      <w:rPr>
        <w:b/>
        <w:bCs/>
      </w:rPr>
      <w:tblPr/>
      <w:tcPr>
        <w:tcBorders>
          <w:top w:val="single" w:sz="8" w:space="0" w:color="D02B27" w:themeColor="accent2"/>
          <w:bottom w:val="single" w:sz="8" w:space="0" w:color="D02B27" w:themeColor="accent2"/>
        </w:tcBorders>
      </w:tcPr>
    </w:tblStylePr>
    <w:tblStylePr w:type="band1Vert">
      <w:tblPr/>
      <w:tcPr>
        <w:shd w:val="clear" w:color="auto" w:fill="F4C9C8" w:themeFill="accent2" w:themeFillTint="3F"/>
      </w:tcPr>
    </w:tblStylePr>
    <w:tblStylePr w:type="band1Horz">
      <w:tblPr/>
      <w:tcPr>
        <w:shd w:val="clear" w:color="auto" w:fill="F4C9C8" w:themeFill="accent2" w:themeFillTint="3F"/>
      </w:tcPr>
    </w:tblStylePr>
  </w:style>
  <w:style w:type="table" w:styleId="MediumList1-Accent3">
    <w:name w:val="Medium List 1 Accent 3"/>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Borders>
        <w:top w:val="single" w:sz="8" w:space="0" w:color="5B6771" w:themeColor="accent3"/>
        <w:bottom w:val="single" w:sz="8" w:space="0" w:color="5B6771" w:themeColor="accent3"/>
      </w:tblBorders>
    </w:tblPr>
    <w:tblStylePr w:type="firstRow">
      <w:rPr>
        <w:rFonts w:asciiTheme="majorHAnsi" w:eastAsiaTheme="majorEastAsia" w:hAnsiTheme="majorHAnsi" w:cstheme="majorBidi"/>
      </w:rPr>
      <w:tblPr/>
      <w:tcPr>
        <w:tcBorders>
          <w:top w:val="nil"/>
          <w:bottom w:val="single" w:sz="8" w:space="0" w:color="5B6771" w:themeColor="accent3"/>
        </w:tcBorders>
      </w:tcPr>
    </w:tblStylePr>
    <w:tblStylePr w:type="lastRow">
      <w:rPr>
        <w:b/>
        <w:bCs/>
        <w:color w:val="046B5C" w:themeColor="text2"/>
      </w:rPr>
      <w:tblPr/>
      <w:tcPr>
        <w:tcBorders>
          <w:top w:val="single" w:sz="8" w:space="0" w:color="5B6771" w:themeColor="accent3"/>
          <w:bottom w:val="single" w:sz="8" w:space="0" w:color="5B6771" w:themeColor="accent3"/>
        </w:tcBorders>
      </w:tcPr>
    </w:tblStylePr>
    <w:tblStylePr w:type="firstCol">
      <w:rPr>
        <w:b/>
        <w:bCs/>
      </w:rPr>
    </w:tblStylePr>
    <w:tblStylePr w:type="lastCol">
      <w:rPr>
        <w:b/>
        <w:bCs/>
      </w:rPr>
      <w:tblPr/>
      <w:tcPr>
        <w:tcBorders>
          <w:top w:val="single" w:sz="8" w:space="0" w:color="5B6771" w:themeColor="accent3"/>
          <w:bottom w:val="single" w:sz="8" w:space="0" w:color="5B6771" w:themeColor="accent3"/>
        </w:tcBorders>
      </w:tcPr>
    </w:tblStylePr>
    <w:tblStylePr w:type="band1Vert">
      <w:tblPr/>
      <w:tcPr>
        <w:shd w:val="clear" w:color="auto" w:fill="D5D9DD" w:themeFill="accent3" w:themeFillTint="3F"/>
      </w:tcPr>
    </w:tblStylePr>
    <w:tblStylePr w:type="band1Horz">
      <w:tblPr/>
      <w:tcPr>
        <w:shd w:val="clear" w:color="auto" w:fill="D5D9DD" w:themeFill="accent3" w:themeFillTint="3F"/>
      </w:tcPr>
    </w:tblStylePr>
  </w:style>
  <w:style w:type="table" w:styleId="MediumList1-Accent4">
    <w:name w:val="Medium List 1 Accent 4"/>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Borders>
        <w:top w:val="single" w:sz="8" w:space="0" w:color="F1B51C" w:themeColor="accent4"/>
        <w:bottom w:val="single" w:sz="8" w:space="0" w:color="F1B51C" w:themeColor="accent4"/>
      </w:tblBorders>
    </w:tblPr>
    <w:tblStylePr w:type="firstRow">
      <w:rPr>
        <w:rFonts w:asciiTheme="majorHAnsi" w:eastAsiaTheme="majorEastAsia" w:hAnsiTheme="majorHAnsi" w:cstheme="majorBidi"/>
      </w:rPr>
      <w:tblPr/>
      <w:tcPr>
        <w:tcBorders>
          <w:top w:val="nil"/>
          <w:bottom w:val="single" w:sz="8" w:space="0" w:color="F1B51C" w:themeColor="accent4"/>
        </w:tcBorders>
      </w:tcPr>
    </w:tblStylePr>
    <w:tblStylePr w:type="lastRow">
      <w:rPr>
        <w:b/>
        <w:bCs/>
        <w:color w:val="046B5C" w:themeColor="text2"/>
      </w:rPr>
      <w:tblPr/>
      <w:tcPr>
        <w:tcBorders>
          <w:top w:val="single" w:sz="8" w:space="0" w:color="F1B51C" w:themeColor="accent4"/>
          <w:bottom w:val="single" w:sz="8" w:space="0" w:color="F1B51C" w:themeColor="accent4"/>
        </w:tcBorders>
      </w:tcPr>
    </w:tblStylePr>
    <w:tblStylePr w:type="firstCol">
      <w:rPr>
        <w:b/>
        <w:bCs/>
      </w:rPr>
    </w:tblStylePr>
    <w:tblStylePr w:type="lastCol">
      <w:rPr>
        <w:b/>
        <w:bCs/>
      </w:rPr>
      <w:tblPr/>
      <w:tcPr>
        <w:tcBorders>
          <w:top w:val="single" w:sz="8" w:space="0" w:color="F1B51C" w:themeColor="accent4"/>
          <w:bottom w:val="single" w:sz="8" w:space="0" w:color="F1B51C" w:themeColor="accent4"/>
        </w:tcBorders>
      </w:tcPr>
    </w:tblStylePr>
    <w:tblStylePr w:type="band1Vert">
      <w:tblPr/>
      <w:tcPr>
        <w:shd w:val="clear" w:color="auto" w:fill="FBECC6" w:themeFill="accent4" w:themeFillTint="3F"/>
      </w:tcPr>
    </w:tblStylePr>
    <w:tblStylePr w:type="band1Horz">
      <w:tblPr/>
      <w:tcPr>
        <w:shd w:val="clear" w:color="auto" w:fill="FBECC6" w:themeFill="accent4" w:themeFillTint="3F"/>
      </w:tcPr>
    </w:tblStylePr>
  </w:style>
  <w:style w:type="table" w:styleId="MediumList1-Accent5">
    <w:name w:val="Medium List 1 Accent 5"/>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Borders>
        <w:top w:val="single" w:sz="8" w:space="0" w:color="189394" w:themeColor="accent5"/>
        <w:bottom w:val="single" w:sz="8" w:space="0" w:color="189394" w:themeColor="accent5"/>
      </w:tblBorders>
    </w:tblPr>
    <w:tblStylePr w:type="firstRow">
      <w:rPr>
        <w:rFonts w:asciiTheme="majorHAnsi" w:eastAsiaTheme="majorEastAsia" w:hAnsiTheme="majorHAnsi" w:cstheme="majorBidi"/>
      </w:rPr>
      <w:tblPr/>
      <w:tcPr>
        <w:tcBorders>
          <w:top w:val="nil"/>
          <w:bottom w:val="single" w:sz="8" w:space="0" w:color="189394" w:themeColor="accent5"/>
        </w:tcBorders>
      </w:tcPr>
    </w:tblStylePr>
    <w:tblStylePr w:type="lastRow">
      <w:rPr>
        <w:b/>
        <w:bCs/>
        <w:color w:val="046B5C" w:themeColor="text2"/>
      </w:rPr>
      <w:tblPr/>
      <w:tcPr>
        <w:tcBorders>
          <w:top w:val="single" w:sz="8" w:space="0" w:color="189394" w:themeColor="accent5"/>
          <w:bottom w:val="single" w:sz="8" w:space="0" w:color="189394" w:themeColor="accent5"/>
        </w:tcBorders>
      </w:tcPr>
    </w:tblStylePr>
    <w:tblStylePr w:type="firstCol">
      <w:rPr>
        <w:b/>
        <w:bCs/>
      </w:rPr>
    </w:tblStylePr>
    <w:tblStylePr w:type="lastCol">
      <w:rPr>
        <w:b/>
        <w:bCs/>
      </w:rPr>
      <w:tblPr/>
      <w:tcPr>
        <w:tcBorders>
          <w:top w:val="single" w:sz="8" w:space="0" w:color="189394" w:themeColor="accent5"/>
          <w:bottom w:val="single" w:sz="8" w:space="0" w:color="189394" w:themeColor="accent5"/>
        </w:tcBorders>
      </w:tcPr>
    </w:tblStylePr>
    <w:tblStylePr w:type="band1Vert">
      <w:tblPr/>
      <w:tcPr>
        <w:shd w:val="clear" w:color="auto" w:fill="B7F2F3" w:themeFill="accent5" w:themeFillTint="3F"/>
      </w:tcPr>
    </w:tblStylePr>
    <w:tblStylePr w:type="band1Horz">
      <w:tblPr/>
      <w:tcPr>
        <w:shd w:val="clear" w:color="auto" w:fill="B7F2F3" w:themeFill="accent5" w:themeFillTint="3F"/>
      </w:tcPr>
    </w:tblStylePr>
  </w:style>
  <w:style w:type="table" w:styleId="MediumList1-Accent6">
    <w:name w:val="Medium List 1 Accent 6"/>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Borders>
        <w:top w:val="single" w:sz="8" w:space="0" w:color="17A673" w:themeColor="accent6"/>
        <w:bottom w:val="single" w:sz="8" w:space="0" w:color="17A673" w:themeColor="accent6"/>
      </w:tblBorders>
    </w:tblPr>
    <w:tblStylePr w:type="firstRow">
      <w:rPr>
        <w:rFonts w:asciiTheme="majorHAnsi" w:eastAsiaTheme="majorEastAsia" w:hAnsiTheme="majorHAnsi" w:cstheme="majorBidi"/>
      </w:rPr>
      <w:tblPr/>
      <w:tcPr>
        <w:tcBorders>
          <w:top w:val="nil"/>
          <w:bottom w:val="single" w:sz="8" w:space="0" w:color="17A673" w:themeColor="accent6"/>
        </w:tcBorders>
      </w:tcPr>
    </w:tblStylePr>
    <w:tblStylePr w:type="lastRow">
      <w:rPr>
        <w:b/>
        <w:bCs/>
        <w:color w:val="046B5C" w:themeColor="text2"/>
      </w:rPr>
      <w:tblPr/>
      <w:tcPr>
        <w:tcBorders>
          <w:top w:val="single" w:sz="8" w:space="0" w:color="17A673" w:themeColor="accent6"/>
          <w:bottom w:val="single" w:sz="8" w:space="0" w:color="17A673" w:themeColor="accent6"/>
        </w:tcBorders>
      </w:tcPr>
    </w:tblStylePr>
    <w:tblStylePr w:type="firstCol">
      <w:rPr>
        <w:b/>
        <w:bCs/>
      </w:rPr>
    </w:tblStylePr>
    <w:tblStylePr w:type="lastCol">
      <w:rPr>
        <w:b/>
        <w:bCs/>
      </w:rPr>
      <w:tblPr/>
      <w:tcPr>
        <w:tcBorders>
          <w:top w:val="single" w:sz="8" w:space="0" w:color="17A673" w:themeColor="accent6"/>
          <w:bottom w:val="single" w:sz="8" w:space="0" w:color="17A673" w:themeColor="accent6"/>
        </w:tcBorders>
      </w:tcPr>
    </w:tblStylePr>
    <w:tblStylePr w:type="band1Vert">
      <w:tblPr/>
      <w:tcPr>
        <w:shd w:val="clear" w:color="auto" w:fill="B9F5DF" w:themeFill="accent6" w:themeFillTint="3F"/>
      </w:tcPr>
    </w:tblStylePr>
    <w:tblStylePr w:type="band1Horz">
      <w:tblPr/>
      <w:tcPr>
        <w:shd w:val="clear" w:color="auto" w:fill="B9F5DF" w:themeFill="accent6" w:themeFillTint="3F"/>
      </w:tcPr>
    </w:tblStylePr>
  </w:style>
  <w:style w:type="table" w:styleId="MediumList2">
    <w:name w:val="Medium List 2"/>
    <w:basedOn w:val="TableNormal"/>
    <w:unhideWhenUsed/>
    <w:rsid w:val="00570E30"/>
    <w:rPr>
      <w:rFonts w:asciiTheme="majorHAnsi" w:eastAsiaTheme="majorEastAsia" w:hAnsiTheme="majorHAnsi" w:cstheme="majorBidi"/>
      <w:color w:val="000000" w:themeColor="text1"/>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nhideWhenUsed/>
    <w:rsid w:val="00570E30"/>
    <w:rPr>
      <w:rFonts w:asciiTheme="majorHAnsi" w:eastAsiaTheme="majorEastAsia" w:hAnsiTheme="majorHAnsi" w:cstheme="majorBidi"/>
      <w:color w:val="000000" w:themeColor="text1"/>
      <w:sz w:val="22"/>
      <w:szCs w:val="22"/>
    </w:rPr>
    <w:tblPr>
      <w:tblStyleRowBandSize w:val="1"/>
      <w:tblStyleColBandSize w:val="1"/>
      <w:tblBorders>
        <w:top w:val="single" w:sz="8" w:space="0" w:color="0B2949" w:themeColor="accent1"/>
        <w:left w:val="single" w:sz="8" w:space="0" w:color="0B2949" w:themeColor="accent1"/>
        <w:bottom w:val="single" w:sz="8" w:space="0" w:color="0B2949" w:themeColor="accent1"/>
        <w:right w:val="single" w:sz="8" w:space="0" w:color="0B2949" w:themeColor="accent1"/>
      </w:tblBorders>
    </w:tblPr>
    <w:tblStylePr w:type="firstRow">
      <w:rPr>
        <w:sz w:val="24"/>
        <w:szCs w:val="24"/>
      </w:rPr>
      <w:tblPr/>
      <w:tcPr>
        <w:tcBorders>
          <w:top w:val="nil"/>
          <w:left w:val="nil"/>
          <w:bottom w:val="single" w:sz="24" w:space="0" w:color="0B2949" w:themeColor="accen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B2949" w:themeColor="accent1"/>
          <w:insideH w:val="nil"/>
          <w:insideV w:val="nil"/>
        </w:tcBorders>
        <w:shd w:val="clear" w:color="auto" w:fill="FFFFFF" w:themeFill="background1"/>
      </w:tcPr>
    </w:tblStylePr>
    <w:tblStylePr w:type="lastCol">
      <w:tblPr/>
      <w:tcPr>
        <w:tcBorders>
          <w:top w:val="nil"/>
          <w:left w:val="single" w:sz="8" w:space="0" w:color="0B2949"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A3C8F1" w:themeFill="accent1" w:themeFillTint="3F"/>
      </w:tcPr>
    </w:tblStylePr>
    <w:tblStylePr w:type="band1Horz">
      <w:tblPr/>
      <w:tcPr>
        <w:tcBorders>
          <w:top w:val="nil"/>
          <w:bottom w:val="nil"/>
          <w:insideH w:val="nil"/>
          <w:insideV w:val="nil"/>
        </w:tcBorders>
        <w:shd w:val="clear" w:color="auto" w:fill="A3C8F1"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nhideWhenUsed/>
    <w:rsid w:val="00570E30"/>
    <w:rPr>
      <w:rFonts w:asciiTheme="majorHAnsi" w:eastAsiaTheme="majorEastAsia" w:hAnsiTheme="majorHAnsi" w:cstheme="majorBidi"/>
      <w:color w:val="000000" w:themeColor="text1"/>
      <w:sz w:val="22"/>
      <w:szCs w:val="22"/>
    </w:rPr>
    <w:tblPr>
      <w:tblStyleRowBandSize w:val="1"/>
      <w:tblStyleColBandSize w:val="1"/>
      <w:tblBorders>
        <w:top w:val="single" w:sz="8" w:space="0" w:color="D02B27" w:themeColor="accent2"/>
        <w:left w:val="single" w:sz="8" w:space="0" w:color="D02B27" w:themeColor="accent2"/>
        <w:bottom w:val="single" w:sz="8" w:space="0" w:color="D02B27" w:themeColor="accent2"/>
        <w:right w:val="single" w:sz="8" w:space="0" w:color="D02B27" w:themeColor="accent2"/>
      </w:tblBorders>
    </w:tblPr>
    <w:tblStylePr w:type="firstRow">
      <w:rPr>
        <w:sz w:val="24"/>
        <w:szCs w:val="24"/>
      </w:rPr>
      <w:tblPr/>
      <w:tcPr>
        <w:tcBorders>
          <w:top w:val="nil"/>
          <w:left w:val="nil"/>
          <w:bottom w:val="single" w:sz="24" w:space="0" w:color="D02B27" w:themeColor="accent2"/>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D02B27" w:themeColor="accent2"/>
          <w:insideH w:val="nil"/>
          <w:insideV w:val="nil"/>
        </w:tcBorders>
        <w:shd w:val="clear" w:color="auto" w:fill="FFFFFF" w:themeFill="background1"/>
      </w:tcPr>
    </w:tblStylePr>
    <w:tblStylePr w:type="lastCol">
      <w:tblPr/>
      <w:tcPr>
        <w:tcBorders>
          <w:top w:val="nil"/>
          <w:left w:val="single" w:sz="8" w:space="0" w:color="D02B27"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4C9C8" w:themeFill="accent2" w:themeFillTint="3F"/>
      </w:tcPr>
    </w:tblStylePr>
    <w:tblStylePr w:type="band1Horz">
      <w:tblPr/>
      <w:tcPr>
        <w:tcBorders>
          <w:top w:val="nil"/>
          <w:bottom w:val="nil"/>
          <w:insideH w:val="nil"/>
          <w:insideV w:val="nil"/>
        </w:tcBorders>
        <w:shd w:val="clear" w:color="auto" w:fill="F4C9C8"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nhideWhenUsed/>
    <w:rsid w:val="00570E30"/>
    <w:rPr>
      <w:rFonts w:asciiTheme="majorHAnsi" w:eastAsiaTheme="majorEastAsia" w:hAnsiTheme="majorHAnsi" w:cstheme="majorBidi"/>
      <w:color w:val="000000" w:themeColor="text1"/>
      <w:sz w:val="22"/>
      <w:szCs w:val="22"/>
    </w:rPr>
    <w:tblPr>
      <w:tblStyleRowBandSize w:val="1"/>
      <w:tblStyleColBandSize w:val="1"/>
      <w:tblBorders>
        <w:top w:val="single" w:sz="8" w:space="0" w:color="5B6771" w:themeColor="accent3"/>
        <w:left w:val="single" w:sz="8" w:space="0" w:color="5B6771" w:themeColor="accent3"/>
        <w:bottom w:val="single" w:sz="8" w:space="0" w:color="5B6771" w:themeColor="accent3"/>
        <w:right w:val="single" w:sz="8" w:space="0" w:color="5B6771" w:themeColor="accent3"/>
      </w:tblBorders>
    </w:tblPr>
    <w:tblStylePr w:type="firstRow">
      <w:rPr>
        <w:sz w:val="24"/>
        <w:szCs w:val="24"/>
      </w:rPr>
      <w:tblPr/>
      <w:tcPr>
        <w:tcBorders>
          <w:top w:val="nil"/>
          <w:left w:val="nil"/>
          <w:bottom w:val="single" w:sz="24" w:space="0" w:color="5B6771" w:themeColor="accent3"/>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6771" w:themeColor="accent3"/>
          <w:insideH w:val="nil"/>
          <w:insideV w:val="nil"/>
        </w:tcBorders>
        <w:shd w:val="clear" w:color="auto" w:fill="FFFFFF" w:themeFill="background1"/>
      </w:tcPr>
    </w:tblStylePr>
    <w:tblStylePr w:type="lastCol">
      <w:tblPr/>
      <w:tcPr>
        <w:tcBorders>
          <w:top w:val="nil"/>
          <w:left w:val="single" w:sz="8" w:space="0" w:color="5B6771"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5D9DD" w:themeFill="accent3" w:themeFillTint="3F"/>
      </w:tcPr>
    </w:tblStylePr>
    <w:tblStylePr w:type="band1Horz">
      <w:tblPr/>
      <w:tcPr>
        <w:tcBorders>
          <w:top w:val="nil"/>
          <w:bottom w:val="nil"/>
          <w:insideH w:val="nil"/>
          <w:insideV w:val="nil"/>
        </w:tcBorders>
        <w:shd w:val="clear" w:color="auto" w:fill="D5D9DD"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nhideWhenUsed/>
    <w:rsid w:val="00570E30"/>
    <w:rPr>
      <w:rFonts w:asciiTheme="majorHAnsi" w:eastAsiaTheme="majorEastAsia" w:hAnsiTheme="majorHAnsi" w:cstheme="majorBidi"/>
      <w:color w:val="000000" w:themeColor="text1"/>
      <w:sz w:val="22"/>
      <w:szCs w:val="22"/>
    </w:rPr>
    <w:tblPr>
      <w:tblStyleRowBandSize w:val="1"/>
      <w:tblStyleColBandSize w:val="1"/>
      <w:tblBorders>
        <w:top w:val="single" w:sz="8" w:space="0" w:color="F1B51C" w:themeColor="accent4"/>
        <w:left w:val="single" w:sz="8" w:space="0" w:color="F1B51C" w:themeColor="accent4"/>
        <w:bottom w:val="single" w:sz="8" w:space="0" w:color="F1B51C" w:themeColor="accent4"/>
        <w:right w:val="single" w:sz="8" w:space="0" w:color="F1B51C" w:themeColor="accent4"/>
      </w:tblBorders>
    </w:tblPr>
    <w:tblStylePr w:type="firstRow">
      <w:rPr>
        <w:sz w:val="24"/>
        <w:szCs w:val="24"/>
      </w:rPr>
      <w:tblPr/>
      <w:tcPr>
        <w:tcBorders>
          <w:top w:val="nil"/>
          <w:left w:val="nil"/>
          <w:bottom w:val="single" w:sz="24" w:space="0" w:color="F1B51C" w:themeColor="accent4"/>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1B51C" w:themeColor="accent4"/>
          <w:insideH w:val="nil"/>
          <w:insideV w:val="nil"/>
        </w:tcBorders>
        <w:shd w:val="clear" w:color="auto" w:fill="FFFFFF" w:themeFill="background1"/>
      </w:tcPr>
    </w:tblStylePr>
    <w:tblStylePr w:type="lastCol">
      <w:tblPr/>
      <w:tcPr>
        <w:tcBorders>
          <w:top w:val="nil"/>
          <w:left w:val="single" w:sz="8" w:space="0" w:color="F1B51C"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BECC6" w:themeFill="accent4" w:themeFillTint="3F"/>
      </w:tcPr>
    </w:tblStylePr>
    <w:tblStylePr w:type="band1Horz">
      <w:tblPr/>
      <w:tcPr>
        <w:tcBorders>
          <w:top w:val="nil"/>
          <w:bottom w:val="nil"/>
          <w:insideH w:val="nil"/>
          <w:insideV w:val="nil"/>
        </w:tcBorders>
        <w:shd w:val="clear" w:color="auto" w:fill="FBECC6"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nhideWhenUsed/>
    <w:rsid w:val="00570E30"/>
    <w:rPr>
      <w:rFonts w:asciiTheme="majorHAnsi" w:eastAsiaTheme="majorEastAsia" w:hAnsiTheme="majorHAnsi" w:cstheme="majorBidi"/>
      <w:color w:val="000000" w:themeColor="text1"/>
      <w:sz w:val="22"/>
      <w:szCs w:val="22"/>
    </w:rPr>
    <w:tblPr>
      <w:tblStyleRowBandSize w:val="1"/>
      <w:tblStyleColBandSize w:val="1"/>
      <w:tblBorders>
        <w:top w:val="single" w:sz="8" w:space="0" w:color="189394" w:themeColor="accent5"/>
        <w:left w:val="single" w:sz="8" w:space="0" w:color="189394" w:themeColor="accent5"/>
        <w:bottom w:val="single" w:sz="8" w:space="0" w:color="189394" w:themeColor="accent5"/>
        <w:right w:val="single" w:sz="8" w:space="0" w:color="189394" w:themeColor="accent5"/>
      </w:tblBorders>
    </w:tblPr>
    <w:tblStylePr w:type="firstRow">
      <w:rPr>
        <w:sz w:val="24"/>
        <w:szCs w:val="24"/>
      </w:rPr>
      <w:tblPr/>
      <w:tcPr>
        <w:tcBorders>
          <w:top w:val="nil"/>
          <w:left w:val="nil"/>
          <w:bottom w:val="single" w:sz="24" w:space="0" w:color="189394" w:themeColor="accent5"/>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189394" w:themeColor="accent5"/>
          <w:insideH w:val="nil"/>
          <w:insideV w:val="nil"/>
        </w:tcBorders>
        <w:shd w:val="clear" w:color="auto" w:fill="FFFFFF" w:themeFill="background1"/>
      </w:tcPr>
    </w:tblStylePr>
    <w:tblStylePr w:type="lastCol">
      <w:tblPr/>
      <w:tcPr>
        <w:tcBorders>
          <w:top w:val="nil"/>
          <w:left w:val="single" w:sz="8" w:space="0" w:color="18939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7F2F3" w:themeFill="accent5" w:themeFillTint="3F"/>
      </w:tcPr>
    </w:tblStylePr>
    <w:tblStylePr w:type="band1Horz">
      <w:tblPr/>
      <w:tcPr>
        <w:tcBorders>
          <w:top w:val="nil"/>
          <w:bottom w:val="nil"/>
          <w:insideH w:val="nil"/>
          <w:insideV w:val="nil"/>
        </w:tcBorders>
        <w:shd w:val="clear" w:color="auto" w:fill="B7F2F3"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nhideWhenUsed/>
    <w:rsid w:val="00570E30"/>
    <w:rPr>
      <w:rFonts w:asciiTheme="majorHAnsi" w:eastAsiaTheme="majorEastAsia" w:hAnsiTheme="majorHAnsi" w:cstheme="majorBidi"/>
      <w:color w:val="000000" w:themeColor="text1"/>
      <w:sz w:val="22"/>
      <w:szCs w:val="22"/>
    </w:rPr>
    <w:tblPr>
      <w:tblStyleRowBandSize w:val="1"/>
      <w:tblStyleColBandSize w:val="1"/>
      <w:tblBorders>
        <w:top w:val="single" w:sz="8" w:space="0" w:color="17A673" w:themeColor="accent6"/>
        <w:left w:val="single" w:sz="8" w:space="0" w:color="17A673" w:themeColor="accent6"/>
        <w:bottom w:val="single" w:sz="8" w:space="0" w:color="17A673" w:themeColor="accent6"/>
        <w:right w:val="single" w:sz="8" w:space="0" w:color="17A673" w:themeColor="accent6"/>
      </w:tblBorders>
    </w:tblPr>
    <w:tblStylePr w:type="firstRow">
      <w:rPr>
        <w:sz w:val="24"/>
        <w:szCs w:val="24"/>
      </w:rPr>
      <w:tblPr/>
      <w:tcPr>
        <w:tcBorders>
          <w:top w:val="nil"/>
          <w:left w:val="nil"/>
          <w:bottom w:val="single" w:sz="24" w:space="0" w:color="17A673" w:themeColor="accent6"/>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17A673" w:themeColor="accent6"/>
          <w:insideH w:val="nil"/>
          <w:insideV w:val="nil"/>
        </w:tcBorders>
        <w:shd w:val="clear" w:color="auto" w:fill="FFFFFF" w:themeFill="background1"/>
      </w:tcPr>
    </w:tblStylePr>
    <w:tblStylePr w:type="lastCol">
      <w:tblPr/>
      <w:tcPr>
        <w:tcBorders>
          <w:top w:val="nil"/>
          <w:left w:val="single" w:sz="8" w:space="0" w:color="17A673"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9F5DF" w:themeFill="accent6" w:themeFillTint="3F"/>
      </w:tcPr>
    </w:tblStylePr>
    <w:tblStylePr w:type="band1Horz">
      <w:tblPr/>
      <w:tcPr>
        <w:tcBorders>
          <w:top w:val="nil"/>
          <w:bottom w:val="nil"/>
          <w:insideH w:val="nil"/>
          <w:insideV w:val="nil"/>
        </w:tcBorders>
        <w:shd w:val="clear" w:color="auto" w:fill="B9F5DF"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Shading1">
    <w:name w:val="Medium Shading 1"/>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195CA5" w:themeColor="accent1" w:themeTint="BF"/>
        <w:left w:val="single" w:sz="8" w:space="0" w:color="195CA5" w:themeColor="accent1" w:themeTint="BF"/>
        <w:bottom w:val="single" w:sz="8" w:space="0" w:color="195CA5" w:themeColor="accent1" w:themeTint="BF"/>
        <w:right w:val="single" w:sz="8" w:space="0" w:color="195CA5" w:themeColor="accent1" w:themeTint="BF"/>
        <w:insideH w:val="single" w:sz="8" w:space="0" w:color="195CA5" w:themeColor="accent1" w:themeTint="BF"/>
      </w:tblBorders>
    </w:tblPr>
    <w:tblStylePr w:type="firstRow">
      <w:pPr>
        <w:spacing w:before="0" w:after="0" w:line="240" w:lineRule="auto"/>
      </w:pPr>
      <w:rPr>
        <w:b/>
        <w:bCs/>
        <w:color w:val="FFFFFF" w:themeColor="background1"/>
      </w:rPr>
      <w:tblPr/>
      <w:tcPr>
        <w:tcBorders>
          <w:top w:val="single" w:sz="8" w:space="0" w:color="195CA5" w:themeColor="accent1" w:themeTint="BF"/>
          <w:left w:val="single" w:sz="8" w:space="0" w:color="195CA5" w:themeColor="accent1" w:themeTint="BF"/>
          <w:bottom w:val="single" w:sz="8" w:space="0" w:color="195CA5" w:themeColor="accent1" w:themeTint="BF"/>
          <w:right w:val="single" w:sz="8" w:space="0" w:color="195CA5" w:themeColor="accent1" w:themeTint="BF"/>
          <w:insideH w:val="nil"/>
          <w:insideV w:val="nil"/>
        </w:tcBorders>
        <w:shd w:val="clear" w:color="auto" w:fill="0B2949" w:themeFill="accent1"/>
      </w:tcPr>
    </w:tblStylePr>
    <w:tblStylePr w:type="lastRow">
      <w:pPr>
        <w:spacing w:before="0" w:after="0" w:line="240" w:lineRule="auto"/>
      </w:pPr>
      <w:rPr>
        <w:b/>
        <w:bCs/>
      </w:rPr>
      <w:tblPr/>
      <w:tcPr>
        <w:tcBorders>
          <w:top w:val="double" w:sz="6" w:space="0" w:color="195CA5" w:themeColor="accent1" w:themeTint="BF"/>
          <w:left w:val="single" w:sz="8" w:space="0" w:color="195CA5" w:themeColor="accent1" w:themeTint="BF"/>
          <w:bottom w:val="single" w:sz="8" w:space="0" w:color="195CA5" w:themeColor="accent1" w:themeTint="BF"/>
          <w:right w:val="single" w:sz="8" w:space="0" w:color="195CA5" w:themeColor="accent1" w:themeTint="BF"/>
          <w:insideH w:val="nil"/>
          <w:insideV w:val="nil"/>
        </w:tcBorders>
      </w:tcPr>
    </w:tblStylePr>
    <w:tblStylePr w:type="firstCol">
      <w:rPr>
        <w:b/>
        <w:bCs/>
      </w:rPr>
    </w:tblStylePr>
    <w:tblStylePr w:type="lastCol">
      <w:rPr>
        <w:b/>
        <w:bCs/>
      </w:rPr>
    </w:tblStylePr>
    <w:tblStylePr w:type="band1Vert">
      <w:tblPr/>
      <w:tcPr>
        <w:shd w:val="clear" w:color="auto" w:fill="A3C8F1" w:themeFill="accent1" w:themeFillTint="3F"/>
      </w:tcPr>
    </w:tblStylePr>
    <w:tblStylePr w:type="band1Horz">
      <w:tblPr/>
      <w:tcPr>
        <w:tcBorders>
          <w:insideH w:val="nil"/>
          <w:insideV w:val="nil"/>
        </w:tcBorders>
        <w:shd w:val="clear" w:color="auto" w:fill="A3C8F1"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E05C59" w:themeColor="accent2" w:themeTint="BF"/>
        <w:left w:val="single" w:sz="8" w:space="0" w:color="E05C59" w:themeColor="accent2" w:themeTint="BF"/>
        <w:bottom w:val="single" w:sz="8" w:space="0" w:color="E05C59" w:themeColor="accent2" w:themeTint="BF"/>
        <w:right w:val="single" w:sz="8" w:space="0" w:color="E05C59" w:themeColor="accent2" w:themeTint="BF"/>
        <w:insideH w:val="single" w:sz="8" w:space="0" w:color="E05C59" w:themeColor="accent2" w:themeTint="BF"/>
      </w:tblBorders>
    </w:tblPr>
    <w:tblStylePr w:type="firstRow">
      <w:pPr>
        <w:spacing w:before="0" w:after="0" w:line="240" w:lineRule="auto"/>
      </w:pPr>
      <w:rPr>
        <w:b/>
        <w:bCs/>
        <w:color w:val="FFFFFF" w:themeColor="background1"/>
      </w:rPr>
      <w:tblPr/>
      <w:tcPr>
        <w:tcBorders>
          <w:top w:val="single" w:sz="8" w:space="0" w:color="E05C59" w:themeColor="accent2" w:themeTint="BF"/>
          <w:left w:val="single" w:sz="8" w:space="0" w:color="E05C59" w:themeColor="accent2" w:themeTint="BF"/>
          <w:bottom w:val="single" w:sz="8" w:space="0" w:color="E05C59" w:themeColor="accent2" w:themeTint="BF"/>
          <w:right w:val="single" w:sz="8" w:space="0" w:color="E05C59" w:themeColor="accent2" w:themeTint="BF"/>
          <w:insideH w:val="nil"/>
          <w:insideV w:val="nil"/>
        </w:tcBorders>
        <w:shd w:val="clear" w:color="auto" w:fill="D02B27" w:themeFill="accent2"/>
      </w:tcPr>
    </w:tblStylePr>
    <w:tblStylePr w:type="lastRow">
      <w:pPr>
        <w:spacing w:before="0" w:after="0" w:line="240" w:lineRule="auto"/>
      </w:pPr>
      <w:rPr>
        <w:b/>
        <w:bCs/>
      </w:rPr>
      <w:tblPr/>
      <w:tcPr>
        <w:tcBorders>
          <w:top w:val="double" w:sz="6" w:space="0" w:color="E05C59" w:themeColor="accent2" w:themeTint="BF"/>
          <w:left w:val="single" w:sz="8" w:space="0" w:color="E05C59" w:themeColor="accent2" w:themeTint="BF"/>
          <w:bottom w:val="single" w:sz="8" w:space="0" w:color="E05C59" w:themeColor="accent2" w:themeTint="BF"/>
          <w:right w:val="single" w:sz="8" w:space="0" w:color="E05C59" w:themeColor="accent2" w:themeTint="BF"/>
          <w:insideH w:val="nil"/>
          <w:insideV w:val="nil"/>
        </w:tcBorders>
      </w:tcPr>
    </w:tblStylePr>
    <w:tblStylePr w:type="firstCol">
      <w:rPr>
        <w:b/>
        <w:bCs/>
      </w:rPr>
    </w:tblStylePr>
    <w:tblStylePr w:type="lastCol">
      <w:rPr>
        <w:b/>
        <w:bCs/>
      </w:rPr>
    </w:tblStylePr>
    <w:tblStylePr w:type="band1Vert">
      <w:tblPr/>
      <w:tcPr>
        <w:shd w:val="clear" w:color="auto" w:fill="F4C9C8" w:themeFill="accent2" w:themeFillTint="3F"/>
      </w:tcPr>
    </w:tblStylePr>
    <w:tblStylePr w:type="band1Horz">
      <w:tblPr/>
      <w:tcPr>
        <w:tcBorders>
          <w:insideH w:val="nil"/>
          <w:insideV w:val="nil"/>
        </w:tcBorders>
        <w:shd w:val="clear" w:color="auto" w:fill="F4C9C8"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7F8D98" w:themeColor="accent3" w:themeTint="BF"/>
        <w:left w:val="single" w:sz="8" w:space="0" w:color="7F8D98" w:themeColor="accent3" w:themeTint="BF"/>
        <w:bottom w:val="single" w:sz="8" w:space="0" w:color="7F8D98" w:themeColor="accent3" w:themeTint="BF"/>
        <w:right w:val="single" w:sz="8" w:space="0" w:color="7F8D98" w:themeColor="accent3" w:themeTint="BF"/>
        <w:insideH w:val="single" w:sz="8" w:space="0" w:color="7F8D98" w:themeColor="accent3" w:themeTint="BF"/>
      </w:tblBorders>
    </w:tblPr>
    <w:tblStylePr w:type="firstRow">
      <w:pPr>
        <w:spacing w:before="0" w:after="0" w:line="240" w:lineRule="auto"/>
      </w:pPr>
      <w:rPr>
        <w:b/>
        <w:bCs/>
        <w:color w:val="FFFFFF" w:themeColor="background1"/>
      </w:rPr>
      <w:tblPr/>
      <w:tcPr>
        <w:tcBorders>
          <w:top w:val="single" w:sz="8" w:space="0" w:color="7F8D98" w:themeColor="accent3" w:themeTint="BF"/>
          <w:left w:val="single" w:sz="8" w:space="0" w:color="7F8D98" w:themeColor="accent3" w:themeTint="BF"/>
          <w:bottom w:val="single" w:sz="8" w:space="0" w:color="7F8D98" w:themeColor="accent3" w:themeTint="BF"/>
          <w:right w:val="single" w:sz="8" w:space="0" w:color="7F8D98" w:themeColor="accent3" w:themeTint="BF"/>
          <w:insideH w:val="nil"/>
          <w:insideV w:val="nil"/>
        </w:tcBorders>
        <w:shd w:val="clear" w:color="auto" w:fill="5B6771" w:themeFill="accent3"/>
      </w:tcPr>
    </w:tblStylePr>
    <w:tblStylePr w:type="lastRow">
      <w:pPr>
        <w:spacing w:before="0" w:after="0" w:line="240" w:lineRule="auto"/>
      </w:pPr>
      <w:rPr>
        <w:b/>
        <w:bCs/>
      </w:rPr>
      <w:tblPr/>
      <w:tcPr>
        <w:tcBorders>
          <w:top w:val="double" w:sz="6" w:space="0" w:color="7F8D98" w:themeColor="accent3" w:themeTint="BF"/>
          <w:left w:val="single" w:sz="8" w:space="0" w:color="7F8D98" w:themeColor="accent3" w:themeTint="BF"/>
          <w:bottom w:val="single" w:sz="8" w:space="0" w:color="7F8D98" w:themeColor="accent3" w:themeTint="BF"/>
          <w:right w:val="single" w:sz="8" w:space="0" w:color="7F8D98" w:themeColor="accent3" w:themeTint="BF"/>
          <w:insideH w:val="nil"/>
          <w:insideV w:val="nil"/>
        </w:tcBorders>
      </w:tcPr>
    </w:tblStylePr>
    <w:tblStylePr w:type="firstCol">
      <w:rPr>
        <w:b/>
        <w:bCs/>
      </w:rPr>
    </w:tblStylePr>
    <w:tblStylePr w:type="lastCol">
      <w:rPr>
        <w:b/>
        <w:bCs/>
      </w:rPr>
    </w:tblStylePr>
    <w:tblStylePr w:type="band1Vert">
      <w:tblPr/>
      <w:tcPr>
        <w:shd w:val="clear" w:color="auto" w:fill="D5D9DD" w:themeFill="accent3" w:themeFillTint="3F"/>
      </w:tcPr>
    </w:tblStylePr>
    <w:tblStylePr w:type="band1Horz">
      <w:tblPr/>
      <w:tcPr>
        <w:tcBorders>
          <w:insideH w:val="nil"/>
          <w:insideV w:val="nil"/>
        </w:tcBorders>
        <w:shd w:val="clear" w:color="auto" w:fill="D5D9DD"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F4C754" w:themeColor="accent4" w:themeTint="BF"/>
        <w:left w:val="single" w:sz="8" w:space="0" w:color="F4C754" w:themeColor="accent4" w:themeTint="BF"/>
        <w:bottom w:val="single" w:sz="8" w:space="0" w:color="F4C754" w:themeColor="accent4" w:themeTint="BF"/>
        <w:right w:val="single" w:sz="8" w:space="0" w:color="F4C754" w:themeColor="accent4" w:themeTint="BF"/>
        <w:insideH w:val="single" w:sz="8" w:space="0" w:color="F4C754" w:themeColor="accent4" w:themeTint="BF"/>
      </w:tblBorders>
    </w:tblPr>
    <w:tblStylePr w:type="firstRow">
      <w:pPr>
        <w:spacing w:before="0" w:after="0" w:line="240" w:lineRule="auto"/>
      </w:pPr>
      <w:rPr>
        <w:b/>
        <w:bCs/>
        <w:color w:val="FFFFFF" w:themeColor="background1"/>
      </w:rPr>
      <w:tblPr/>
      <w:tcPr>
        <w:tcBorders>
          <w:top w:val="single" w:sz="8" w:space="0" w:color="F4C754" w:themeColor="accent4" w:themeTint="BF"/>
          <w:left w:val="single" w:sz="8" w:space="0" w:color="F4C754" w:themeColor="accent4" w:themeTint="BF"/>
          <w:bottom w:val="single" w:sz="8" w:space="0" w:color="F4C754" w:themeColor="accent4" w:themeTint="BF"/>
          <w:right w:val="single" w:sz="8" w:space="0" w:color="F4C754" w:themeColor="accent4" w:themeTint="BF"/>
          <w:insideH w:val="nil"/>
          <w:insideV w:val="nil"/>
        </w:tcBorders>
        <w:shd w:val="clear" w:color="auto" w:fill="F1B51C" w:themeFill="accent4"/>
      </w:tcPr>
    </w:tblStylePr>
    <w:tblStylePr w:type="lastRow">
      <w:pPr>
        <w:spacing w:before="0" w:after="0" w:line="240" w:lineRule="auto"/>
      </w:pPr>
      <w:rPr>
        <w:b/>
        <w:bCs/>
      </w:rPr>
      <w:tblPr/>
      <w:tcPr>
        <w:tcBorders>
          <w:top w:val="double" w:sz="6" w:space="0" w:color="F4C754" w:themeColor="accent4" w:themeTint="BF"/>
          <w:left w:val="single" w:sz="8" w:space="0" w:color="F4C754" w:themeColor="accent4" w:themeTint="BF"/>
          <w:bottom w:val="single" w:sz="8" w:space="0" w:color="F4C754" w:themeColor="accent4" w:themeTint="BF"/>
          <w:right w:val="single" w:sz="8" w:space="0" w:color="F4C754" w:themeColor="accent4" w:themeTint="BF"/>
          <w:insideH w:val="nil"/>
          <w:insideV w:val="nil"/>
        </w:tcBorders>
      </w:tcPr>
    </w:tblStylePr>
    <w:tblStylePr w:type="firstCol">
      <w:rPr>
        <w:b/>
        <w:bCs/>
      </w:rPr>
    </w:tblStylePr>
    <w:tblStylePr w:type="lastCol">
      <w:rPr>
        <w:b/>
        <w:bCs/>
      </w:rPr>
    </w:tblStylePr>
    <w:tblStylePr w:type="band1Vert">
      <w:tblPr/>
      <w:tcPr>
        <w:shd w:val="clear" w:color="auto" w:fill="FBECC6" w:themeFill="accent4" w:themeFillTint="3F"/>
      </w:tcPr>
    </w:tblStylePr>
    <w:tblStylePr w:type="band1Horz">
      <w:tblPr/>
      <w:tcPr>
        <w:tcBorders>
          <w:insideH w:val="nil"/>
          <w:insideV w:val="nil"/>
        </w:tcBorders>
        <w:shd w:val="clear" w:color="auto" w:fill="FBECC6"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25D9DB" w:themeColor="accent5" w:themeTint="BF"/>
        <w:left w:val="single" w:sz="8" w:space="0" w:color="25D9DB" w:themeColor="accent5" w:themeTint="BF"/>
        <w:bottom w:val="single" w:sz="8" w:space="0" w:color="25D9DB" w:themeColor="accent5" w:themeTint="BF"/>
        <w:right w:val="single" w:sz="8" w:space="0" w:color="25D9DB" w:themeColor="accent5" w:themeTint="BF"/>
        <w:insideH w:val="single" w:sz="8" w:space="0" w:color="25D9DB" w:themeColor="accent5" w:themeTint="BF"/>
      </w:tblBorders>
    </w:tblPr>
    <w:tblStylePr w:type="firstRow">
      <w:pPr>
        <w:spacing w:before="0" w:after="0" w:line="240" w:lineRule="auto"/>
      </w:pPr>
      <w:rPr>
        <w:b/>
        <w:bCs/>
        <w:color w:val="FFFFFF" w:themeColor="background1"/>
      </w:rPr>
      <w:tblPr/>
      <w:tcPr>
        <w:tcBorders>
          <w:top w:val="single" w:sz="8" w:space="0" w:color="25D9DB" w:themeColor="accent5" w:themeTint="BF"/>
          <w:left w:val="single" w:sz="8" w:space="0" w:color="25D9DB" w:themeColor="accent5" w:themeTint="BF"/>
          <w:bottom w:val="single" w:sz="8" w:space="0" w:color="25D9DB" w:themeColor="accent5" w:themeTint="BF"/>
          <w:right w:val="single" w:sz="8" w:space="0" w:color="25D9DB" w:themeColor="accent5" w:themeTint="BF"/>
          <w:insideH w:val="nil"/>
          <w:insideV w:val="nil"/>
        </w:tcBorders>
        <w:shd w:val="clear" w:color="auto" w:fill="189394" w:themeFill="accent5"/>
      </w:tcPr>
    </w:tblStylePr>
    <w:tblStylePr w:type="lastRow">
      <w:pPr>
        <w:spacing w:before="0" w:after="0" w:line="240" w:lineRule="auto"/>
      </w:pPr>
      <w:rPr>
        <w:b/>
        <w:bCs/>
      </w:rPr>
      <w:tblPr/>
      <w:tcPr>
        <w:tcBorders>
          <w:top w:val="double" w:sz="6" w:space="0" w:color="25D9DB" w:themeColor="accent5" w:themeTint="BF"/>
          <w:left w:val="single" w:sz="8" w:space="0" w:color="25D9DB" w:themeColor="accent5" w:themeTint="BF"/>
          <w:bottom w:val="single" w:sz="8" w:space="0" w:color="25D9DB" w:themeColor="accent5" w:themeTint="BF"/>
          <w:right w:val="single" w:sz="8" w:space="0" w:color="25D9DB" w:themeColor="accent5" w:themeTint="BF"/>
          <w:insideH w:val="nil"/>
          <w:insideV w:val="nil"/>
        </w:tcBorders>
      </w:tcPr>
    </w:tblStylePr>
    <w:tblStylePr w:type="firstCol">
      <w:rPr>
        <w:b/>
        <w:bCs/>
      </w:rPr>
    </w:tblStylePr>
    <w:tblStylePr w:type="lastCol">
      <w:rPr>
        <w:b/>
        <w:bCs/>
      </w:rPr>
    </w:tblStylePr>
    <w:tblStylePr w:type="band1Vert">
      <w:tblPr/>
      <w:tcPr>
        <w:shd w:val="clear" w:color="auto" w:fill="B7F2F3" w:themeFill="accent5" w:themeFillTint="3F"/>
      </w:tcPr>
    </w:tblStylePr>
    <w:tblStylePr w:type="band1Horz">
      <w:tblPr/>
      <w:tcPr>
        <w:tcBorders>
          <w:insideH w:val="nil"/>
          <w:insideV w:val="nil"/>
        </w:tcBorders>
        <w:shd w:val="clear" w:color="auto" w:fill="B7F2F3"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2BE1A0" w:themeColor="accent6" w:themeTint="BF"/>
        <w:left w:val="single" w:sz="8" w:space="0" w:color="2BE1A0" w:themeColor="accent6" w:themeTint="BF"/>
        <w:bottom w:val="single" w:sz="8" w:space="0" w:color="2BE1A0" w:themeColor="accent6" w:themeTint="BF"/>
        <w:right w:val="single" w:sz="8" w:space="0" w:color="2BE1A0" w:themeColor="accent6" w:themeTint="BF"/>
        <w:insideH w:val="single" w:sz="8" w:space="0" w:color="2BE1A0" w:themeColor="accent6" w:themeTint="BF"/>
      </w:tblBorders>
    </w:tblPr>
    <w:tblStylePr w:type="firstRow">
      <w:pPr>
        <w:spacing w:before="0" w:after="0" w:line="240" w:lineRule="auto"/>
      </w:pPr>
      <w:rPr>
        <w:b/>
        <w:bCs/>
        <w:color w:val="FFFFFF" w:themeColor="background1"/>
      </w:rPr>
      <w:tblPr/>
      <w:tcPr>
        <w:tcBorders>
          <w:top w:val="single" w:sz="8" w:space="0" w:color="2BE1A0" w:themeColor="accent6" w:themeTint="BF"/>
          <w:left w:val="single" w:sz="8" w:space="0" w:color="2BE1A0" w:themeColor="accent6" w:themeTint="BF"/>
          <w:bottom w:val="single" w:sz="8" w:space="0" w:color="2BE1A0" w:themeColor="accent6" w:themeTint="BF"/>
          <w:right w:val="single" w:sz="8" w:space="0" w:color="2BE1A0" w:themeColor="accent6" w:themeTint="BF"/>
          <w:insideH w:val="nil"/>
          <w:insideV w:val="nil"/>
        </w:tcBorders>
        <w:shd w:val="clear" w:color="auto" w:fill="17A673" w:themeFill="accent6"/>
      </w:tcPr>
    </w:tblStylePr>
    <w:tblStylePr w:type="lastRow">
      <w:pPr>
        <w:spacing w:before="0" w:after="0" w:line="240" w:lineRule="auto"/>
      </w:pPr>
      <w:rPr>
        <w:b/>
        <w:bCs/>
      </w:rPr>
      <w:tblPr/>
      <w:tcPr>
        <w:tcBorders>
          <w:top w:val="double" w:sz="6" w:space="0" w:color="2BE1A0" w:themeColor="accent6" w:themeTint="BF"/>
          <w:left w:val="single" w:sz="8" w:space="0" w:color="2BE1A0" w:themeColor="accent6" w:themeTint="BF"/>
          <w:bottom w:val="single" w:sz="8" w:space="0" w:color="2BE1A0" w:themeColor="accent6" w:themeTint="BF"/>
          <w:right w:val="single" w:sz="8" w:space="0" w:color="2BE1A0" w:themeColor="accent6" w:themeTint="BF"/>
          <w:insideH w:val="nil"/>
          <w:insideV w:val="nil"/>
        </w:tcBorders>
      </w:tcPr>
    </w:tblStylePr>
    <w:tblStylePr w:type="firstCol">
      <w:rPr>
        <w:b/>
        <w:bCs/>
      </w:rPr>
    </w:tblStylePr>
    <w:tblStylePr w:type="lastCol">
      <w:rPr>
        <w:b/>
        <w:bCs/>
      </w:rPr>
    </w:tblStylePr>
    <w:tblStylePr w:type="band1Vert">
      <w:tblPr/>
      <w:tcPr>
        <w:shd w:val="clear" w:color="auto" w:fill="B9F5DF" w:themeFill="accent6" w:themeFillTint="3F"/>
      </w:tcPr>
    </w:tblStylePr>
    <w:tblStylePr w:type="band1Horz">
      <w:tblPr/>
      <w:tcPr>
        <w:tcBorders>
          <w:insideH w:val="nil"/>
          <w:insideV w:val="nil"/>
        </w:tcBorders>
        <w:shd w:val="clear" w:color="auto" w:fill="B9F5DF" w:themeFill="accent6" w:themeFillTint="3F"/>
      </w:tcPr>
    </w:tblStylePr>
    <w:tblStylePr w:type="band2Horz">
      <w:tblPr/>
      <w:tcPr>
        <w:tcBorders>
          <w:insideH w:val="nil"/>
          <w:insideV w:val="nil"/>
        </w:tcBorders>
      </w:tcPr>
    </w:tblStylePr>
  </w:style>
  <w:style w:type="table" w:styleId="MediumShading2">
    <w:name w:val="Medium Shading 2"/>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1">
    <w:name w:val="Medium Shading 2 Accent 1"/>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B2949"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B2949" w:themeFill="accent1"/>
      </w:tcPr>
    </w:tblStylePr>
    <w:tblStylePr w:type="lastCol">
      <w:rPr>
        <w:b/>
        <w:bCs/>
        <w:color w:val="FFFFFF" w:themeColor="background1"/>
      </w:rPr>
      <w:tblPr/>
      <w:tcPr>
        <w:tcBorders>
          <w:left w:val="nil"/>
          <w:right w:val="nil"/>
          <w:insideH w:val="nil"/>
          <w:insideV w:val="nil"/>
        </w:tcBorders>
        <w:shd w:val="clear" w:color="auto" w:fill="0B2949"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2">
    <w:name w:val="Medium Shading 2 Accent 2"/>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D02B27"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D02B27" w:themeFill="accent2"/>
      </w:tcPr>
    </w:tblStylePr>
    <w:tblStylePr w:type="lastCol">
      <w:rPr>
        <w:b/>
        <w:bCs/>
        <w:color w:val="FFFFFF" w:themeColor="background1"/>
      </w:rPr>
      <w:tblPr/>
      <w:tcPr>
        <w:tcBorders>
          <w:left w:val="nil"/>
          <w:right w:val="nil"/>
          <w:insideH w:val="nil"/>
          <w:insideV w:val="nil"/>
        </w:tcBorders>
        <w:shd w:val="clear" w:color="auto" w:fill="D02B27"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3">
    <w:name w:val="Medium Shading 2 Accent 3"/>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6771"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5B6771" w:themeFill="accent3"/>
      </w:tcPr>
    </w:tblStylePr>
    <w:tblStylePr w:type="lastCol">
      <w:rPr>
        <w:b/>
        <w:bCs/>
        <w:color w:val="FFFFFF" w:themeColor="background1"/>
      </w:rPr>
      <w:tblPr/>
      <w:tcPr>
        <w:tcBorders>
          <w:left w:val="nil"/>
          <w:right w:val="nil"/>
          <w:insideH w:val="nil"/>
          <w:insideV w:val="nil"/>
        </w:tcBorders>
        <w:shd w:val="clear" w:color="auto" w:fill="5B6771"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4">
    <w:name w:val="Medium Shading 2 Accent 4"/>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1B51C"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F1B51C" w:themeFill="accent4"/>
      </w:tcPr>
    </w:tblStylePr>
    <w:tblStylePr w:type="lastCol">
      <w:rPr>
        <w:b/>
        <w:bCs/>
        <w:color w:val="FFFFFF" w:themeColor="background1"/>
      </w:rPr>
      <w:tblPr/>
      <w:tcPr>
        <w:tcBorders>
          <w:left w:val="nil"/>
          <w:right w:val="nil"/>
          <w:insideH w:val="nil"/>
          <w:insideV w:val="nil"/>
        </w:tcBorders>
        <w:shd w:val="clear" w:color="auto" w:fill="F1B51C"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5">
    <w:name w:val="Medium Shading 2 Accent 5"/>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18939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189394" w:themeFill="accent5"/>
      </w:tcPr>
    </w:tblStylePr>
    <w:tblStylePr w:type="lastCol">
      <w:rPr>
        <w:b/>
        <w:bCs/>
        <w:color w:val="FFFFFF" w:themeColor="background1"/>
      </w:rPr>
      <w:tblPr/>
      <w:tcPr>
        <w:tcBorders>
          <w:left w:val="nil"/>
          <w:right w:val="nil"/>
          <w:insideH w:val="nil"/>
          <w:insideV w:val="nil"/>
        </w:tcBorders>
        <w:shd w:val="clear" w:color="auto" w:fill="18939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6">
    <w:name w:val="Medium Shading 2 Accent 6"/>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17A673"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17A673" w:themeFill="accent6"/>
      </w:tcPr>
    </w:tblStylePr>
    <w:tblStylePr w:type="lastCol">
      <w:rPr>
        <w:b/>
        <w:bCs/>
        <w:color w:val="FFFFFF" w:themeColor="background1"/>
      </w:rPr>
      <w:tblPr/>
      <w:tcPr>
        <w:tcBorders>
          <w:left w:val="nil"/>
          <w:right w:val="nil"/>
          <w:insideH w:val="nil"/>
          <w:insideV w:val="nil"/>
        </w:tcBorders>
        <w:shd w:val="clear" w:color="auto" w:fill="17A673"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character" w:styleId="Mention">
    <w:name w:val="Mention"/>
    <w:basedOn w:val="DefaultParagraphFont"/>
    <w:qFormat/>
    <w:rsid w:val="00570E30"/>
    <w:rPr>
      <w:color w:val="2B579A"/>
      <w:shd w:val="clear" w:color="auto" w:fill="E1DFDD"/>
    </w:rPr>
  </w:style>
  <w:style w:type="paragraph" w:styleId="MessageHeader">
    <w:name w:val="Message Header"/>
    <w:basedOn w:val="Normal"/>
    <w:link w:val="MessageHeaderChar"/>
    <w:qFormat/>
    <w:rsid w:val="00570E30"/>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semiHidden/>
    <w:rsid w:val="00570E30"/>
    <w:rPr>
      <w:rFonts w:asciiTheme="majorHAnsi" w:eastAsiaTheme="majorEastAsia" w:hAnsiTheme="majorHAnsi" w:cstheme="majorBidi"/>
      <w:sz w:val="24"/>
      <w:szCs w:val="24"/>
      <w:shd w:val="pct20" w:color="auto" w:fill="auto"/>
    </w:rPr>
  </w:style>
  <w:style w:type="paragraph" w:styleId="NormalIndent">
    <w:name w:val="Normal Indent"/>
    <w:basedOn w:val="Normal"/>
    <w:qFormat/>
    <w:rsid w:val="00570E30"/>
    <w:pPr>
      <w:ind w:left="720"/>
    </w:pPr>
  </w:style>
  <w:style w:type="table" w:styleId="PlainTable1">
    <w:name w:val="Plain Table 1"/>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rsid w:val="00570E30"/>
    <w:rPr>
      <w:rFonts w:asciiTheme="minorHAnsi" w:eastAsiaTheme="minorHAnsi" w:hAnsiTheme="minorHAnsi" w:cstheme="minorBidi"/>
      <w:sz w:val="22"/>
      <w:szCs w:val="22"/>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rsid w:val="00570E30"/>
    <w:rPr>
      <w:rFonts w:asciiTheme="minorHAnsi" w:eastAsiaTheme="minorHAnsi" w:hAnsiTheme="minorHAnsi" w:cstheme="minorBidi"/>
      <w:sz w:val="22"/>
      <w:szCs w:val="22"/>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5">
    <w:name w:val="Plain Table 5"/>
    <w:basedOn w:val="TableNormal"/>
    <w:rsid w:val="00570E30"/>
    <w:rPr>
      <w:rFonts w:asciiTheme="minorHAnsi" w:eastAsiaTheme="minorHAnsi" w:hAnsiTheme="minorHAnsi" w:cstheme="minorBidi"/>
      <w:sz w:val="22"/>
      <w:szCs w:val="22"/>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Signature">
    <w:name w:val="Signature"/>
    <w:basedOn w:val="Normal"/>
    <w:link w:val="SignatureChar"/>
    <w:qFormat/>
    <w:rsid w:val="00570E30"/>
    <w:pPr>
      <w:spacing w:after="0" w:line="240" w:lineRule="auto"/>
      <w:ind w:left="4320"/>
    </w:pPr>
  </w:style>
  <w:style w:type="character" w:customStyle="1" w:styleId="SignatureChar">
    <w:name w:val="Signature Char"/>
    <w:basedOn w:val="DefaultParagraphFont"/>
    <w:link w:val="Signature"/>
    <w:semiHidden/>
    <w:rsid w:val="00570E30"/>
    <w:rPr>
      <w:rFonts w:asciiTheme="minorHAnsi" w:eastAsiaTheme="minorHAnsi" w:hAnsiTheme="minorHAnsi" w:cstheme="minorBidi"/>
      <w:szCs w:val="22"/>
    </w:rPr>
  </w:style>
  <w:style w:type="character" w:styleId="SmartHyperlink">
    <w:name w:val="Smart Hyperlink"/>
    <w:basedOn w:val="DefaultParagraphFont"/>
    <w:qFormat/>
    <w:rsid w:val="00570E30"/>
    <w:rPr>
      <w:u w:val="dotted"/>
    </w:rPr>
  </w:style>
  <w:style w:type="character" w:styleId="SubtleEmphasis">
    <w:name w:val="Subtle Emphasis"/>
    <w:basedOn w:val="DefaultParagraphFont"/>
    <w:qFormat/>
    <w:rsid w:val="00570E30"/>
    <w:rPr>
      <w:i/>
      <w:iCs/>
      <w:color w:val="404040" w:themeColor="text1" w:themeTint="BF"/>
    </w:rPr>
  </w:style>
  <w:style w:type="character" w:styleId="SubtleReference">
    <w:name w:val="Subtle Reference"/>
    <w:basedOn w:val="DefaultParagraphFont"/>
    <w:qFormat/>
    <w:rsid w:val="00570E30"/>
    <w:rPr>
      <w:smallCaps/>
      <w:color w:val="5A5A5A" w:themeColor="text1" w:themeTint="A5"/>
    </w:rPr>
  </w:style>
  <w:style w:type="table" w:styleId="Table3Deffects1">
    <w:name w:val="Table 3D effects 1"/>
    <w:basedOn w:val="TableNormal"/>
    <w:unhideWhenUsed/>
    <w:rsid w:val="00570E30"/>
    <w:pPr>
      <w:spacing w:after="160" w:line="264" w:lineRule="auto"/>
    </w:pPr>
    <w:rPr>
      <w:rFonts w:asciiTheme="minorHAnsi" w:eastAsiaTheme="minorHAnsi" w:hAnsiTheme="minorHAnsi" w:cstheme="minorBidi"/>
      <w:sz w:val="22"/>
      <w:szCs w:val="22"/>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nhideWhenUsed/>
    <w:rsid w:val="00570E30"/>
    <w:pPr>
      <w:spacing w:after="160" w:line="264" w:lineRule="auto"/>
    </w:pPr>
    <w:rPr>
      <w:rFonts w:asciiTheme="minorHAnsi" w:eastAsiaTheme="minorHAnsi" w:hAnsiTheme="minorHAnsi" w:cstheme="minorBidi"/>
      <w:sz w:val="22"/>
      <w:szCs w:val="22"/>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nhideWhenUsed/>
    <w:rsid w:val="00570E30"/>
    <w:pPr>
      <w:spacing w:after="160" w:line="264" w:lineRule="auto"/>
    </w:pPr>
    <w:rPr>
      <w:rFonts w:asciiTheme="minorHAnsi" w:eastAsiaTheme="minorHAnsi" w:hAnsiTheme="minorHAnsi" w:cstheme="minorBidi"/>
      <w:sz w:val="22"/>
      <w:szCs w:val="22"/>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unhideWhenUsed/>
    <w:rsid w:val="00570E30"/>
    <w:pPr>
      <w:spacing w:after="160" w:line="264" w:lineRule="auto"/>
    </w:pPr>
    <w:rPr>
      <w:rFonts w:asciiTheme="minorHAnsi" w:eastAsiaTheme="minorHAnsi" w:hAnsiTheme="minorHAnsi" w:cstheme="minorBidi"/>
      <w:sz w:val="22"/>
      <w:szCs w:val="22"/>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unhideWhenUsed/>
    <w:rsid w:val="00570E30"/>
    <w:pPr>
      <w:spacing w:after="160" w:line="264" w:lineRule="auto"/>
    </w:pPr>
    <w:rPr>
      <w:rFonts w:asciiTheme="minorHAnsi" w:eastAsiaTheme="minorHAnsi" w:hAnsiTheme="minorHAnsi" w:cstheme="minorBidi"/>
      <w:sz w:val="22"/>
      <w:szCs w:val="22"/>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unhideWhenUsed/>
    <w:rsid w:val="00570E30"/>
    <w:pPr>
      <w:spacing w:after="160" w:line="264" w:lineRule="auto"/>
    </w:pPr>
    <w:rPr>
      <w:rFonts w:asciiTheme="minorHAnsi" w:eastAsiaTheme="minorHAnsi" w:hAnsiTheme="minorHAnsi" w:cstheme="minorBidi"/>
      <w:color w:val="000080"/>
      <w:sz w:val="22"/>
      <w:szCs w:val="22"/>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unhideWhenUsed/>
    <w:rsid w:val="00570E30"/>
    <w:pPr>
      <w:spacing w:after="160" w:line="264" w:lineRule="auto"/>
    </w:pPr>
    <w:rPr>
      <w:rFonts w:asciiTheme="minorHAnsi" w:eastAsiaTheme="minorHAnsi" w:hAnsiTheme="minorHAnsi" w:cstheme="minorBidi"/>
      <w:sz w:val="22"/>
      <w:szCs w:val="22"/>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unhideWhenUsed/>
    <w:rsid w:val="00570E30"/>
    <w:pPr>
      <w:spacing w:after="160" w:line="264" w:lineRule="auto"/>
    </w:pPr>
    <w:rPr>
      <w:rFonts w:asciiTheme="minorHAnsi" w:eastAsiaTheme="minorHAnsi" w:hAnsiTheme="minorHAnsi" w:cstheme="minorBidi"/>
      <w:color w:val="FFFFFF"/>
      <w:sz w:val="22"/>
      <w:szCs w:val="22"/>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unhideWhenUsed/>
    <w:rsid w:val="00570E30"/>
    <w:pPr>
      <w:spacing w:after="160" w:line="264" w:lineRule="auto"/>
    </w:pPr>
    <w:rPr>
      <w:rFonts w:asciiTheme="minorHAnsi" w:eastAsiaTheme="minorHAnsi" w:hAnsiTheme="minorHAnsi" w:cstheme="minorBidi"/>
      <w:sz w:val="22"/>
      <w:szCs w:val="22"/>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unhideWhenUsed/>
    <w:rsid w:val="00570E30"/>
    <w:pPr>
      <w:spacing w:after="160" w:line="264" w:lineRule="auto"/>
    </w:pPr>
    <w:rPr>
      <w:rFonts w:asciiTheme="minorHAnsi" w:eastAsiaTheme="minorHAnsi" w:hAnsiTheme="minorHAnsi" w:cstheme="minorBidi"/>
      <w:sz w:val="22"/>
      <w:szCs w:val="22"/>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unhideWhenUsed/>
    <w:rsid w:val="00570E30"/>
    <w:pPr>
      <w:spacing w:after="160" w:line="264" w:lineRule="auto"/>
    </w:pPr>
    <w:rPr>
      <w:rFonts w:asciiTheme="minorHAnsi" w:eastAsiaTheme="minorHAnsi" w:hAnsiTheme="minorHAnsi" w:cstheme="minorBidi"/>
      <w:b/>
      <w:bCs/>
      <w:sz w:val="22"/>
      <w:szCs w:val="22"/>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nhideWhenUsed/>
    <w:rsid w:val="00570E30"/>
    <w:pPr>
      <w:spacing w:after="160" w:line="264" w:lineRule="auto"/>
    </w:pPr>
    <w:rPr>
      <w:rFonts w:asciiTheme="minorHAnsi" w:eastAsiaTheme="minorHAnsi" w:hAnsiTheme="minorHAnsi" w:cstheme="minorBidi"/>
      <w:b/>
      <w:bCs/>
      <w:sz w:val="22"/>
      <w:szCs w:val="22"/>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unhideWhenUsed/>
    <w:rsid w:val="00570E30"/>
    <w:pPr>
      <w:spacing w:after="160" w:line="264" w:lineRule="auto"/>
    </w:pPr>
    <w:rPr>
      <w:rFonts w:asciiTheme="minorHAnsi" w:eastAsiaTheme="minorHAnsi" w:hAnsiTheme="minorHAnsi" w:cstheme="minorBidi"/>
      <w:b/>
      <w:bCs/>
      <w:sz w:val="22"/>
      <w:szCs w:val="22"/>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unhideWhenUsed/>
    <w:rsid w:val="00570E30"/>
    <w:pPr>
      <w:spacing w:after="160" w:line="264" w:lineRule="auto"/>
    </w:pPr>
    <w:rPr>
      <w:rFonts w:asciiTheme="minorHAnsi" w:eastAsiaTheme="minorHAnsi" w:hAnsiTheme="minorHAnsi" w:cstheme="minorBidi"/>
      <w:sz w:val="22"/>
      <w:szCs w:val="22"/>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unhideWhenUsed/>
    <w:rsid w:val="00570E30"/>
    <w:pPr>
      <w:spacing w:after="160" w:line="264" w:lineRule="auto"/>
    </w:pPr>
    <w:rPr>
      <w:rFonts w:asciiTheme="minorHAnsi" w:eastAsiaTheme="minorHAnsi" w:hAnsiTheme="minorHAnsi" w:cstheme="minorBidi"/>
      <w:sz w:val="22"/>
      <w:szCs w:val="22"/>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unhideWhenUsed/>
    <w:rsid w:val="00570E30"/>
    <w:pPr>
      <w:spacing w:after="160" w:line="264" w:lineRule="auto"/>
    </w:pPr>
    <w:rPr>
      <w:rFonts w:asciiTheme="minorHAnsi" w:eastAsiaTheme="minorHAnsi" w:hAnsiTheme="minorHAnsi" w:cstheme="minorBidi"/>
      <w:sz w:val="22"/>
      <w:szCs w:val="22"/>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unhideWhenUsed/>
    <w:rsid w:val="00570E30"/>
    <w:pPr>
      <w:spacing w:after="160" w:line="264" w:lineRule="auto"/>
    </w:pPr>
    <w:rPr>
      <w:rFonts w:asciiTheme="minorHAnsi" w:eastAsiaTheme="minorHAnsi" w:hAnsiTheme="minorHAnsi" w:cstheme="minorBidi"/>
      <w:sz w:val="22"/>
      <w:szCs w:val="22"/>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unhideWhenUsed/>
    <w:rsid w:val="00570E30"/>
    <w:pPr>
      <w:spacing w:after="160" w:line="264" w:lineRule="auto"/>
    </w:pPr>
    <w:rPr>
      <w:rFonts w:asciiTheme="minorHAnsi" w:eastAsiaTheme="minorHAnsi" w:hAnsiTheme="minorHAnsi" w:cstheme="minorBidi"/>
      <w:sz w:val="22"/>
      <w:szCs w:val="22"/>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unhideWhenUsed/>
    <w:rsid w:val="00570E30"/>
    <w:pPr>
      <w:spacing w:after="160" w:line="264" w:lineRule="auto"/>
    </w:pPr>
    <w:rPr>
      <w:rFonts w:asciiTheme="minorHAnsi" w:eastAsiaTheme="minorHAnsi" w:hAnsiTheme="minorHAnsi" w:cstheme="minorBidi"/>
      <w:sz w:val="22"/>
      <w:szCs w:val="22"/>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unhideWhenUsed/>
    <w:rsid w:val="00570E30"/>
    <w:pPr>
      <w:spacing w:after="160" w:line="264" w:lineRule="auto"/>
    </w:pPr>
    <w:rPr>
      <w:rFonts w:asciiTheme="minorHAnsi" w:eastAsiaTheme="minorHAnsi" w:hAnsiTheme="minorHAnsi" w:cstheme="minorBidi"/>
      <w:sz w:val="22"/>
      <w:szCs w:val="22"/>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unhideWhenUsed/>
    <w:rsid w:val="00570E30"/>
    <w:pPr>
      <w:spacing w:after="160" w:line="264" w:lineRule="auto"/>
    </w:pPr>
    <w:rPr>
      <w:rFonts w:asciiTheme="minorHAnsi" w:eastAsiaTheme="minorHAnsi" w:hAnsiTheme="minorHAnsi" w:cstheme="minorBidi"/>
      <w:sz w:val="22"/>
      <w:szCs w:val="22"/>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unhideWhenUsed/>
    <w:rsid w:val="00570E30"/>
    <w:pPr>
      <w:spacing w:after="160" w:line="264" w:lineRule="auto"/>
    </w:pPr>
    <w:rPr>
      <w:rFonts w:asciiTheme="minorHAnsi" w:eastAsiaTheme="minorHAnsi" w:hAnsiTheme="minorHAnsi" w:cstheme="minorBidi"/>
      <w:sz w:val="22"/>
      <w:szCs w:val="22"/>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unhideWhenUsed/>
    <w:rsid w:val="00570E30"/>
    <w:pPr>
      <w:spacing w:after="160" w:line="264" w:lineRule="auto"/>
    </w:pPr>
    <w:rPr>
      <w:rFonts w:asciiTheme="minorHAnsi" w:eastAsiaTheme="minorHAnsi" w:hAnsiTheme="minorHAnsi" w:cstheme="minorBidi"/>
      <w:sz w:val="22"/>
      <w:szCs w:val="22"/>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unhideWhenUsed/>
    <w:rsid w:val="00570E30"/>
    <w:pPr>
      <w:spacing w:after="160" w:line="264" w:lineRule="auto"/>
    </w:pPr>
    <w:rPr>
      <w:rFonts w:asciiTheme="minorHAnsi" w:eastAsiaTheme="minorHAnsi" w:hAnsiTheme="minorHAnsi" w:cstheme="minorBidi"/>
      <w:b/>
      <w:bCs/>
      <w:sz w:val="22"/>
      <w:szCs w:val="22"/>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unhideWhenUsed/>
    <w:rsid w:val="00570E30"/>
    <w:pPr>
      <w:spacing w:after="160" w:line="264" w:lineRule="auto"/>
    </w:pPr>
    <w:rPr>
      <w:rFonts w:asciiTheme="minorHAnsi" w:eastAsiaTheme="minorHAnsi" w:hAnsiTheme="minorHAnsi" w:cstheme="minorBidi"/>
      <w:sz w:val="22"/>
      <w:szCs w:val="22"/>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GridLight">
    <w:name w:val="Grid Table Light"/>
    <w:basedOn w:val="TableNormal"/>
    <w:rsid w:val="00570E30"/>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eList1">
    <w:name w:val="Table List 1"/>
    <w:basedOn w:val="TableNormal"/>
    <w:unhideWhenUsed/>
    <w:rsid w:val="00570E30"/>
    <w:pPr>
      <w:spacing w:after="160" w:line="264" w:lineRule="auto"/>
    </w:pPr>
    <w:rPr>
      <w:rFonts w:asciiTheme="minorHAnsi" w:eastAsiaTheme="minorHAnsi" w:hAnsiTheme="minorHAnsi" w:cstheme="minorBidi"/>
      <w:sz w:val="22"/>
      <w:szCs w:val="22"/>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unhideWhenUsed/>
    <w:rsid w:val="00570E30"/>
    <w:pPr>
      <w:spacing w:after="160" w:line="264" w:lineRule="auto"/>
    </w:pPr>
    <w:rPr>
      <w:rFonts w:asciiTheme="minorHAnsi" w:eastAsiaTheme="minorHAnsi" w:hAnsiTheme="minorHAnsi" w:cstheme="minorBidi"/>
      <w:sz w:val="22"/>
      <w:szCs w:val="22"/>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unhideWhenUsed/>
    <w:rsid w:val="00570E30"/>
    <w:pPr>
      <w:spacing w:after="160" w:line="264" w:lineRule="auto"/>
    </w:pPr>
    <w:rPr>
      <w:rFonts w:asciiTheme="minorHAnsi" w:eastAsiaTheme="minorHAnsi" w:hAnsiTheme="minorHAnsi" w:cstheme="minorBidi"/>
      <w:sz w:val="22"/>
      <w:szCs w:val="22"/>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unhideWhenUsed/>
    <w:rsid w:val="00570E30"/>
    <w:pPr>
      <w:spacing w:after="160" w:line="264" w:lineRule="auto"/>
    </w:pPr>
    <w:rPr>
      <w:rFonts w:asciiTheme="minorHAnsi" w:eastAsiaTheme="minorHAnsi" w:hAnsiTheme="minorHAnsi" w:cstheme="minorBidi"/>
      <w:sz w:val="22"/>
      <w:szCs w:val="22"/>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unhideWhenUsed/>
    <w:rsid w:val="00570E30"/>
    <w:pPr>
      <w:spacing w:after="160" w:line="264" w:lineRule="auto"/>
    </w:pPr>
    <w:rPr>
      <w:rFonts w:asciiTheme="minorHAnsi" w:eastAsiaTheme="minorHAnsi" w:hAnsiTheme="minorHAnsi" w:cstheme="minorBidi"/>
      <w:sz w:val="22"/>
      <w:szCs w:val="22"/>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unhideWhenUsed/>
    <w:rsid w:val="00570E30"/>
    <w:pPr>
      <w:spacing w:after="160" w:line="264" w:lineRule="auto"/>
    </w:pPr>
    <w:rPr>
      <w:rFonts w:asciiTheme="minorHAnsi" w:eastAsiaTheme="minorHAnsi" w:hAnsiTheme="minorHAnsi" w:cstheme="minorBidi"/>
      <w:sz w:val="22"/>
      <w:szCs w:val="22"/>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unhideWhenUsed/>
    <w:rsid w:val="00570E30"/>
    <w:pPr>
      <w:spacing w:after="160" w:line="264" w:lineRule="auto"/>
    </w:pPr>
    <w:rPr>
      <w:rFonts w:asciiTheme="minorHAnsi" w:eastAsiaTheme="minorHAnsi" w:hAnsiTheme="minorHAnsi" w:cstheme="minorBidi"/>
      <w:sz w:val="22"/>
      <w:szCs w:val="22"/>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unhideWhenUsed/>
    <w:rsid w:val="00570E30"/>
    <w:pPr>
      <w:spacing w:after="160" w:line="264" w:lineRule="auto"/>
    </w:pPr>
    <w:rPr>
      <w:rFonts w:asciiTheme="minorHAnsi" w:eastAsiaTheme="minorHAnsi" w:hAnsiTheme="minorHAnsi" w:cstheme="minorBidi"/>
      <w:sz w:val="22"/>
      <w:szCs w:val="22"/>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unhideWhenUsed/>
    <w:rsid w:val="00570E30"/>
    <w:pPr>
      <w:spacing w:after="160" w:line="264" w:lineRule="auto"/>
    </w:pPr>
    <w:rPr>
      <w:rFonts w:asciiTheme="minorHAnsi" w:eastAsiaTheme="minorHAnsi" w:hAnsiTheme="minorHAnsi" w:cstheme="minorBidi"/>
      <w:sz w:val="22"/>
      <w:szCs w:val="22"/>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unhideWhenUsed/>
    <w:rsid w:val="00570E30"/>
    <w:pPr>
      <w:spacing w:after="160" w:line="264" w:lineRule="auto"/>
    </w:pPr>
    <w:rPr>
      <w:rFonts w:asciiTheme="minorHAnsi" w:eastAsiaTheme="minorHAnsi" w:hAnsiTheme="minorHAnsi" w:cstheme="minorBidi"/>
      <w:sz w:val="22"/>
      <w:szCs w:val="22"/>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unhideWhenUsed/>
    <w:rsid w:val="00570E30"/>
    <w:pPr>
      <w:spacing w:after="160" w:line="264" w:lineRule="auto"/>
    </w:pPr>
    <w:rPr>
      <w:rFonts w:asciiTheme="minorHAnsi" w:eastAsiaTheme="minorHAnsi" w:hAnsiTheme="minorHAnsi" w:cstheme="minorBidi"/>
      <w:sz w:val="22"/>
      <w:szCs w:val="22"/>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unhideWhenUsed/>
    <w:rsid w:val="00570E30"/>
    <w:pPr>
      <w:spacing w:after="160" w:line="264" w:lineRule="auto"/>
    </w:pPr>
    <w:rPr>
      <w:rFonts w:asciiTheme="minorHAnsi" w:eastAsiaTheme="minorHAnsi" w:hAnsiTheme="minorHAnsi" w:cstheme="minorBidi"/>
      <w:sz w:val="22"/>
      <w:szCs w:val="22"/>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unhideWhenUsed/>
    <w:rsid w:val="00570E30"/>
    <w:pPr>
      <w:spacing w:after="160" w:line="264" w:lineRule="auto"/>
    </w:pPr>
    <w:rPr>
      <w:rFonts w:asciiTheme="minorHAnsi" w:eastAsiaTheme="minorHAnsi" w:hAnsiTheme="minorHAnsi" w:cstheme="minorBidi"/>
      <w:sz w:val="22"/>
      <w:szCs w:val="22"/>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unhideWhenUsed/>
    <w:rsid w:val="00570E30"/>
    <w:pPr>
      <w:spacing w:after="160" w:line="264" w:lineRule="auto"/>
    </w:pPr>
    <w:rPr>
      <w:rFonts w:asciiTheme="minorHAnsi" w:eastAsiaTheme="minorHAnsi" w:hAnsiTheme="minorHAnsi" w:cstheme="minorBidi"/>
      <w:sz w:val="22"/>
      <w:szCs w:val="22"/>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unhideWhenUsed/>
    <w:rsid w:val="00570E30"/>
    <w:pPr>
      <w:spacing w:after="160" w:line="264" w:lineRule="auto"/>
    </w:pPr>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unhideWhenUsed/>
    <w:rsid w:val="00570E30"/>
    <w:pPr>
      <w:spacing w:after="160" w:line="264" w:lineRule="auto"/>
    </w:pPr>
    <w:rPr>
      <w:rFonts w:asciiTheme="minorHAnsi" w:eastAsiaTheme="minorHAnsi" w:hAnsiTheme="minorHAnsi" w:cstheme="minorBidi"/>
      <w:sz w:val="22"/>
      <w:szCs w:val="22"/>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unhideWhenUsed/>
    <w:rsid w:val="00570E30"/>
    <w:pPr>
      <w:spacing w:after="160" w:line="264" w:lineRule="auto"/>
    </w:pPr>
    <w:rPr>
      <w:rFonts w:asciiTheme="minorHAnsi" w:eastAsiaTheme="minorHAnsi" w:hAnsiTheme="minorHAnsi" w:cstheme="minorBidi"/>
      <w:sz w:val="22"/>
      <w:szCs w:val="22"/>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unhideWhenUsed/>
    <w:rsid w:val="00570E30"/>
    <w:pPr>
      <w:spacing w:after="160" w:line="264" w:lineRule="auto"/>
    </w:pPr>
    <w:rPr>
      <w:rFonts w:asciiTheme="minorHAnsi" w:eastAsiaTheme="minorHAnsi" w:hAnsiTheme="minorHAnsi" w:cstheme="minorBidi"/>
      <w:sz w:val="22"/>
      <w:szCs w:val="22"/>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styleId="SmartLink">
    <w:name w:val="Smart Link"/>
    <w:basedOn w:val="DefaultParagraphFont"/>
    <w:unhideWhenUsed/>
    <w:qFormat/>
    <w:rsid w:val="00570E30"/>
    <w:rPr>
      <w:color w:val="0563C1" w:themeColor="hyperlink"/>
      <w:u w:val="single"/>
      <w:shd w:val="clear" w:color="auto" w:fill="E1DFDD"/>
    </w:rPr>
  </w:style>
  <w:style w:type="character" w:customStyle="1" w:styleId="SmartLinkError">
    <w:name w:val="Smart Link Error"/>
    <w:basedOn w:val="DefaultParagraphFont"/>
    <w:unhideWhenUsed/>
    <w:qFormat/>
    <w:rsid w:val="00570E30"/>
    <w:rPr>
      <w:color w:val="FF0000"/>
    </w:rPr>
  </w:style>
  <w:style w:type="paragraph" w:customStyle="1" w:styleId="FootnoteSep">
    <w:name w:val="Footnote Sep"/>
    <w:basedOn w:val="Normal"/>
    <w:qFormat/>
    <w:rsid w:val="00570E30"/>
    <w:pPr>
      <w:pBdr>
        <w:top w:val="single" w:sz="4" w:space="1" w:color="046B5C" w:themeColor="text2"/>
      </w:pBdr>
      <w:spacing w:before="80" w:after="80" w:line="40" w:lineRule="exact"/>
    </w:pPr>
    <w:rPr>
      <w:rFonts w:eastAsia="Times New Roman" w:cs="Times New Roman"/>
      <w:color w:val="FFFFFF" w:themeColor="background1"/>
      <w:sz w:val="4"/>
      <w:szCs w:val="20"/>
    </w:rPr>
  </w:style>
  <w:style w:type="paragraph" w:customStyle="1" w:styleId="FooterLetterhead">
    <w:name w:val="Footer Letterhead"/>
    <w:basedOn w:val="Footer"/>
    <w:qFormat/>
    <w:rsid w:val="00570E30"/>
    <w:pPr>
      <w:spacing w:before="360" w:line="336" w:lineRule="auto"/>
      <w:ind w:left="-1080" w:right="-1080"/>
      <w:contextualSpacing/>
      <w:jc w:val="center"/>
    </w:pPr>
    <w:rPr>
      <w:color w:val="0B2949" w:themeColor="accent1"/>
    </w:rPr>
  </w:style>
  <w:style w:type="paragraph" w:customStyle="1" w:styleId="CSDPtitle">
    <w:name w:val="CSDP_title"/>
    <w:basedOn w:val="CoverAuthor"/>
    <w:qFormat/>
    <w:rsid w:val="00570E30"/>
    <w:pPr>
      <w:spacing w:before="1080" w:line="252" w:lineRule="auto"/>
      <w:ind w:left="-720"/>
    </w:pPr>
    <w:rPr>
      <w:b/>
      <w:bCs w:val="0"/>
      <w:smallCaps/>
    </w:rPr>
  </w:style>
  <w:style w:type="paragraph" w:customStyle="1" w:styleId="TableTextIndent">
    <w:name w:val="Table Text Indent"/>
    <w:basedOn w:val="TableTextLeft"/>
    <w:qFormat/>
    <w:rsid w:val="00570E30"/>
    <w:pPr>
      <w:ind w:left="216"/>
    </w:pPr>
  </w:style>
  <w:style w:type="paragraph" w:customStyle="1" w:styleId="TableTextIndent2">
    <w:name w:val="Table Text Indent 2"/>
    <w:basedOn w:val="TableTextLeft"/>
    <w:qFormat/>
    <w:rsid w:val="00570E30"/>
    <w:pPr>
      <w:ind w:left="432"/>
    </w:pPr>
  </w:style>
  <w:style w:type="table" w:customStyle="1" w:styleId="BaseTable">
    <w:name w:val="Base Table"/>
    <w:basedOn w:val="TableNormal"/>
    <w:rsid w:val="00570E30"/>
    <w:pPr>
      <w:spacing w:before="40" w:after="20"/>
    </w:pPr>
    <w:rPr>
      <w:rFonts w:asciiTheme="majorHAnsi" w:eastAsiaTheme="minorHAnsi" w:hAnsiTheme="majorHAnsi" w:cstheme="minorBidi"/>
      <w:sz w:val="18"/>
      <w:szCs w:val="22"/>
    </w:rPr>
    <w:tblPr>
      <w:tblBorders>
        <w:bottom w:val="single" w:sz="4" w:space="0" w:color="046B5C" w:themeColor="text2"/>
        <w:insideH w:val="single" w:sz="4" w:space="0" w:color="5B6771" w:themeColor="accent3"/>
        <w:insideV w:val="single" w:sz="4" w:space="0" w:color="5B6771" w:themeColor="accent3"/>
      </w:tblBorders>
      <w:tblCellMar>
        <w:left w:w="58" w:type="dxa"/>
        <w:right w:w="58" w:type="dxa"/>
      </w:tblCellMar>
    </w:tblPr>
    <w:tcPr>
      <w:shd w:val="clear" w:color="auto" w:fill="FFFFFF" w:themeFill="background1"/>
    </w:tcPr>
    <w:tblStylePr w:type="firstRow">
      <w:rPr>
        <w:b/>
        <w:color w:val="FFFFFF" w:themeColor="background1"/>
      </w:rPr>
      <w:tblPr/>
      <w:tcPr>
        <w:tcBorders>
          <w:top w:val="nil"/>
          <w:left w:val="nil"/>
          <w:bottom w:val="single" w:sz="4" w:space="0" w:color="046B5C" w:themeColor="text2"/>
          <w:right w:val="nil"/>
          <w:insideH w:val="nil"/>
          <w:insideV w:val="single" w:sz="4" w:space="0" w:color="FFFFFF" w:themeColor="background1"/>
          <w:tl2br w:val="nil"/>
          <w:tr2bl w:val="nil"/>
        </w:tcBorders>
        <w:shd w:val="clear" w:color="auto" w:fill="046B5C" w:themeFill="text2"/>
        <w:vAlign w:val="bottom"/>
      </w:tcPr>
    </w:tblStylePr>
  </w:style>
  <w:style w:type="character" w:customStyle="1" w:styleId="mathematicaorgChar">
    <w:name w:val="mathematica.org Char"/>
    <w:basedOn w:val="DefaultParagraphFont"/>
    <w:link w:val="mathematicaorg"/>
    <w:semiHidden/>
    <w:rsid w:val="00570E30"/>
    <w:rPr>
      <w:rFonts w:asciiTheme="majorHAnsi" w:hAnsiTheme="majorHAnsi"/>
      <w:noProof/>
      <w:spacing w:val="-2"/>
      <w:sz w:val="18"/>
      <w:szCs w:val="19"/>
    </w:rPr>
  </w:style>
  <w:style w:type="paragraph" w:customStyle="1" w:styleId="Title2">
    <w:name w:val="Title 2"/>
    <w:basedOn w:val="Title"/>
    <w:unhideWhenUsed/>
    <w:qFormat/>
    <w:rsid w:val="00570E30"/>
    <w:rPr>
      <w:b w:val="0"/>
      <w:color w:val="046B5C" w:themeColor="text2"/>
      <w:sz w:val="44"/>
    </w:rPr>
  </w:style>
  <w:style w:type="paragraph" w:customStyle="1" w:styleId="ListBullet1">
    <w:name w:val="List Bullet 1"/>
    <w:basedOn w:val="Normal"/>
    <w:qFormat/>
    <w:rsid w:val="00570E30"/>
    <w:pPr>
      <w:numPr>
        <w:numId w:val="45"/>
      </w:numPr>
      <w:spacing w:after="100"/>
    </w:pPr>
  </w:style>
  <w:style w:type="character" w:customStyle="1" w:styleId="HyperlinkEnd">
    <w:name w:val="Hyperlink End"/>
    <w:basedOn w:val="DefaultParagraphFont"/>
    <w:qFormat/>
    <w:rsid w:val="00570E30"/>
    <w:rPr>
      <w:color w:val="0B2949" w:themeColor="accent1"/>
      <w:u w:val="single"/>
    </w:rPr>
  </w:style>
  <w:style w:type="paragraph" w:customStyle="1" w:styleId="SidebarSubhead">
    <w:name w:val="Sidebar Subhead"/>
    <w:basedOn w:val="Sidebar"/>
    <w:next w:val="Sidebar"/>
    <w:qFormat/>
    <w:rsid w:val="00570E30"/>
    <w:pPr>
      <w:spacing w:before="100" w:after="0"/>
    </w:pPr>
    <w:rPr>
      <w:b/>
      <w:bCs/>
    </w:rPr>
  </w:style>
  <w:style w:type="table" w:customStyle="1" w:styleId="TanCell">
    <w:name w:val="Tan Cell"/>
    <w:basedOn w:val="TableNormal"/>
    <w:rsid w:val="00570E30"/>
    <w:rPr>
      <w:rFonts w:asciiTheme="majorHAnsi" w:eastAsiaTheme="minorHAnsi" w:hAnsiTheme="majorHAnsi" w:cstheme="minorBidi"/>
      <w:sz w:val="18"/>
      <w:szCs w:val="22"/>
    </w:rPr>
    <w:tblPr>
      <w:tblCellMar>
        <w:top w:w="72" w:type="dxa"/>
        <w:left w:w="144" w:type="dxa"/>
        <w:bottom w:w="72" w:type="dxa"/>
        <w:right w:w="144" w:type="dxa"/>
      </w:tblCellMar>
    </w:tblPr>
    <w:tcPr>
      <w:shd w:val="clear" w:color="auto" w:fill="F8F6F0" w:themeFill="background2" w:themeFillTint="33"/>
    </w:tcPr>
  </w:style>
  <w:style w:type="table" w:customStyle="1" w:styleId="GrayCell">
    <w:name w:val="Gray Cell"/>
    <w:basedOn w:val="TableNormal"/>
    <w:rsid w:val="00570E30"/>
    <w:rPr>
      <w:rFonts w:asciiTheme="minorHAnsi" w:eastAsiaTheme="minorHAnsi" w:hAnsiTheme="minorHAnsi" w:cstheme="minorBidi"/>
      <w:sz w:val="18"/>
      <w:szCs w:val="22"/>
    </w:rPr>
    <w:tblPr>
      <w:tblCellMar>
        <w:top w:w="72" w:type="dxa"/>
        <w:left w:w="144" w:type="dxa"/>
        <w:bottom w:w="72" w:type="dxa"/>
        <w:right w:w="144" w:type="dxa"/>
      </w:tblCellMar>
    </w:tblPr>
    <w:tcPr>
      <w:shd w:val="clear" w:color="auto" w:fill="F2F2F2" w:themeFill="background1" w:themeFillShade="F2"/>
    </w:tcPr>
  </w:style>
  <w:style w:type="character" w:customStyle="1" w:styleId="H1-NumChar">
    <w:name w:val="H1-Num Char"/>
    <w:basedOn w:val="Heading1Char"/>
    <w:link w:val="H1-Num"/>
    <w:rsid w:val="00D81C30"/>
    <w:rPr>
      <w:rFonts w:ascii="Arial Narrow" w:eastAsia="Arial Narrow" w:hAnsi="Arial Narrow" w:cstheme="majorBidi"/>
      <w:b/>
      <w:color w:val="000000" w:themeColor="text1"/>
      <w:sz w:val="36"/>
      <w:szCs w:val="32"/>
    </w:rPr>
  </w:style>
  <w:style w:type="paragraph" w:customStyle="1" w:styleId="H1-Num">
    <w:name w:val="H1-Num"/>
    <w:basedOn w:val="H1"/>
    <w:next w:val="ParagraphContinued"/>
    <w:link w:val="H1-NumChar"/>
    <w:qFormat/>
    <w:rsid w:val="00D81C30"/>
    <w:rPr>
      <w:rFonts w:eastAsia="Arial Narrow"/>
    </w:rPr>
  </w:style>
  <w:style w:type="paragraph" w:customStyle="1" w:styleId="H2-Num">
    <w:name w:val="H2-Num"/>
    <w:basedOn w:val="H2"/>
    <w:next w:val="ParagraphContinued"/>
    <w:qFormat/>
    <w:rsid w:val="00D81C30"/>
  </w:style>
  <w:style w:type="paragraph" w:customStyle="1" w:styleId="H3-Num">
    <w:name w:val="H3-Num"/>
    <w:basedOn w:val="H3"/>
    <w:next w:val="ParagraphContinued"/>
    <w:qFormat/>
    <w:rsid w:val="0083781F"/>
    <w:rPr>
      <w:rFonts w:eastAsia="Arial Narrow"/>
    </w:rPr>
  </w:style>
  <w:style w:type="paragraph" w:customStyle="1" w:styleId="H4-Num">
    <w:name w:val="H4-Num"/>
    <w:basedOn w:val="H4"/>
    <w:next w:val="ParagraphContinued"/>
    <w:qFormat/>
    <w:rsid w:val="00C135DF"/>
  </w:style>
  <w:style w:type="paragraph" w:customStyle="1" w:styleId="FigureHeader">
    <w:name w:val="Figure Header"/>
    <w:basedOn w:val="Normal"/>
    <w:link w:val="FigureHeaderChar"/>
    <w:qFormat/>
    <w:rsid w:val="00627252"/>
    <w:pPr>
      <w:pBdr>
        <w:top w:val="nil"/>
        <w:left w:val="nil"/>
        <w:bottom w:val="nil"/>
        <w:right w:val="nil"/>
        <w:between w:val="nil"/>
      </w:pBdr>
      <w:spacing w:after="60" w:line="240" w:lineRule="auto"/>
      <w:ind w:left="274"/>
    </w:pPr>
    <w:rPr>
      <w:rFonts w:ascii="Verdana" w:eastAsia="Cambria Math" w:hAnsi="Verdana"/>
      <w:b/>
      <w:color w:val="0000FF"/>
      <w:sz w:val="18"/>
    </w:rPr>
  </w:style>
  <w:style w:type="character" w:customStyle="1" w:styleId="FigureHeaderChar">
    <w:name w:val="Figure Header Char"/>
    <w:basedOn w:val="DefaultParagraphFont"/>
    <w:link w:val="FigureHeader"/>
    <w:rsid w:val="00627252"/>
    <w:rPr>
      <w:rFonts w:ascii="Verdana" w:eastAsia="Cambria Math" w:hAnsi="Verdana" w:cstheme="minorBidi"/>
      <w:b/>
      <w:color w:val="0000FF"/>
      <w:sz w:val="18"/>
      <w:szCs w:val="22"/>
    </w:rPr>
  </w:style>
  <w:style w:type="paragraph" w:customStyle="1" w:styleId="Title-CMStopline">
    <w:name w:val="Title - CMS top line"/>
    <w:basedOn w:val="Normal"/>
    <w:link w:val="Title-CMStoplineChar"/>
    <w:qFormat/>
    <w:rsid w:val="001C19B1"/>
    <w:pPr>
      <w:spacing w:before="900" w:after="720" w:line="240" w:lineRule="auto"/>
      <w:jc w:val="right"/>
    </w:pPr>
    <w:rPr>
      <w:rFonts w:ascii="Arial Narrow" w:hAnsi="Arial Narrow"/>
      <w:b/>
      <w:noProof/>
      <w:sz w:val="32"/>
    </w:rPr>
  </w:style>
  <w:style w:type="character" w:customStyle="1" w:styleId="Title-CMStoplineChar">
    <w:name w:val="Title - CMS top line Char"/>
    <w:basedOn w:val="DefaultParagraphFont"/>
    <w:link w:val="Title-CMStopline"/>
    <w:rsid w:val="001C19B1"/>
    <w:rPr>
      <w:rFonts w:ascii="Arial Narrow" w:eastAsiaTheme="minorHAnsi" w:hAnsi="Arial Narrow" w:cstheme="minorBidi"/>
      <w:b/>
      <w:noProof/>
      <w:sz w:val="32"/>
      <w:szCs w:val="22"/>
    </w:rPr>
  </w:style>
  <w:style w:type="paragraph" w:customStyle="1" w:styleId="Title-Version">
    <w:name w:val="Title - Version"/>
    <w:basedOn w:val="Normal"/>
    <w:link w:val="Title-VersionChar"/>
    <w:qFormat/>
    <w:rsid w:val="001C19B1"/>
    <w:pPr>
      <w:pBdr>
        <w:top w:val="nil"/>
        <w:left w:val="nil"/>
        <w:bottom w:val="nil"/>
        <w:right w:val="nil"/>
        <w:between w:val="nil"/>
      </w:pBdr>
      <w:spacing w:before="600" w:after="240" w:line="360" w:lineRule="auto"/>
      <w:jc w:val="right"/>
    </w:pPr>
    <w:rPr>
      <w:rFonts w:ascii="Arial Narrow" w:eastAsia="Arial Narrow" w:hAnsi="Arial Narrow"/>
      <w:b/>
      <w:color w:val="000000"/>
      <w:sz w:val="32"/>
    </w:rPr>
  </w:style>
  <w:style w:type="character" w:customStyle="1" w:styleId="Title-VersionChar">
    <w:name w:val="Title - Version Char"/>
    <w:basedOn w:val="DefaultParagraphFont"/>
    <w:link w:val="Title-Version"/>
    <w:rsid w:val="001C19B1"/>
    <w:rPr>
      <w:rFonts w:ascii="Arial Narrow" w:eastAsia="Arial Narrow" w:hAnsi="Arial Narrow" w:cstheme="minorBidi"/>
      <w:b/>
      <w:color w:val="000000"/>
      <w:sz w:val="3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9934918">
      <w:bodyDiv w:val="1"/>
      <w:marLeft w:val="0"/>
      <w:marRight w:val="0"/>
      <w:marTop w:val="0"/>
      <w:marBottom w:val="0"/>
      <w:divBdr>
        <w:top w:val="none" w:sz="0" w:space="0" w:color="auto"/>
        <w:left w:val="none" w:sz="0" w:space="0" w:color="auto"/>
        <w:bottom w:val="none" w:sz="0" w:space="0" w:color="auto"/>
        <w:right w:val="none" w:sz="0" w:space="0" w:color="auto"/>
      </w:divBdr>
    </w:div>
    <w:div w:id="78450695">
      <w:bodyDiv w:val="1"/>
      <w:marLeft w:val="0"/>
      <w:marRight w:val="0"/>
      <w:marTop w:val="0"/>
      <w:marBottom w:val="0"/>
      <w:divBdr>
        <w:top w:val="none" w:sz="0" w:space="0" w:color="auto"/>
        <w:left w:val="none" w:sz="0" w:space="0" w:color="auto"/>
        <w:bottom w:val="none" w:sz="0" w:space="0" w:color="auto"/>
        <w:right w:val="none" w:sz="0" w:space="0" w:color="auto"/>
      </w:divBdr>
      <w:divsChild>
        <w:div w:id="323974925">
          <w:marLeft w:val="0"/>
          <w:marRight w:val="0"/>
          <w:marTop w:val="0"/>
          <w:marBottom w:val="0"/>
          <w:divBdr>
            <w:top w:val="none" w:sz="0" w:space="0" w:color="auto"/>
            <w:left w:val="none" w:sz="0" w:space="0" w:color="auto"/>
            <w:bottom w:val="none" w:sz="0" w:space="0" w:color="auto"/>
            <w:right w:val="none" w:sz="0" w:space="0" w:color="auto"/>
          </w:divBdr>
        </w:div>
      </w:divsChild>
    </w:div>
    <w:div w:id="116989736">
      <w:bodyDiv w:val="1"/>
      <w:marLeft w:val="0"/>
      <w:marRight w:val="0"/>
      <w:marTop w:val="0"/>
      <w:marBottom w:val="0"/>
      <w:divBdr>
        <w:top w:val="none" w:sz="0" w:space="0" w:color="auto"/>
        <w:left w:val="none" w:sz="0" w:space="0" w:color="auto"/>
        <w:bottom w:val="none" w:sz="0" w:space="0" w:color="auto"/>
        <w:right w:val="none" w:sz="0" w:space="0" w:color="auto"/>
      </w:divBdr>
      <w:divsChild>
        <w:div w:id="670135251">
          <w:marLeft w:val="0"/>
          <w:marRight w:val="0"/>
          <w:marTop w:val="0"/>
          <w:marBottom w:val="0"/>
          <w:divBdr>
            <w:top w:val="none" w:sz="0" w:space="0" w:color="auto"/>
            <w:left w:val="none" w:sz="0" w:space="0" w:color="auto"/>
            <w:bottom w:val="none" w:sz="0" w:space="0" w:color="auto"/>
            <w:right w:val="none" w:sz="0" w:space="0" w:color="auto"/>
          </w:divBdr>
        </w:div>
      </w:divsChild>
    </w:div>
    <w:div w:id="134179790">
      <w:bodyDiv w:val="1"/>
      <w:marLeft w:val="0"/>
      <w:marRight w:val="0"/>
      <w:marTop w:val="0"/>
      <w:marBottom w:val="0"/>
      <w:divBdr>
        <w:top w:val="none" w:sz="0" w:space="0" w:color="auto"/>
        <w:left w:val="none" w:sz="0" w:space="0" w:color="auto"/>
        <w:bottom w:val="none" w:sz="0" w:space="0" w:color="auto"/>
        <w:right w:val="none" w:sz="0" w:space="0" w:color="auto"/>
      </w:divBdr>
    </w:div>
    <w:div w:id="236138056">
      <w:bodyDiv w:val="1"/>
      <w:marLeft w:val="0"/>
      <w:marRight w:val="0"/>
      <w:marTop w:val="0"/>
      <w:marBottom w:val="0"/>
      <w:divBdr>
        <w:top w:val="none" w:sz="0" w:space="0" w:color="auto"/>
        <w:left w:val="none" w:sz="0" w:space="0" w:color="auto"/>
        <w:bottom w:val="none" w:sz="0" w:space="0" w:color="auto"/>
        <w:right w:val="none" w:sz="0" w:space="0" w:color="auto"/>
      </w:divBdr>
      <w:divsChild>
        <w:div w:id="2063287888">
          <w:marLeft w:val="0"/>
          <w:marRight w:val="0"/>
          <w:marTop w:val="0"/>
          <w:marBottom w:val="0"/>
          <w:divBdr>
            <w:top w:val="none" w:sz="0" w:space="0" w:color="auto"/>
            <w:left w:val="none" w:sz="0" w:space="0" w:color="auto"/>
            <w:bottom w:val="none" w:sz="0" w:space="0" w:color="auto"/>
            <w:right w:val="none" w:sz="0" w:space="0" w:color="auto"/>
          </w:divBdr>
        </w:div>
      </w:divsChild>
    </w:div>
    <w:div w:id="241570475">
      <w:bodyDiv w:val="1"/>
      <w:marLeft w:val="0"/>
      <w:marRight w:val="0"/>
      <w:marTop w:val="0"/>
      <w:marBottom w:val="0"/>
      <w:divBdr>
        <w:top w:val="none" w:sz="0" w:space="0" w:color="auto"/>
        <w:left w:val="none" w:sz="0" w:space="0" w:color="auto"/>
        <w:bottom w:val="none" w:sz="0" w:space="0" w:color="auto"/>
        <w:right w:val="none" w:sz="0" w:space="0" w:color="auto"/>
      </w:divBdr>
    </w:div>
    <w:div w:id="244848814">
      <w:bodyDiv w:val="1"/>
      <w:marLeft w:val="0"/>
      <w:marRight w:val="0"/>
      <w:marTop w:val="0"/>
      <w:marBottom w:val="0"/>
      <w:divBdr>
        <w:top w:val="none" w:sz="0" w:space="0" w:color="auto"/>
        <w:left w:val="none" w:sz="0" w:space="0" w:color="auto"/>
        <w:bottom w:val="none" w:sz="0" w:space="0" w:color="auto"/>
        <w:right w:val="none" w:sz="0" w:space="0" w:color="auto"/>
      </w:divBdr>
      <w:divsChild>
        <w:div w:id="71777378">
          <w:marLeft w:val="0"/>
          <w:marRight w:val="0"/>
          <w:marTop w:val="0"/>
          <w:marBottom w:val="0"/>
          <w:divBdr>
            <w:top w:val="none" w:sz="0" w:space="0" w:color="auto"/>
            <w:left w:val="none" w:sz="0" w:space="0" w:color="auto"/>
            <w:bottom w:val="none" w:sz="0" w:space="0" w:color="auto"/>
            <w:right w:val="none" w:sz="0" w:space="0" w:color="auto"/>
          </w:divBdr>
          <w:divsChild>
            <w:div w:id="163586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4003489">
      <w:bodyDiv w:val="1"/>
      <w:marLeft w:val="0"/>
      <w:marRight w:val="0"/>
      <w:marTop w:val="0"/>
      <w:marBottom w:val="0"/>
      <w:divBdr>
        <w:top w:val="none" w:sz="0" w:space="0" w:color="auto"/>
        <w:left w:val="none" w:sz="0" w:space="0" w:color="auto"/>
        <w:bottom w:val="none" w:sz="0" w:space="0" w:color="auto"/>
        <w:right w:val="none" w:sz="0" w:space="0" w:color="auto"/>
      </w:divBdr>
      <w:divsChild>
        <w:div w:id="1698043859">
          <w:marLeft w:val="0"/>
          <w:marRight w:val="0"/>
          <w:marTop w:val="0"/>
          <w:marBottom w:val="0"/>
          <w:divBdr>
            <w:top w:val="none" w:sz="0" w:space="0" w:color="auto"/>
            <w:left w:val="none" w:sz="0" w:space="0" w:color="auto"/>
            <w:bottom w:val="none" w:sz="0" w:space="0" w:color="auto"/>
            <w:right w:val="none" w:sz="0" w:space="0" w:color="auto"/>
          </w:divBdr>
          <w:divsChild>
            <w:div w:id="487403085">
              <w:marLeft w:val="0"/>
              <w:marRight w:val="0"/>
              <w:marTop w:val="0"/>
              <w:marBottom w:val="0"/>
              <w:divBdr>
                <w:top w:val="none" w:sz="0" w:space="0" w:color="auto"/>
                <w:left w:val="none" w:sz="0" w:space="0" w:color="auto"/>
                <w:bottom w:val="none" w:sz="0" w:space="0" w:color="auto"/>
                <w:right w:val="none" w:sz="0" w:space="0" w:color="auto"/>
              </w:divBdr>
              <w:divsChild>
                <w:div w:id="2039547288">
                  <w:marLeft w:val="0"/>
                  <w:marRight w:val="0"/>
                  <w:marTop w:val="0"/>
                  <w:marBottom w:val="0"/>
                  <w:divBdr>
                    <w:top w:val="none" w:sz="0" w:space="0" w:color="auto"/>
                    <w:left w:val="none" w:sz="0" w:space="0" w:color="auto"/>
                    <w:bottom w:val="none" w:sz="0" w:space="0" w:color="auto"/>
                    <w:right w:val="none" w:sz="0" w:space="0" w:color="auto"/>
                  </w:divBdr>
                  <w:divsChild>
                    <w:div w:id="1529173271">
                      <w:marLeft w:val="0"/>
                      <w:marRight w:val="0"/>
                      <w:marTop w:val="0"/>
                      <w:marBottom w:val="0"/>
                      <w:divBdr>
                        <w:top w:val="none" w:sz="0" w:space="0" w:color="auto"/>
                        <w:left w:val="none" w:sz="0" w:space="0" w:color="auto"/>
                        <w:bottom w:val="none" w:sz="0" w:space="0" w:color="auto"/>
                        <w:right w:val="none" w:sz="0" w:space="0" w:color="auto"/>
                      </w:divBdr>
                      <w:divsChild>
                        <w:div w:id="1793552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5737101">
      <w:bodyDiv w:val="1"/>
      <w:marLeft w:val="0"/>
      <w:marRight w:val="0"/>
      <w:marTop w:val="0"/>
      <w:marBottom w:val="0"/>
      <w:divBdr>
        <w:top w:val="none" w:sz="0" w:space="0" w:color="auto"/>
        <w:left w:val="none" w:sz="0" w:space="0" w:color="auto"/>
        <w:bottom w:val="none" w:sz="0" w:space="0" w:color="auto"/>
        <w:right w:val="none" w:sz="0" w:space="0" w:color="auto"/>
      </w:divBdr>
    </w:div>
    <w:div w:id="430467193">
      <w:bodyDiv w:val="1"/>
      <w:marLeft w:val="0"/>
      <w:marRight w:val="0"/>
      <w:marTop w:val="0"/>
      <w:marBottom w:val="0"/>
      <w:divBdr>
        <w:top w:val="none" w:sz="0" w:space="0" w:color="auto"/>
        <w:left w:val="none" w:sz="0" w:space="0" w:color="auto"/>
        <w:bottom w:val="none" w:sz="0" w:space="0" w:color="auto"/>
        <w:right w:val="none" w:sz="0" w:space="0" w:color="auto"/>
      </w:divBdr>
      <w:divsChild>
        <w:div w:id="850604803">
          <w:marLeft w:val="0"/>
          <w:marRight w:val="0"/>
          <w:marTop w:val="0"/>
          <w:marBottom w:val="0"/>
          <w:divBdr>
            <w:top w:val="none" w:sz="0" w:space="0" w:color="auto"/>
            <w:left w:val="none" w:sz="0" w:space="0" w:color="auto"/>
            <w:bottom w:val="none" w:sz="0" w:space="0" w:color="auto"/>
            <w:right w:val="none" w:sz="0" w:space="0" w:color="auto"/>
          </w:divBdr>
          <w:divsChild>
            <w:div w:id="2016417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6262732">
      <w:bodyDiv w:val="1"/>
      <w:marLeft w:val="0"/>
      <w:marRight w:val="0"/>
      <w:marTop w:val="0"/>
      <w:marBottom w:val="0"/>
      <w:divBdr>
        <w:top w:val="none" w:sz="0" w:space="0" w:color="auto"/>
        <w:left w:val="none" w:sz="0" w:space="0" w:color="auto"/>
        <w:bottom w:val="none" w:sz="0" w:space="0" w:color="auto"/>
        <w:right w:val="none" w:sz="0" w:space="0" w:color="auto"/>
      </w:divBdr>
    </w:div>
    <w:div w:id="568347749">
      <w:bodyDiv w:val="1"/>
      <w:marLeft w:val="0"/>
      <w:marRight w:val="0"/>
      <w:marTop w:val="0"/>
      <w:marBottom w:val="0"/>
      <w:divBdr>
        <w:top w:val="none" w:sz="0" w:space="0" w:color="auto"/>
        <w:left w:val="none" w:sz="0" w:space="0" w:color="auto"/>
        <w:bottom w:val="none" w:sz="0" w:space="0" w:color="auto"/>
        <w:right w:val="none" w:sz="0" w:space="0" w:color="auto"/>
      </w:divBdr>
    </w:div>
    <w:div w:id="569846034">
      <w:bodyDiv w:val="1"/>
      <w:marLeft w:val="0"/>
      <w:marRight w:val="0"/>
      <w:marTop w:val="0"/>
      <w:marBottom w:val="0"/>
      <w:divBdr>
        <w:top w:val="none" w:sz="0" w:space="0" w:color="auto"/>
        <w:left w:val="none" w:sz="0" w:space="0" w:color="auto"/>
        <w:bottom w:val="none" w:sz="0" w:space="0" w:color="auto"/>
        <w:right w:val="none" w:sz="0" w:space="0" w:color="auto"/>
      </w:divBdr>
      <w:divsChild>
        <w:div w:id="684021712">
          <w:marLeft w:val="0"/>
          <w:marRight w:val="0"/>
          <w:marTop w:val="0"/>
          <w:marBottom w:val="0"/>
          <w:divBdr>
            <w:top w:val="none" w:sz="0" w:space="0" w:color="auto"/>
            <w:left w:val="none" w:sz="0" w:space="0" w:color="auto"/>
            <w:bottom w:val="none" w:sz="0" w:space="0" w:color="auto"/>
            <w:right w:val="none" w:sz="0" w:space="0" w:color="auto"/>
          </w:divBdr>
        </w:div>
      </w:divsChild>
    </w:div>
    <w:div w:id="591008194">
      <w:bodyDiv w:val="1"/>
      <w:marLeft w:val="0"/>
      <w:marRight w:val="0"/>
      <w:marTop w:val="0"/>
      <w:marBottom w:val="0"/>
      <w:divBdr>
        <w:top w:val="none" w:sz="0" w:space="0" w:color="auto"/>
        <w:left w:val="none" w:sz="0" w:space="0" w:color="auto"/>
        <w:bottom w:val="none" w:sz="0" w:space="0" w:color="auto"/>
        <w:right w:val="none" w:sz="0" w:space="0" w:color="auto"/>
      </w:divBdr>
    </w:div>
    <w:div w:id="634143925">
      <w:bodyDiv w:val="1"/>
      <w:marLeft w:val="0"/>
      <w:marRight w:val="0"/>
      <w:marTop w:val="0"/>
      <w:marBottom w:val="0"/>
      <w:divBdr>
        <w:top w:val="none" w:sz="0" w:space="0" w:color="auto"/>
        <w:left w:val="none" w:sz="0" w:space="0" w:color="auto"/>
        <w:bottom w:val="none" w:sz="0" w:space="0" w:color="auto"/>
        <w:right w:val="none" w:sz="0" w:space="0" w:color="auto"/>
      </w:divBdr>
    </w:div>
    <w:div w:id="698091959">
      <w:bodyDiv w:val="1"/>
      <w:marLeft w:val="0"/>
      <w:marRight w:val="0"/>
      <w:marTop w:val="0"/>
      <w:marBottom w:val="0"/>
      <w:divBdr>
        <w:top w:val="none" w:sz="0" w:space="0" w:color="auto"/>
        <w:left w:val="none" w:sz="0" w:space="0" w:color="auto"/>
        <w:bottom w:val="none" w:sz="0" w:space="0" w:color="auto"/>
        <w:right w:val="none" w:sz="0" w:space="0" w:color="auto"/>
      </w:divBdr>
      <w:divsChild>
        <w:div w:id="140736611">
          <w:marLeft w:val="0"/>
          <w:marRight w:val="0"/>
          <w:marTop w:val="0"/>
          <w:marBottom w:val="0"/>
          <w:divBdr>
            <w:top w:val="none" w:sz="0" w:space="0" w:color="auto"/>
            <w:left w:val="none" w:sz="0" w:space="0" w:color="auto"/>
            <w:bottom w:val="none" w:sz="0" w:space="0" w:color="auto"/>
            <w:right w:val="none" w:sz="0" w:space="0" w:color="auto"/>
          </w:divBdr>
          <w:divsChild>
            <w:div w:id="44566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5590725">
      <w:bodyDiv w:val="1"/>
      <w:marLeft w:val="0"/>
      <w:marRight w:val="0"/>
      <w:marTop w:val="0"/>
      <w:marBottom w:val="0"/>
      <w:divBdr>
        <w:top w:val="none" w:sz="0" w:space="0" w:color="auto"/>
        <w:left w:val="none" w:sz="0" w:space="0" w:color="auto"/>
        <w:bottom w:val="none" w:sz="0" w:space="0" w:color="auto"/>
        <w:right w:val="none" w:sz="0" w:space="0" w:color="auto"/>
      </w:divBdr>
      <w:divsChild>
        <w:div w:id="1636176605">
          <w:marLeft w:val="0"/>
          <w:marRight w:val="0"/>
          <w:marTop w:val="0"/>
          <w:marBottom w:val="0"/>
          <w:divBdr>
            <w:top w:val="none" w:sz="0" w:space="0" w:color="auto"/>
            <w:left w:val="none" w:sz="0" w:space="0" w:color="auto"/>
            <w:bottom w:val="none" w:sz="0" w:space="0" w:color="auto"/>
            <w:right w:val="none" w:sz="0" w:space="0" w:color="auto"/>
          </w:divBdr>
          <w:divsChild>
            <w:div w:id="501893730">
              <w:marLeft w:val="0"/>
              <w:marRight w:val="0"/>
              <w:marTop w:val="0"/>
              <w:marBottom w:val="0"/>
              <w:divBdr>
                <w:top w:val="none" w:sz="0" w:space="0" w:color="auto"/>
                <w:left w:val="none" w:sz="0" w:space="0" w:color="auto"/>
                <w:bottom w:val="none" w:sz="0" w:space="0" w:color="auto"/>
                <w:right w:val="none" w:sz="0" w:space="0" w:color="auto"/>
              </w:divBdr>
              <w:divsChild>
                <w:div w:id="2036811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8280907">
      <w:bodyDiv w:val="1"/>
      <w:marLeft w:val="0"/>
      <w:marRight w:val="0"/>
      <w:marTop w:val="0"/>
      <w:marBottom w:val="0"/>
      <w:divBdr>
        <w:top w:val="none" w:sz="0" w:space="0" w:color="auto"/>
        <w:left w:val="none" w:sz="0" w:space="0" w:color="auto"/>
        <w:bottom w:val="none" w:sz="0" w:space="0" w:color="auto"/>
        <w:right w:val="none" w:sz="0" w:space="0" w:color="auto"/>
      </w:divBdr>
      <w:divsChild>
        <w:div w:id="588544197">
          <w:marLeft w:val="0"/>
          <w:marRight w:val="0"/>
          <w:marTop w:val="0"/>
          <w:marBottom w:val="0"/>
          <w:divBdr>
            <w:top w:val="none" w:sz="0" w:space="0" w:color="auto"/>
            <w:left w:val="none" w:sz="0" w:space="0" w:color="auto"/>
            <w:bottom w:val="none" w:sz="0" w:space="0" w:color="auto"/>
            <w:right w:val="none" w:sz="0" w:space="0" w:color="auto"/>
          </w:divBdr>
        </w:div>
      </w:divsChild>
    </w:div>
    <w:div w:id="754208806">
      <w:bodyDiv w:val="1"/>
      <w:marLeft w:val="0"/>
      <w:marRight w:val="0"/>
      <w:marTop w:val="0"/>
      <w:marBottom w:val="0"/>
      <w:divBdr>
        <w:top w:val="none" w:sz="0" w:space="0" w:color="auto"/>
        <w:left w:val="none" w:sz="0" w:space="0" w:color="auto"/>
        <w:bottom w:val="none" w:sz="0" w:space="0" w:color="auto"/>
        <w:right w:val="none" w:sz="0" w:space="0" w:color="auto"/>
      </w:divBdr>
      <w:divsChild>
        <w:div w:id="78261232">
          <w:marLeft w:val="0"/>
          <w:marRight w:val="0"/>
          <w:marTop w:val="0"/>
          <w:marBottom w:val="0"/>
          <w:divBdr>
            <w:top w:val="none" w:sz="0" w:space="0" w:color="auto"/>
            <w:left w:val="none" w:sz="0" w:space="0" w:color="auto"/>
            <w:bottom w:val="none" w:sz="0" w:space="0" w:color="auto"/>
            <w:right w:val="none" w:sz="0" w:space="0" w:color="auto"/>
          </w:divBdr>
          <w:divsChild>
            <w:div w:id="1951742396">
              <w:marLeft w:val="0"/>
              <w:marRight w:val="0"/>
              <w:marTop w:val="0"/>
              <w:marBottom w:val="0"/>
              <w:divBdr>
                <w:top w:val="none" w:sz="0" w:space="0" w:color="auto"/>
                <w:left w:val="none" w:sz="0" w:space="0" w:color="auto"/>
                <w:bottom w:val="none" w:sz="0" w:space="0" w:color="auto"/>
                <w:right w:val="none" w:sz="0" w:space="0" w:color="auto"/>
              </w:divBdr>
              <w:divsChild>
                <w:div w:id="1532301726">
                  <w:marLeft w:val="0"/>
                  <w:marRight w:val="0"/>
                  <w:marTop w:val="0"/>
                  <w:marBottom w:val="0"/>
                  <w:divBdr>
                    <w:top w:val="none" w:sz="0" w:space="0" w:color="auto"/>
                    <w:left w:val="none" w:sz="0" w:space="0" w:color="auto"/>
                    <w:bottom w:val="none" w:sz="0" w:space="0" w:color="auto"/>
                    <w:right w:val="none" w:sz="0" w:space="0" w:color="auto"/>
                  </w:divBdr>
                  <w:divsChild>
                    <w:div w:id="2041465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4419425">
      <w:bodyDiv w:val="1"/>
      <w:marLeft w:val="0"/>
      <w:marRight w:val="0"/>
      <w:marTop w:val="0"/>
      <w:marBottom w:val="0"/>
      <w:divBdr>
        <w:top w:val="none" w:sz="0" w:space="0" w:color="auto"/>
        <w:left w:val="none" w:sz="0" w:space="0" w:color="auto"/>
        <w:bottom w:val="none" w:sz="0" w:space="0" w:color="auto"/>
        <w:right w:val="none" w:sz="0" w:space="0" w:color="auto"/>
      </w:divBdr>
      <w:divsChild>
        <w:div w:id="1568374320">
          <w:marLeft w:val="0"/>
          <w:marRight w:val="0"/>
          <w:marTop w:val="0"/>
          <w:marBottom w:val="0"/>
          <w:divBdr>
            <w:top w:val="none" w:sz="0" w:space="0" w:color="auto"/>
            <w:left w:val="none" w:sz="0" w:space="0" w:color="auto"/>
            <w:bottom w:val="none" w:sz="0" w:space="0" w:color="auto"/>
            <w:right w:val="none" w:sz="0" w:space="0" w:color="auto"/>
          </w:divBdr>
        </w:div>
      </w:divsChild>
    </w:div>
    <w:div w:id="845091995">
      <w:bodyDiv w:val="1"/>
      <w:marLeft w:val="0"/>
      <w:marRight w:val="0"/>
      <w:marTop w:val="0"/>
      <w:marBottom w:val="0"/>
      <w:divBdr>
        <w:top w:val="none" w:sz="0" w:space="0" w:color="auto"/>
        <w:left w:val="none" w:sz="0" w:space="0" w:color="auto"/>
        <w:bottom w:val="none" w:sz="0" w:space="0" w:color="auto"/>
        <w:right w:val="none" w:sz="0" w:space="0" w:color="auto"/>
      </w:divBdr>
    </w:div>
    <w:div w:id="861280829">
      <w:bodyDiv w:val="1"/>
      <w:marLeft w:val="0"/>
      <w:marRight w:val="0"/>
      <w:marTop w:val="0"/>
      <w:marBottom w:val="0"/>
      <w:divBdr>
        <w:top w:val="none" w:sz="0" w:space="0" w:color="auto"/>
        <w:left w:val="none" w:sz="0" w:space="0" w:color="auto"/>
        <w:bottom w:val="none" w:sz="0" w:space="0" w:color="auto"/>
        <w:right w:val="none" w:sz="0" w:space="0" w:color="auto"/>
      </w:divBdr>
    </w:div>
    <w:div w:id="873351394">
      <w:bodyDiv w:val="1"/>
      <w:marLeft w:val="0"/>
      <w:marRight w:val="0"/>
      <w:marTop w:val="0"/>
      <w:marBottom w:val="0"/>
      <w:divBdr>
        <w:top w:val="none" w:sz="0" w:space="0" w:color="auto"/>
        <w:left w:val="none" w:sz="0" w:space="0" w:color="auto"/>
        <w:bottom w:val="none" w:sz="0" w:space="0" w:color="auto"/>
        <w:right w:val="none" w:sz="0" w:space="0" w:color="auto"/>
      </w:divBdr>
    </w:div>
    <w:div w:id="881870236">
      <w:bodyDiv w:val="1"/>
      <w:marLeft w:val="0"/>
      <w:marRight w:val="0"/>
      <w:marTop w:val="0"/>
      <w:marBottom w:val="0"/>
      <w:divBdr>
        <w:top w:val="none" w:sz="0" w:space="0" w:color="auto"/>
        <w:left w:val="none" w:sz="0" w:space="0" w:color="auto"/>
        <w:bottom w:val="none" w:sz="0" w:space="0" w:color="auto"/>
        <w:right w:val="none" w:sz="0" w:space="0" w:color="auto"/>
      </w:divBdr>
    </w:div>
    <w:div w:id="891889173">
      <w:bodyDiv w:val="1"/>
      <w:marLeft w:val="0"/>
      <w:marRight w:val="0"/>
      <w:marTop w:val="0"/>
      <w:marBottom w:val="0"/>
      <w:divBdr>
        <w:top w:val="none" w:sz="0" w:space="0" w:color="auto"/>
        <w:left w:val="none" w:sz="0" w:space="0" w:color="auto"/>
        <w:bottom w:val="none" w:sz="0" w:space="0" w:color="auto"/>
        <w:right w:val="none" w:sz="0" w:space="0" w:color="auto"/>
      </w:divBdr>
      <w:divsChild>
        <w:div w:id="1476025085">
          <w:marLeft w:val="0"/>
          <w:marRight w:val="0"/>
          <w:marTop w:val="0"/>
          <w:marBottom w:val="0"/>
          <w:divBdr>
            <w:top w:val="none" w:sz="0" w:space="0" w:color="auto"/>
            <w:left w:val="none" w:sz="0" w:space="0" w:color="auto"/>
            <w:bottom w:val="none" w:sz="0" w:space="0" w:color="auto"/>
            <w:right w:val="none" w:sz="0" w:space="0" w:color="auto"/>
          </w:divBdr>
          <w:divsChild>
            <w:div w:id="782460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9215562">
      <w:bodyDiv w:val="1"/>
      <w:marLeft w:val="0"/>
      <w:marRight w:val="0"/>
      <w:marTop w:val="0"/>
      <w:marBottom w:val="0"/>
      <w:divBdr>
        <w:top w:val="none" w:sz="0" w:space="0" w:color="auto"/>
        <w:left w:val="none" w:sz="0" w:space="0" w:color="auto"/>
        <w:bottom w:val="none" w:sz="0" w:space="0" w:color="auto"/>
        <w:right w:val="none" w:sz="0" w:space="0" w:color="auto"/>
      </w:divBdr>
      <w:divsChild>
        <w:div w:id="924608214">
          <w:marLeft w:val="0"/>
          <w:marRight w:val="0"/>
          <w:marTop w:val="0"/>
          <w:marBottom w:val="0"/>
          <w:divBdr>
            <w:top w:val="none" w:sz="0" w:space="0" w:color="auto"/>
            <w:left w:val="none" w:sz="0" w:space="0" w:color="auto"/>
            <w:bottom w:val="none" w:sz="0" w:space="0" w:color="auto"/>
            <w:right w:val="none" w:sz="0" w:space="0" w:color="auto"/>
          </w:divBdr>
          <w:divsChild>
            <w:div w:id="760301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5282157">
      <w:bodyDiv w:val="1"/>
      <w:marLeft w:val="0"/>
      <w:marRight w:val="0"/>
      <w:marTop w:val="0"/>
      <w:marBottom w:val="0"/>
      <w:divBdr>
        <w:top w:val="none" w:sz="0" w:space="0" w:color="auto"/>
        <w:left w:val="none" w:sz="0" w:space="0" w:color="auto"/>
        <w:bottom w:val="none" w:sz="0" w:space="0" w:color="auto"/>
        <w:right w:val="none" w:sz="0" w:space="0" w:color="auto"/>
      </w:divBdr>
    </w:div>
    <w:div w:id="982662813">
      <w:bodyDiv w:val="1"/>
      <w:marLeft w:val="0"/>
      <w:marRight w:val="0"/>
      <w:marTop w:val="0"/>
      <w:marBottom w:val="0"/>
      <w:divBdr>
        <w:top w:val="none" w:sz="0" w:space="0" w:color="auto"/>
        <w:left w:val="none" w:sz="0" w:space="0" w:color="auto"/>
        <w:bottom w:val="none" w:sz="0" w:space="0" w:color="auto"/>
        <w:right w:val="none" w:sz="0" w:space="0" w:color="auto"/>
      </w:divBdr>
      <w:divsChild>
        <w:div w:id="194739273">
          <w:marLeft w:val="0"/>
          <w:marRight w:val="0"/>
          <w:marTop w:val="0"/>
          <w:marBottom w:val="0"/>
          <w:divBdr>
            <w:top w:val="none" w:sz="0" w:space="0" w:color="auto"/>
            <w:left w:val="none" w:sz="0" w:space="0" w:color="auto"/>
            <w:bottom w:val="none" w:sz="0" w:space="0" w:color="auto"/>
            <w:right w:val="none" w:sz="0" w:space="0" w:color="auto"/>
          </w:divBdr>
        </w:div>
      </w:divsChild>
    </w:div>
    <w:div w:id="990409301">
      <w:bodyDiv w:val="1"/>
      <w:marLeft w:val="0"/>
      <w:marRight w:val="0"/>
      <w:marTop w:val="0"/>
      <w:marBottom w:val="0"/>
      <w:divBdr>
        <w:top w:val="none" w:sz="0" w:space="0" w:color="auto"/>
        <w:left w:val="none" w:sz="0" w:space="0" w:color="auto"/>
        <w:bottom w:val="none" w:sz="0" w:space="0" w:color="auto"/>
        <w:right w:val="none" w:sz="0" w:space="0" w:color="auto"/>
      </w:divBdr>
      <w:divsChild>
        <w:div w:id="1518470713">
          <w:marLeft w:val="0"/>
          <w:marRight w:val="0"/>
          <w:marTop w:val="0"/>
          <w:marBottom w:val="0"/>
          <w:divBdr>
            <w:top w:val="none" w:sz="0" w:space="0" w:color="auto"/>
            <w:left w:val="none" w:sz="0" w:space="0" w:color="auto"/>
            <w:bottom w:val="none" w:sz="0" w:space="0" w:color="auto"/>
            <w:right w:val="none" w:sz="0" w:space="0" w:color="auto"/>
          </w:divBdr>
        </w:div>
      </w:divsChild>
    </w:div>
    <w:div w:id="1055928725">
      <w:bodyDiv w:val="1"/>
      <w:marLeft w:val="0"/>
      <w:marRight w:val="0"/>
      <w:marTop w:val="0"/>
      <w:marBottom w:val="0"/>
      <w:divBdr>
        <w:top w:val="none" w:sz="0" w:space="0" w:color="auto"/>
        <w:left w:val="none" w:sz="0" w:space="0" w:color="auto"/>
        <w:bottom w:val="none" w:sz="0" w:space="0" w:color="auto"/>
        <w:right w:val="none" w:sz="0" w:space="0" w:color="auto"/>
      </w:divBdr>
    </w:div>
    <w:div w:id="1076591574">
      <w:bodyDiv w:val="1"/>
      <w:marLeft w:val="0"/>
      <w:marRight w:val="0"/>
      <w:marTop w:val="0"/>
      <w:marBottom w:val="0"/>
      <w:divBdr>
        <w:top w:val="none" w:sz="0" w:space="0" w:color="auto"/>
        <w:left w:val="none" w:sz="0" w:space="0" w:color="auto"/>
        <w:bottom w:val="none" w:sz="0" w:space="0" w:color="auto"/>
        <w:right w:val="none" w:sz="0" w:space="0" w:color="auto"/>
      </w:divBdr>
    </w:div>
    <w:div w:id="1148936046">
      <w:bodyDiv w:val="1"/>
      <w:marLeft w:val="0"/>
      <w:marRight w:val="0"/>
      <w:marTop w:val="0"/>
      <w:marBottom w:val="0"/>
      <w:divBdr>
        <w:top w:val="none" w:sz="0" w:space="0" w:color="auto"/>
        <w:left w:val="none" w:sz="0" w:space="0" w:color="auto"/>
        <w:bottom w:val="none" w:sz="0" w:space="0" w:color="auto"/>
        <w:right w:val="none" w:sz="0" w:space="0" w:color="auto"/>
      </w:divBdr>
    </w:div>
    <w:div w:id="1177118465">
      <w:bodyDiv w:val="1"/>
      <w:marLeft w:val="0"/>
      <w:marRight w:val="0"/>
      <w:marTop w:val="0"/>
      <w:marBottom w:val="0"/>
      <w:divBdr>
        <w:top w:val="none" w:sz="0" w:space="0" w:color="auto"/>
        <w:left w:val="none" w:sz="0" w:space="0" w:color="auto"/>
        <w:bottom w:val="none" w:sz="0" w:space="0" w:color="auto"/>
        <w:right w:val="none" w:sz="0" w:space="0" w:color="auto"/>
      </w:divBdr>
    </w:div>
    <w:div w:id="1201354473">
      <w:bodyDiv w:val="1"/>
      <w:marLeft w:val="0"/>
      <w:marRight w:val="0"/>
      <w:marTop w:val="0"/>
      <w:marBottom w:val="0"/>
      <w:divBdr>
        <w:top w:val="none" w:sz="0" w:space="0" w:color="auto"/>
        <w:left w:val="none" w:sz="0" w:space="0" w:color="auto"/>
        <w:bottom w:val="none" w:sz="0" w:space="0" w:color="auto"/>
        <w:right w:val="none" w:sz="0" w:space="0" w:color="auto"/>
      </w:divBdr>
      <w:divsChild>
        <w:div w:id="1018894763">
          <w:marLeft w:val="0"/>
          <w:marRight w:val="0"/>
          <w:marTop w:val="0"/>
          <w:marBottom w:val="0"/>
          <w:divBdr>
            <w:top w:val="none" w:sz="0" w:space="0" w:color="auto"/>
            <w:left w:val="none" w:sz="0" w:space="0" w:color="auto"/>
            <w:bottom w:val="none" w:sz="0" w:space="0" w:color="auto"/>
            <w:right w:val="none" w:sz="0" w:space="0" w:color="auto"/>
          </w:divBdr>
          <w:divsChild>
            <w:div w:id="349992997">
              <w:marLeft w:val="0"/>
              <w:marRight w:val="0"/>
              <w:marTop w:val="0"/>
              <w:marBottom w:val="0"/>
              <w:divBdr>
                <w:top w:val="none" w:sz="0" w:space="0" w:color="auto"/>
                <w:left w:val="none" w:sz="0" w:space="0" w:color="auto"/>
                <w:bottom w:val="none" w:sz="0" w:space="0" w:color="auto"/>
                <w:right w:val="none" w:sz="0" w:space="0" w:color="auto"/>
              </w:divBdr>
              <w:divsChild>
                <w:div w:id="2073692518">
                  <w:marLeft w:val="0"/>
                  <w:marRight w:val="0"/>
                  <w:marTop w:val="0"/>
                  <w:marBottom w:val="0"/>
                  <w:divBdr>
                    <w:top w:val="none" w:sz="0" w:space="0" w:color="auto"/>
                    <w:left w:val="none" w:sz="0" w:space="0" w:color="auto"/>
                    <w:bottom w:val="none" w:sz="0" w:space="0" w:color="auto"/>
                    <w:right w:val="none" w:sz="0" w:space="0" w:color="auto"/>
                  </w:divBdr>
                  <w:divsChild>
                    <w:div w:id="2007634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5723151">
      <w:bodyDiv w:val="1"/>
      <w:marLeft w:val="0"/>
      <w:marRight w:val="0"/>
      <w:marTop w:val="0"/>
      <w:marBottom w:val="0"/>
      <w:divBdr>
        <w:top w:val="none" w:sz="0" w:space="0" w:color="auto"/>
        <w:left w:val="none" w:sz="0" w:space="0" w:color="auto"/>
        <w:bottom w:val="none" w:sz="0" w:space="0" w:color="auto"/>
        <w:right w:val="none" w:sz="0" w:space="0" w:color="auto"/>
      </w:divBdr>
    </w:div>
    <w:div w:id="1321233344">
      <w:bodyDiv w:val="1"/>
      <w:marLeft w:val="0"/>
      <w:marRight w:val="0"/>
      <w:marTop w:val="0"/>
      <w:marBottom w:val="0"/>
      <w:divBdr>
        <w:top w:val="none" w:sz="0" w:space="0" w:color="auto"/>
        <w:left w:val="none" w:sz="0" w:space="0" w:color="auto"/>
        <w:bottom w:val="none" w:sz="0" w:space="0" w:color="auto"/>
        <w:right w:val="none" w:sz="0" w:space="0" w:color="auto"/>
      </w:divBdr>
      <w:divsChild>
        <w:div w:id="1434397180">
          <w:marLeft w:val="0"/>
          <w:marRight w:val="0"/>
          <w:marTop w:val="0"/>
          <w:marBottom w:val="0"/>
          <w:divBdr>
            <w:top w:val="none" w:sz="0" w:space="0" w:color="auto"/>
            <w:left w:val="none" w:sz="0" w:space="0" w:color="auto"/>
            <w:bottom w:val="none" w:sz="0" w:space="0" w:color="auto"/>
            <w:right w:val="none" w:sz="0" w:space="0" w:color="auto"/>
          </w:divBdr>
          <w:divsChild>
            <w:div w:id="1598127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758769">
      <w:bodyDiv w:val="1"/>
      <w:marLeft w:val="0"/>
      <w:marRight w:val="0"/>
      <w:marTop w:val="0"/>
      <w:marBottom w:val="0"/>
      <w:divBdr>
        <w:top w:val="none" w:sz="0" w:space="0" w:color="auto"/>
        <w:left w:val="none" w:sz="0" w:space="0" w:color="auto"/>
        <w:bottom w:val="none" w:sz="0" w:space="0" w:color="auto"/>
        <w:right w:val="none" w:sz="0" w:space="0" w:color="auto"/>
      </w:divBdr>
    </w:div>
    <w:div w:id="1336180140">
      <w:bodyDiv w:val="1"/>
      <w:marLeft w:val="0"/>
      <w:marRight w:val="0"/>
      <w:marTop w:val="0"/>
      <w:marBottom w:val="0"/>
      <w:divBdr>
        <w:top w:val="none" w:sz="0" w:space="0" w:color="auto"/>
        <w:left w:val="none" w:sz="0" w:space="0" w:color="auto"/>
        <w:bottom w:val="none" w:sz="0" w:space="0" w:color="auto"/>
        <w:right w:val="none" w:sz="0" w:space="0" w:color="auto"/>
      </w:divBdr>
    </w:div>
    <w:div w:id="1360014167">
      <w:bodyDiv w:val="1"/>
      <w:marLeft w:val="0"/>
      <w:marRight w:val="0"/>
      <w:marTop w:val="0"/>
      <w:marBottom w:val="0"/>
      <w:divBdr>
        <w:top w:val="none" w:sz="0" w:space="0" w:color="auto"/>
        <w:left w:val="none" w:sz="0" w:space="0" w:color="auto"/>
        <w:bottom w:val="none" w:sz="0" w:space="0" w:color="auto"/>
        <w:right w:val="none" w:sz="0" w:space="0" w:color="auto"/>
      </w:divBdr>
    </w:div>
    <w:div w:id="1398867880">
      <w:bodyDiv w:val="1"/>
      <w:marLeft w:val="0"/>
      <w:marRight w:val="0"/>
      <w:marTop w:val="0"/>
      <w:marBottom w:val="0"/>
      <w:divBdr>
        <w:top w:val="none" w:sz="0" w:space="0" w:color="auto"/>
        <w:left w:val="none" w:sz="0" w:space="0" w:color="auto"/>
        <w:bottom w:val="none" w:sz="0" w:space="0" w:color="auto"/>
        <w:right w:val="none" w:sz="0" w:space="0" w:color="auto"/>
      </w:divBdr>
    </w:div>
    <w:div w:id="1415124130">
      <w:bodyDiv w:val="1"/>
      <w:marLeft w:val="0"/>
      <w:marRight w:val="0"/>
      <w:marTop w:val="0"/>
      <w:marBottom w:val="0"/>
      <w:divBdr>
        <w:top w:val="none" w:sz="0" w:space="0" w:color="auto"/>
        <w:left w:val="none" w:sz="0" w:space="0" w:color="auto"/>
        <w:bottom w:val="none" w:sz="0" w:space="0" w:color="auto"/>
        <w:right w:val="none" w:sz="0" w:space="0" w:color="auto"/>
      </w:divBdr>
      <w:divsChild>
        <w:div w:id="1971933018">
          <w:marLeft w:val="0"/>
          <w:marRight w:val="0"/>
          <w:marTop w:val="0"/>
          <w:marBottom w:val="0"/>
          <w:divBdr>
            <w:top w:val="none" w:sz="0" w:space="0" w:color="auto"/>
            <w:left w:val="none" w:sz="0" w:space="0" w:color="auto"/>
            <w:bottom w:val="none" w:sz="0" w:space="0" w:color="auto"/>
            <w:right w:val="none" w:sz="0" w:space="0" w:color="auto"/>
          </w:divBdr>
          <w:divsChild>
            <w:div w:id="798039078">
              <w:marLeft w:val="0"/>
              <w:marRight w:val="0"/>
              <w:marTop w:val="0"/>
              <w:marBottom w:val="0"/>
              <w:divBdr>
                <w:top w:val="none" w:sz="0" w:space="0" w:color="auto"/>
                <w:left w:val="none" w:sz="0" w:space="0" w:color="auto"/>
                <w:bottom w:val="none" w:sz="0" w:space="0" w:color="auto"/>
                <w:right w:val="none" w:sz="0" w:space="0" w:color="auto"/>
              </w:divBdr>
              <w:divsChild>
                <w:div w:id="1462580059">
                  <w:marLeft w:val="0"/>
                  <w:marRight w:val="0"/>
                  <w:marTop w:val="0"/>
                  <w:marBottom w:val="0"/>
                  <w:divBdr>
                    <w:top w:val="none" w:sz="0" w:space="0" w:color="auto"/>
                    <w:left w:val="none" w:sz="0" w:space="0" w:color="auto"/>
                    <w:bottom w:val="none" w:sz="0" w:space="0" w:color="auto"/>
                    <w:right w:val="none" w:sz="0" w:space="0" w:color="auto"/>
                  </w:divBdr>
                  <w:divsChild>
                    <w:div w:id="2136168216">
                      <w:marLeft w:val="0"/>
                      <w:marRight w:val="0"/>
                      <w:marTop w:val="0"/>
                      <w:marBottom w:val="0"/>
                      <w:divBdr>
                        <w:top w:val="none" w:sz="0" w:space="0" w:color="auto"/>
                        <w:left w:val="none" w:sz="0" w:space="0" w:color="auto"/>
                        <w:bottom w:val="none" w:sz="0" w:space="0" w:color="auto"/>
                        <w:right w:val="none" w:sz="0" w:space="0" w:color="auto"/>
                      </w:divBdr>
                      <w:divsChild>
                        <w:div w:id="186706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7771552">
      <w:bodyDiv w:val="1"/>
      <w:marLeft w:val="0"/>
      <w:marRight w:val="0"/>
      <w:marTop w:val="0"/>
      <w:marBottom w:val="0"/>
      <w:divBdr>
        <w:top w:val="none" w:sz="0" w:space="0" w:color="auto"/>
        <w:left w:val="none" w:sz="0" w:space="0" w:color="auto"/>
        <w:bottom w:val="none" w:sz="0" w:space="0" w:color="auto"/>
        <w:right w:val="none" w:sz="0" w:space="0" w:color="auto"/>
      </w:divBdr>
      <w:divsChild>
        <w:div w:id="2061438919">
          <w:marLeft w:val="0"/>
          <w:marRight w:val="0"/>
          <w:marTop w:val="0"/>
          <w:marBottom w:val="0"/>
          <w:divBdr>
            <w:top w:val="none" w:sz="0" w:space="0" w:color="auto"/>
            <w:left w:val="none" w:sz="0" w:space="0" w:color="auto"/>
            <w:bottom w:val="none" w:sz="0" w:space="0" w:color="auto"/>
            <w:right w:val="none" w:sz="0" w:space="0" w:color="auto"/>
          </w:divBdr>
          <w:divsChild>
            <w:div w:id="1924484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7770364">
      <w:bodyDiv w:val="1"/>
      <w:marLeft w:val="0"/>
      <w:marRight w:val="0"/>
      <w:marTop w:val="0"/>
      <w:marBottom w:val="0"/>
      <w:divBdr>
        <w:top w:val="none" w:sz="0" w:space="0" w:color="auto"/>
        <w:left w:val="none" w:sz="0" w:space="0" w:color="auto"/>
        <w:bottom w:val="none" w:sz="0" w:space="0" w:color="auto"/>
        <w:right w:val="none" w:sz="0" w:space="0" w:color="auto"/>
      </w:divBdr>
      <w:divsChild>
        <w:div w:id="612447144">
          <w:marLeft w:val="0"/>
          <w:marRight w:val="0"/>
          <w:marTop w:val="0"/>
          <w:marBottom w:val="0"/>
          <w:divBdr>
            <w:top w:val="none" w:sz="0" w:space="0" w:color="auto"/>
            <w:left w:val="none" w:sz="0" w:space="0" w:color="auto"/>
            <w:bottom w:val="none" w:sz="0" w:space="0" w:color="auto"/>
            <w:right w:val="none" w:sz="0" w:space="0" w:color="auto"/>
          </w:divBdr>
          <w:divsChild>
            <w:div w:id="2104571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7835315">
      <w:bodyDiv w:val="1"/>
      <w:marLeft w:val="0"/>
      <w:marRight w:val="0"/>
      <w:marTop w:val="0"/>
      <w:marBottom w:val="0"/>
      <w:divBdr>
        <w:top w:val="none" w:sz="0" w:space="0" w:color="auto"/>
        <w:left w:val="none" w:sz="0" w:space="0" w:color="auto"/>
        <w:bottom w:val="none" w:sz="0" w:space="0" w:color="auto"/>
        <w:right w:val="none" w:sz="0" w:space="0" w:color="auto"/>
      </w:divBdr>
      <w:divsChild>
        <w:div w:id="947393066">
          <w:marLeft w:val="0"/>
          <w:marRight w:val="0"/>
          <w:marTop w:val="0"/>
          <w:marBottom w:val="0"/>
          <w:divBdr>
            <w:top w:val="none" w:sz="0" w:space="0" w:color="auto"/>
            <w:left w:val="none" w:sz="0" w:space="0" w:color="auto"/>
            <w:bottom w:val="none" w:sz="0" w:space="0" w:color="auto"/>
            <w:right w:val="none" w:sz="0" w:space="0" w:color="auto"/>
          </w:divBdr>
          <w:divsChild>
            <w:div w:id="1882473705">
              <w:marLeft w:val="0"/>
              <w:marRight w:val="0"/>
              <w:marTop w:val="0"/>
              <w:marBottom w:val="0"/>
              <w:divBdr>
                <w:top w:val="none" w:sz="0" w:space="0" w:color="auto"/>
                <w:left w:val="none" w:sz="0" w:space="0" w:color="auto"/>
                <w:bottom w:val="none" w:sz="0" w:space="0" w:color="auto"/>
                <w:right w:val="none" w:sz="0" w:space="0" w:color="auto"/>
              </w:divBdr>
              <w:divsChild>
                <w:div w:id="689113929">
                  <w:marLeft w:val="0"/>
                  <w:marRight w:val="0"/>
                  <w:marTop w:val="0"/>
                  <w:marBottom w:val="0"/>
                  <w:divBdr>
                    <w:top w:val="none" w:sz="0" w:space="0" w:color="auto"/>
                    <w:left w:val="none" w:sz="0" w:space="0" w:color="auto"/>
                    <w:bottom w:val="none" w:sz="0" w:space="0" w:color="auto"/>
                    <w:right w:val="none" w:sz="0" w:space="0" w:color="auto"/>
                  </w:divBdr>
                  <w:divsChild>
                    <w:div w:id="2050301978">
                      <w:marLeft w:val="0"/>
                      <w:marRight w:val="0"/>
                      <w:marTop w:val="0"/>
                      <w:marBottom w:val="0"/>
                      <w:divBdr>
                        <w:top w:val="none" w:sz="0" w:space="0" w:color="auto"/>
                        <w:left w:val="none" w:sz="0" w:space="0" w:color="auto"/>
                        <w:bottom w:val="none" w:sz="0" w:space="0" w:color="auto"/>
                        <w:right w:val="none" w:sz="0" w:space="0" w:color="auto"/>
                      </w:divBdr>
                      <w:divsChild>
                        <w:div w:id="262421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4194300">
      <w:bodyDiv w:val="1"/>
      <w:marLeft w:val="0"/>
      <w:marRight w:val="0"/>
      <w:marTop w:val="0"/>
      <w:marBottom w:val="0"/>
      <w:divBdr>
        <w:top w:val="none" w:sz="0" w:space="0" w:color="auto"/>
        <w:left w:val="none" w:sz="0" w:space="0" w:color="auto"/>
        <w:bottom w:val="none" w:sz="0" w:space="0" w:color="auto"/>
        <w:right w:val="none" w:sz="0" w:space="0" w:color="auto"/>
      </w:divBdr>
      <w:divsChild>
        <w:div w:id="1754205748">
          <w:marLeft w:val="0"/>
          <w:marRight w:val="0"/>
          <w:marTop w:val="0"/>
          <w:marBottom w:val="0"/>
          <w:divBdr>
            <w:top w:val="none" w:sz="0" w:space="0" w:color="auto"/>
            <w:left w:val="none" w:sz="0" w:space="0" w:color="auto"/>
            <w:bottom w:val="none" w:sz="0" w:space="0" w:color="auto"/>
            <w:right w:val="none" w:sz="0" w:space="0" w:color="auto"/>
          </w:divBdr>
          <w:divsChild>
            <w:div w:id="742917236">
              <w:marLeft w:val="0"/>
              <w:marRight w:val="0"/>
              <w:marTop w:val="0"/>
              <w:marBottom w:val="0"/>
              <w:divBdr>
                <w:top w:val="none" w:sz="0" w:space="0" w:color="auto"/>
                <w:left w:val="none" w:sz="0" w:space="0" w:color="auto"/>
                <w:bottom w:val="none" w:sz="0" w:space="0" w:color="auto"/>
                <w:right w:val="none" w:sz="0" w:space="0" w:color="auto"/>
              </w:divBdr>
              <w:divsChild>
                <w:div w:id="1521049614">
                  <w:marLeft w:val="0"/>
                  <w:marRight w:val="0"/>
                  <w:marTop w:val="0"/>
                  <w:marBottom w:val="0"/>
                  <w:divBdr>
                    <w:top w:val="none" w:sz="0" w:space="0" w:color="auto"/>
                    <w:left w:val="none" w:sz="0" w:space="0" w:color="auto"/>
                    <w:bottom w:val="none" w:sz="0" w:space="0" w:color="auto"/>
                    <w:right w:val="none" w:sz="0" w:space="0" w:color="auto"/>
                  </w:divBdr>
                  <w:divsChild>
                    <w:div w:id="1008217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7367362">
      <w:bodyDiv w:val="1"/>
      <w:marLeft w:val="0"/>
      <w:marRight w:val="0"/>
      <w:marTop w:val="0"/>
      <w:marBottom w:val="0"/>
      <w:divBdr>
        <w:top w:val="none" w:sz="0" w:space="0" w:color="auto"/>
        <w:left w:val="none" w:sz="0" w:space="0" w:color="auto"/>
        <w:bottom w:val="none" w:sz="0" w:space="0" w:color="auto"/>
        <w:right w:val="none" w:sz="0" w:space="0" w:color="auto"/>
      </w:divBdr>
    </w:div>
    <w:div w:id="1769078809">
      <w:bodyDiv w:val="1"/>
      <w:marLeft w:val="0"/>
      <w:marRight w:val="0"/>
      <w:marTop w:val="0"/>
      <w:marBottom w:val="0"/>
      <w:divBdr>
        <w:top w:val="none" w:sz="0" w:space="0" w:color="auto"/>
        <w:left w:val="none" w:sz="0" w:space="0" w:color="auto"/>
        <w:bottom w:val="none" w:sz="0" w:space="0" w:color="auto"/>
        <w:right w:val="none" w:sz="0" w:space="0" w:color="auto"/>
      </w:divBdr>
    </w:div>
    <w:div w:id="1781872167">
      <w:bodyDiv w:val="1"/>
      <w:marLeft w:val="0"/>
      <w:marRight w:val="0"/>
      <w:marTop w:val="0"/>
      <w:marBottom w:val="0"/>
      <w:divBdr>
        <w:top w:val="none" w:sz="0" w:space="0" w:color="auto"/>
        <w:left w:val="none" w:sz="0" w:space="0" w:color="auto"/>
        <w:bottom w:val="none" w:sz="0" w:space="0" w:color="auto"/>
        <w:right w:val="none" w:sz="0" w:space="0" w:color="auto"/>
      </w:divBdr>
    </w:div>
    <w:div w:id="1829444783">
      <w:bodyDiv w:val="1"/>
      <w:marLeft w:val="0"/>
      <w:marRight w:val="0"/>
      <w:marTop w:val="0"/>
      <w:marBottom w:val="0"/>
      <w:divBdr>
        <w:top w:val="none" w:sz="0" w:space="0" w:color="auto"/>
        <w:left w:val="none" w:sz="0" w:space="0" w:color="auto"/>
        <w:bottom w:val="none" w:sz="0" w:space="0" w:color="auto"/>
        <w:right w:val="none" w:sz="0" w:space="0" w:color="auto"/>
      </w:divBdr>
    </w:div>
    <w:div w:id="1829591305">
      <w:bodyDiv w:val="1"/>
      <w:marLeft w:val="0"/>
      <w:marRight w:val="0"/>
      <w:marTop w:val="0"/>
      <w:marBottom w:val="0"/>
      <w:divBdr>
        <w:top w:val="none" w:sz="0" w:space="0" w:color="auto"/>
        <w:left w:val="none" w:sz="0" w:space="0" w:color="auto"/>
        <w:bottom w:val="none" w:sz="0" w:space="0" w:color="auto"/>
        <w:right w:val="none" w:sz="0" w:space="0" w:color="auto"/>
      </w:divBdr>
      <w:divsChild>
        <w:div w:id="284888922">
          <w:marLeft w:val="0"/>
          <w:marRight w:val="0"/>
          <w:marTop w:val="0"/>
          <w:marBottom w:val="0"/>
          <w:divBdr>
            <w:top w:val="none" w:sz="0" w:space="0" w:color="auto"/>
            <w:left w:val="none" w:sz="0" w:space="0" w:color="auto"/>
            <w:bottom w:val="none" w:sz="0" w:space="0" w:color="auto"/>
            <w:right w:val="none" w:sz="0" w:space="0" w:color="auto"/>
          </w:divBdr>
          <w:divsChild>
            <w:div w:id="1852332662">
              <w:marLeft w:val="0"/>
              <w:marRight w:val="0"/>
              <w:marTop w:val="0"/>
              <w:marBottom w:val="0"/>
              <w:divBdr>
                <w:top w:val="none" w:sz="0" w:space="0" w:color="auto"/>
                <w:left w:val="none" w:sz="0" w:space="0" w:color="auto"/>
                <w:bottom w:val="none" w:sz="0" w:space="0" w:color="auto"/>
                <w:right w:val="none" w:sz="0" w:space="0" w:color="auto"/>
              </w:divBdr>
            </w:div>
          </w:divsChild>
        </w:div>
        <w:div w:id="1693651355">
          <w:marLeft w:val="0"/>
          <w:marRight w:val="0"/>
          <w:marTop w:val="0"/>
          <w:marBottom w:val="0"/>
          <w:divBdr>
            <w:top w:val="none" w:sz="0" w:space="0" w:color="auto"/>
            <w:left w:val="none" w:sz="0" w:space="0" w:color="auto"/>
            <w:bottom w:val="none" w:sz="0" w:space="0" w:color="auto"/>
            <w:right w:val="none" w:sz="0" w:space="0" w:color="auto"/>
          </w:divBdr>
        </w:div>
      </w:divsChild>
    </w:div>
    <w:div w:id="1890458404">
      <w:bodyDiv w:val="1"/>
      <w:marLeft w:val="0"/>
      <w:marRight w:val="0"/>
      <w:marTop w:val="0"/>
      <w:marBottom w:val="0"/>
      <w:divBdr>
        <w:top w:val="none" w:sz="0" w:space="0" w:color="auto"/>
        <w:left w:val="none" w:sz="0" w:space="0" w:color="auto"/>
        <w:bottom w:val="none" w:sz="0" w:space="0" w:color="auto"/>
        <w:right w:val="none" w:sz="0" w:space="0" w:color="auto"/>
      </w:divBdr>
      <w:divsChild>
        <w:div w:id="1781490331">
          <w:marLeft w:val="0"/>
          <w:marRight w:val="0"/>
          <w:marTop w:val="0"/>
          <w:marBottom w:val="0"/>
          <w:divBdr>
            <w:top w:val="none" w:sz="0" w:space="0" w:color="auto"/>
            <w:left w:val="none" w:sz="0" w:space="0" w:color="auto"/>
            <w:bottom w:val="none" w:sz="0" w:space="0" w:color="auto"/>
            <w:right w:val="none" w:sz="0" w:space="0" w:color="auto"/>
          </w:divBdr>
        </w:div>
      </w:divsChild>
    </w:div>
    <w:div w:id="1957368592">
      <w:bodyDiv w:val="1"/>
      <w:marLeft w:val="0"/>
      <w:marRight w:val="0"/>
      <w:marTop w:val="0"/>
      <w:marBottom w:val="0"/>
      <w:divBdr>
        <w:top w:val="none" w:sz="0" w:space="0" w:color="auto"/>
        <w:left w:val="none" w:sz="0" w:space="0" w:color="auto"/>
        <w:bottom w:val="none" w:sz="0" w:space="0" w:color="auto"/>
        <w:right w:val="none" w:sz="0" w:space="0" w:color="auto"/>
      </w:divBdr>
    </w:div>
    <w:div w:id="1971091892">
      <w:bodyDiv w:val="1"/>
      <w:marLeft w:val="0"/>
      <w:marRight w:val="0"/>
      <w:marTop w:val="0"/>
      <w:marBottom w:val="0"/>
      <w:divBdr>
        <w:top w:val="none" w:sz="0" w:space="0" w:color="auto"/>
        <w:left w:val="none" w:sz="0" w:space="0" w:color="auto"/>
        <w:bottom w:val="none" w:sz="0" w:space="0" w:color="auto"/>
        <w:right w:val="none" w:sz="0" w:space="0" w:color="auto"/>
      </w:divBdr>
      <w:divsChild>
        <w:div w:id="739668525">
          <w:marLeft w:val="0"/>
          <w:marRight w:val="0"/>
          <w:marTop w:val="0"/>
          <w:marBottom w:val="0"/>
          <w:divBdr>
            <w:top w:val="none" w:sz="0" w:space="0" w:color="auto"/>
            <w:left w:val="none" w:sz="0" w:space="0" w:color="auto"/>
            <w:bottom w:val="none" w:sz="0" w:space="0" w:color="auto"/>
            <w:right w:val="none" w:sz="0" w:space="0" w:color="auto"/>
          </w:divBdr>
        </w:div>
        <w:div w:id="1147823067">
          <w:marLeft w:val="0"/>
          <w:marRight w:val="0"/>
          <w:marTop w:val="150"/>
          <w:marBottom w:val="0"/>
          <w:divBdr>
            <w:top w:val="none" w:sz="0" w:space="0" w:color="auto"/>
            <w:left w:val="none" w:sz="0" w:space="0" w:color="auto"/>
            <w:bottom w:val="none" w:sz="0" w:space="0" w:color="auto"/>
            <w:right w:val="none" w:sz="0" w:space="0" w:color="auto"/>
          </w:divBdr>
        </w:div>
      </w:divsChild>
    </w:div>
    <w:div w:id="2035614415">
      <w:bodyDiv w:val="1"/>
      <w:marLeft w:val="0"/>
      <w:marRight w:val="0"/>
      <w:marTop w:val="0"/>
      <w:marBottom w:val="0"/>
      <w:divBdr>
        <w:top w:val="none" w:sz="0" w:space="0" w:color="auto"/>
        <w:left w:val="none" w:sz="0" w:space="0" w:color="auto"/>
        <w:bottom w:val="none" w:sz="0" w:space="0" w:color="auto"/>
        <w:right w:val="none" w:sz="0" w:space="0" w:color="auto"/>
      </w:divBdr>
    </w:div>
    <w:div w:id="2096707102">
      <w:bodyDiv w:val="1"/>
      <w:marLeft w:val="0"/>
      <w:marRight w:val="0"/>
      <w:marTop w:val="0"/>
      <w:marBottom w:val="0"/>
      <w:divBdr>
        <w:top w:val="none" w:sz="0" w:space="0" w:color="auto"/>
        <w:left w:val="none" w:sz="0" w:space="0" w:color="auto"/>
        <w:bottom w:val="none" w:sz="0" w:space="0" w:color="auto"/>
        <w:right w:val="none" w:sz="0" w:space="0" w:color="auto"/>
      </w:divBdr>
    </w:div>
    <w:div w:id="2108114478">
      <w:bodyDiv w:val="1"/>
      <w:marLeft w:val="0"/>
      <w:marRight w:val="0"/>
      <w:marTop w:val="0"/>
      <w:marBottom w:val="0"/>
      <w:divBdr>
        <w:top w:val="none" w:sz="0" w:space="0" w:color="auto"/>
        <w:left w:val="none" w:sz="0" w:space="0" w:color="auto"/>
        <w:bottom w:val="none" w:sz="0" w:space="0" w:color="auto"/>
        <w:right w:val="none" w:sz="0" w:space="0" w:color="auto"/>
      </w:divBdr>
      <w:divsChild>
        <w:div w:id="263851462">
          <w:marLeft w:val="0"/>
          <w:marRight w:val="0"/>
          <w:marTop w:val="0"/>
          <w:marBottom w:val="0"/>
          <w:divBdr>
            <w:top w:val="none" w:sz="0" w:space="0" w:color="auto"/>
            <w:left w:val="none" w:sz="0" w:space="0" w:color="auto"/>
            <w:bottom w:val="none" w:sz="0" w:space="0" w:color="auto"/>
            <w:right w:val="none" w:sz="0" w:space="0" w:color="auto"/>
          </w:divBdr>
        </w:div>
      </w:divsChild>
    </w:div>
    <w:div w:id="2118060282">
      <w:bodyDiv w:val="1"/>
      <w:marLeft w:val="0"/>
      <w:marRight w:val="0"/>
      <w:marTop w:val="0"/>
      <w:marBottom w:val="0"/>
      <w:divBdr>
        <w:top w:val="none" w:sz="0" w:space="0" w:color="auto"/>
        <w:left w:val="none" w:sz="0" w:space="0" w:color="auto"/>
        <w:bottom w:val="none" w:sz="0" w:space="0" w:color="auto"/>
        <w:right w:val="none" w:sz="0" w:space="0" w:color="auto"/>
      </w:divBdr>
      <w:divsChild>
        <w:div w:id="837115510">
          <w:marLeft w:val="0"/>
          <w:marRight w:val="0"/>
          <w:marTop w:val="0"/>
          <w:marBottom w:val="0"/>
          <w:divBdr>
            <w:top w:val="none" w:sz="0" w:space="0" w:color="auto"/>
            <w:left w:val="none" w:sz="0" w:space="0" w:color="auto"/>
            <w:bottom w:val="none" w:sz="0" w:space="0" w:color="auto"/>
            <w:right w:val="none" w:sz="0" w:space="0" w:color="auto"/>
          </w:divBdr>
          <w:divsChild>
            <w:div w:id="727848279">
              <w:marLeft w:val="0"/>
              <w:marRight w:val="0"/>
              <w:marTop w:val="0"/>
              <w:marBottom w:val="0"/>
              <w:divBdr>
                <w:top w:val="none" w:sz="0" w:space="0" w:color="auto"/>
                <w:left w:val="none" w:sz="0" w:space="0" w:color="auto"/>
                <w:bottom w:val="none" w:sz="0" w:space="0" w:color="auto"/>
                <w:right w:val="none" w:sz="0" w:space="0" w:color="auto"/>
              </w:divBdr>
              <w:divsChild>
                <w:div w:id="1740588652">
                  <w:marLeft w:val="0"/>
                  <w:marRight w:val="0"/>
                  <w:marTop w:val="0"/>
                  <w:marBottom w:val="0"/>
                  <w:divBdr>
                    <w:top w:val="none" w:sz="0" w:space="0" w:color="auto"/>
                    <w:left w:val="none" w:sz="0" w:space="0" w:color="auto"/>
                    <w:bottom w:val="none" w:sz="0" w:space="0" w:color="auto"/>
                    <w:right w:val="none" w:sz="0" w:space="0" w:color="auto"/>
                  </w:divBdr>
                  <w:divsChild>
                    <w:div w:id="342631953">
                      <w:marLeft w:val="0"/>
                      <w:marRight w:val="0"/>
                      <w:marTop w:val="0"/>
                      <w:marBottom w:val="0"/>
                      <w:divBdr>
                        <w:top w:val="none" w:sz="0" w:space="0" w:color="auto"/>
                        <w:left w:val="none" w:sz="0" w:space="0" w:color="auto"/>
                        <w:bottom w:val="none" w:sz="0" w:space="0" w:color="auto"/>
                        <w:right w:val="none" w:sz="0" w:space="0" w:color="auto"/>
                      </w:divBdr>
                      <w:divsChild>
                        <w:div w:id="1502965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461468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header" Target="header16.xml"/><Relationship Id="rId21" Type="http://schemas.openxmlformats.org/officeDocument/2006/relationships/footer" Target="footer3.xml"/><Relationship Id="rId42" Type="http://schemas.openxmlformats.org/officeDocument/2006/relationships/hyperlink" Target="https://ecqi.healthit.gov/ecqm/hosp-inpt/2026/cms0986v5" TargetMode="External"/><Relationship Id="rId63" Type="http://schemas.microsoft.com/office/2018/08/relationships/commentsExtensible" Target="commentsExtensible.xml"/><Relationship Id="rId84" Type="http://schemas.openxmlformats.org/officeDocument/2006/relationships/hyperlink" Target="https://ecqi.healthit.gov/mc-workspace-2/data-element-repository" TargetMode="External"/><Relationship Id="rId138" Type="http://schemas.openxmlformats.org/officeDocument/2006/relationships/hyperlink" Target="https://oncprojectracking.healthit.gov/support/secure/Dashboard.jspa?selectPageId=19401" TargetMode="External"/><Relationship Id="rId159" Type="http://schemas.openxmlformats.org/officeDocument/2006/relationships/header" Target="header30.xml"/><Relationship Id="rId170" Type="http://schemas.openxmlformats.org/officeDocument/2006/relationships/header" Target="header37.xml"/><Relationship Id="rId107" Type="http://schemas.openxmlformats.org/officeDocument/2006/relationships/hyperlink" Target="https://ecqi.healthit.gov/ecqm/ec/2025/cms0002v14?qt-tabs_measure=measure-information" TargetMode="External"/><Relationship Id="rId11" Type="http://schemas.openxmlformats.org/officeDocument/2006/relationships/settings" Target="settings.xml"/><Relationship Id="rId32" Type="http://schemas.openxmlformats.org/officeDocument/2006/relationships/footer" Target="footer5.xml"/><Relationship Id="rId53" Type="http://schemas.openxmlformats.org/officeDocument/2006/relationships/hyperlink" Target="https://ecqi.healthit.gov/eh-cah?qt-tabs_eh=eh-cah-ecqms&amp;global_measure_group=eCQMs" TargetMode="External"/><Relationship Id="rId74" Type="http://schemas.openxmlformats.org/officeDocument/2006/relationships/hyperlink" Target="https://cql.hl7.org/05-languagesemantics.html" TargetMode="External"/><Relationship Id="rId128" Type="http://schemas.openxmlformats.org/officeDocument/2006/relationships/hyperlink" Target="https://oncprojectracking.healthit.gov/" TargetMode="External"/><Relationship Id="rId149" Type="http://schemas.openxmlformats.org/officeDocument/2006/relationships/header" Target="header22.xml"/><Relationship Id="rId5" Type="http://schemas.openxmlformats.org/officeDocument/2006/relationships/customXml" Target="../customXml/item5.xml"/><Relationship Id="rId95" Type="http://schemas.openxmlformats.org/officeDocument/2006/relationships/hyperlink" Target="https://ecqi.healthit.gov/ecqm/ec/2026/cms0124v14" TargetMode="External"/><Relationship Id="rId160" Type="http://schemas.openxmlformats.org/officeDocument/2006/relationships/image" Target="media/image2.png"/><Relationship Id="rId22" Type="http://schemas.openxmlformats.org/officeDocument/2006/relationships/header" Target="header4.xml"/><Relationship Id="rId43" Type="http://schemas.openxmlformats.org/officeDocument/2006/relationships/hyperlink" Target="https://ecqi.healthit.gov/taxonomy/term/771" TargetMode="External"/><Relationship Id="rId64" Type="http://schemas.openxmlformats.org/officeDocument/2006/relationships/hyperlink" Target="https://ecqi.healthit.gov/cql" TargetMode="External"/><Relationship Id="rId118" Type="http://schemas.openxmlformats.org/officeDocument/2006/relationships/header" Target="header17.xml"/><Relationship Id="rId139" Type="http://schemas.openxmlformats.org/officeDocument/2006/relationships/hyperlink" Target="https://oncprojectracking.healthit.gov/support/projects/USCDIQ/summary" TargetMode="External"/><Relationship Id="rId85" Type="http://schemas.openxmlformats.org/officeDocument/2006/relationships/hyperlink" Target="https://ecqi.healthit.gov/glossary/qdm-attribute" TargetMode="External"/><Relationship Id="rId150" Type="http://schemas.openxmlformats.org/officeDocument/2006/relationships/header" Target="header23.xml"/><Relationship Id="rId171" Type="http://schemas.openxmlformats.org/officeDocument/2006/relationships/header" Target="header38.xml"/><Relationship Id="rId12" Type="http://schemas.openxmlformats.org/officeDocument/2006/relationships/webSettings" Target="webSettings.xml"/><Relationship Id="rId33" Type="http://schemas.openxmlformats.org/officeDocument/2006/relationships/header" Target="header9.xml"/><Relationship Id="rId108" Type="http://schemas.openxmlformats.org/officeDocument/2006/relationships/hyperlink" Target="https://ecqi.healthit.gov/ecqm/ec/2026/cms0002v15" TargetMode="External"/><Relationship Id="rId129" Type="http://schemas.openxmlformats.org/officeDocument/2006/relationships/hyperlink" Target="https://oncprojectracking.healthit.gov/support/projects/CHM/summary" TargetMode="External"/><Relationship Id="rId54" Type="http://schemas.openxmlformats.org/officeDocument/2006/relationships/hyperlink" Target="https://ecqi.healthit.gov/oqr?qt-tabs_oqr=oqr-ecqms&amp;global_measure_group=eCQMs" TargetMode="External"/><Relationship Id="rId75" Type="http://schemas.openxmlformats.org/officeDocument/2006/relationships/hyperlink" Target="https://cql.hl7.org/15-h-timeintervalcalculations.html" TargetMode="External"/><Relationship Id="rId96" Type="http://schemas.openxmlformats.org/officeDocument/2006/relationships/hyperlink" Target="https://cql.hl7.org/09-b-cqlreference.html" TargetMode="External"/><Relationship Id="rId140" Type="http://schemas.openxmlformats.org/officeDocument/2006/relationships/header" Target="header19.xml"/><Relationship Id="rId161" Type="http://schemas.openxmlformats.org/officeDocument/2006/relationships/header" Target="header31.xml"/><Relationship Id="rId1" Type="http://schemas.openxmlformats.org/officeDocument/2006/relationships/customXml" Target="../customXml/item1.xml"/><Relationship Id="rId6" Type="http://schemas.openxmlformats.org/officeDocument/2006/relationships/customXml" Target="../customXml/item6.xml"/><Relationship Id="rId23" Type="http://schemas.openxmlformats.org/officeDocument/2006/relationships/header" Target="header5.xml"/><Relationship Id="rId28" Type="http://schemas.openxmlformats.org/officeDocument/2006/relationships/hyperlink" Target="https://ecqi.healthit.gov/ecqi-tools-key-resources" TargetMode="External"/><Relationship Id="rId49" Type="http://schemas.openxmlformats.org/officeDocument/2006/relationships/header" Target="header11.xml"/><Relationship Id="rId114" Type="http://schemas.openxmlformats.org/officeDocument/2006/relationships/hyperlink" Target="https://www.federalregister.gov/documents/2024/01/09/2023-28857/health-data-technology-and-interoperability-certification-program-updates-algorithm-transparency-and" TargetMode="External"/><Relationship Id="rId119" Type="http://schemas.openxmlformats.org/officeDocument/2006/relationships/footer" Target="footer11.xml"/><Relationship Id="rId44" Type="http://schemas.openxmlformats.org/officeDocument/2006/relationships/hyperlink" Target="https://ecqi.healthit.gov/ecqm/hosp-inpt/2026/cms0871v5" TargetMode="External"/><Relationship Id="rId60" Type="http://schemas.openxmlformats.org/officeDocument/2006/relationships/comments" Target="comments.xml"/><Relationship Id="rId65" Type="http://schemas.openxmlformats.org/officeDocument/2006/relationships/hyperlink" Target="https://ecqi.healthit.gov/sites/default/files/QDM-v5.6-508.pdf" TargetMode="External"/><Relationship Id="rId81" Type="http://schemas.openxmlformats.org/officeDocument/2006/relationships/footer" Target="footer10.xml"/><Relationship Id="rId86" Type="http://schemas.openxmlformats.org/officeDocument/2006/relationships/hyperlink" Target="https://ecqi.healthit.gov/glossary/qdm-category" TargetMode="External"/><Relationship Id="rId130" Type="http://schemas.openxmlformats.org/officeDocument/2006/relationships/hyperlink" Target="https://oncprojectracking.healthit.gov/support/projects/CQLIT/summary" TargetMode="External"/><Relationship Id="rId135" Type="http://schemas.openxmlformats.org/officeDocument/2006/relationships/hyperlink" Target="https://oncprojectracking.healthit.gov/support/projects/QDM/summary" TargetMode="External"/><Relationship Id="rId151" Type="http://schemas.openxmlformats.org/officeDocument/2006/relationships/footer" Target="footer14.xml"/><Relationship Id="rId156" Type="http://schemas.openxmlformats.org/officeDocument/2006/relationships/hyperlink" Target="https://ecqi.healthit.gov/ecqi-tools-key-resources?qt-teste=ecqm-standards-and-tools-versions" TargetMode="External"/><Relationship Id="rId172" Type="http://schemas.openxmlformats.org/officeDocument/2006/relationships/header" Target="header39.xml"/><Relationship Id="rId13" Type="http://schemas.openxmlformats.org/officeDocument/2006/relationships/footnotes" Target="footnotes.xml"/><Relationship Id="rId18" Type="http://schemas.openxmlformats.org/officeDocument/2006/relationships/footer" Target="footer1.xml"/><Relationship Id="rId39" Type="http://schemas.openxmlformats.org/officeDocument/2006/relationships/hyperlink" Target="https://ecqi.healthit.gov/ecqm/ec/2026/cms0145v14" TargetMode="External"/><Relationship Id="rId109" Type="http://schemas.openxmlformats.org/officeDocument/2006/relationships/hyperlink" Target="https://ecqi.healthit.gov/ecqm/hosp-inpt/2026/cms0108v14" TargetMode="External"/><Relationship Id="rId34" Type="http://schemas.openxmlformats.org/officeDocument/2006/relationships/footer" Target="footer6.xml"/><Relationship Id="rId50" Type="http://schemas.openxmlformats.org/officeDocument/2006/relationships/footer" Target="footer7.xml"/><Relationship Id="rId55" Type="http://schemas.openxmlformats.org/officeDocument/2006/relationships/hyperlink" Target="https://ecqi.healthit.gov/ep-ec?qt-tabs_ep=ec-ecqms&amp;global_measure_group=eCQMs" TargetMode="External"/><Relationship Id="rId76" Type="http://schemas.openxmlformats.org/officeDocument/2006/relationships/hyperlink" Target="https://cql.hl7.org/02-authorsguide.html" TargetMode="External"/><Relationship Id="rId97" Type="http://schemas.openxmlformats.org/officeDocument/2006/relationships/hyperlink" Target="https://mmshub.cms.gov/tools-and-resources/mms-supplemental-materials" TargetMode="External"/><Relationship Id="rId104" Type="http://schemas.openxmlformats.org/officeDocument/2006/relationships/hyperlink" Target="https://ecqi.healthit.gov/ecqm/hosp-inpt/2026/cms0104v14" TargetMode="External"/><Relationship Id="rId120" Type="http://schemas.openxmlformats.org/officeDocument/2006/relationships/header" Target="header18.xml"/><Relationship Id="rId125" Type="http://schemas.openxmlformats.org/officeDocument/2006/relationships/hyperlink" Target="https://ecqi.healthit.gov/oqr/ecqms?global_measure_group=eCQMs" TargetMode="External"/><Relationship Id="rId141" Type="http://schemas.openxmlformats.org/officeDocument/2006/relationships/header" Target="header20.xml"/><Relationship Id="rId146" Type="http://schemas.openxmlformats.org/officeDocument/2006/relationships/hyperlink" Target="https://cmsqualitysupport.servicenowservices.com/ccsq_support_central" TargetMode="External"/><Relationship Id="rId167" Type="http://schemas.openxmlformats.org/officeDocument/2006/relationships/header" Target="header34.xml"/><Relationship Id="rId7" Type="http://schemas.openxmlformats.org/officeDocument/2006/relationships/customXml" Target="../customXml/item7.xml"/><Relationship Id="rId71" Type="http://schemas.openxmlformats.org/officeDocument/2006/relationships/hyperlink" Target="https://ecqi.healthit.gov/ecqm/ec/2026/cms0124v14" TargetMode="External"/><Relationship Id="rId92" Type="http://schemas.openxmlformats.org/officeDocument/2006/relationships/hyperlink" Target="https://nam12.safelinks.protection.outlook.com/?url=https%3A%2F%2Fwww.nlm.nih.gov%2Fresearch%2Fumls%2Findex.html%3F_gl%3D1*m7sdtq*_ga*Njg0MjMxNDk2LjE2NDE1ODg2NDk.*_ga_7147EPK006*MTY0NzM2Njg3MC4xLjEuMTY0NzM2NzU2Ny4w&amp;data=04%7C01%7CCCastro%40mathematica-mpr.com%7C49589fae64564465caa208da06aee0bc%7C13af8d650b4b4c0fa446a427419abfd6%7C0%7C0%7C637829645423102121%7CUnknown%7CTWFpbGZsb3d8eyJWIjoiMC4wLjAwMDAiLCJQIjoiV2luMzIiLCJBTiI6Ik1haWwiLCJXVCI6Mn0%3D%7C3000&amp;sdata=PoeC7uaGAt3OKz%2FTKoPmCpKmQQYI0EcM3sccgZrFcww%3D&amp;reserved=0" TargetMode="External"/><Relationship Id="rId162" Type="http://schemas.openxmlformats.org/officeDocument/2006/relationships/header" Target="header32.xml"/><Relationship Id="rId2" Type="http://schemas.openxmlformats.org/officeDocument/2006/relationships/customXml" Target="../customXml/item2.xml"/><Relationship Id="rId29" Type="http://schemas.openxmlformats.org/officeDocument/2006/relationships/hyperlink" Target="https://ecqi.healthit.gov/" TargetMode="External"/><Relationship Id="rId24" Type="http://schemas.openxmlformats.org/officeDocument/2006/relationships/header" Target="header6.xml"/><Relationship Id="rId40" Type="http://schemas.openxmlformats.org/officeDocument/2006/relationships/hyperlink" Target="https://ecqi.healthit.gov/ecqm/ec/2026/cms0128v14" TargetMode="External"/><Relationship Id="rId45" Type="http://schemas.openxmlformats.org/officeDocument/2006/relationships/hyperlink" Target="https://mmshub.cms.gov/tools-and-resources/mms-supplemental-materials" TargetMode="External"/><Relationship Id="rId66" Type="http://schemas.openxmlformats.org/officeDocument/2006/relationships/hyperlink" Target="https://github.com/esacinc/CQL-Formatting-and-Usage-Wiki" TargetMode="External"/><Relationship Id="rId87" Type="http://schemas.openxmlformats.org/officeDocument/2006/relationships/hyperlink" Target="https://ecqi.healthit.gov/glossary/qdm-datatype" TargetMode="External"/><Relationship Id="rId110" Type="http://schemas.openxmlformats.org/officeDocument/2006/relationships/hyperlink" Target="https://ecqi.healthit.gov/qrda" TargetMode="External"/><Relationship Id="rId115" Type="http://schemas.openxmlformats.org/officeDocument/2006/relationships/hyperlink" Target="https://vsac.nlm.nih.gov/download/ecqm" TargetMode="External"/><Relationship Id="rId131" Type="http://schemas.openxmlformats.org/officeDocument/2006/relationships/hyperlink" Target="https://oncprojectracking.healthit.gov/support/projects/CYPRESS/summary" TargetMode="External"/><Relationship Id="rId136" Type="http://schemas.openxmlformats.org/officeDocument/2006/relationships/hyperlink" Target="https://oncprojectracking.healthit.gov/support/projects/QRDA/summary" TargetMode="External"/><Relationship Id="rId157" Type="http://schemas.openxmlformats.org/officeDocument/2006/relationships/header" Target="header28.xml"/><Relationship Id="rId61" Type="http://schemas.microsoft.com/office/2011/relationships/commentsExtended" Target="commentsExtended.xml"/><Relationship Id="rId82" Type="http://schemas.openxmlformats.org/officeDocument/2006/relationships/hyperlink" Target="https://ecqi.healthit.gov/qdm" TargetMode="External"/><Relationship Id="rId152" Type="http://schemas.openxmlformats.org/officeDocument/2006/relationships/header" Target="header24.xml"/><Relationship Id="rId173" Type="http://schemas.openxmlformats.org/officeDocument/2006/relationships/fontTable" Target="fontTable.xml"/><Relationship Id="rId19" Type="http://schemas.openxmlformats.org/officeDocument/2006/relationships/footer" Target="footer2.xml"/><Relationship Id="rId14" Type="http://schemas.openxmlformats.org/officeDocument/2006/relationships/endnotes" Target="endnotes.xml"/><Relationship Id="rId30" Type="http://schemas.openxmlformats.org/officeDocument/2006/relationships/header" Target="header7.xml"/><Relationship Id="rId35" Type="http://schemas.openxmlformats.org/officeDocument/2006/relationships/hyperlink" Target="https://ecqi.healthit.gov/ecqm/ec/2026/cms0124v14" TargetMode="External"/><Relationship Id="rId56" Type="http://schemas.openxmlformats.org/officeDocument/2006/relationships/hyperlink" Target="http://www.hl7.org/implement/standards/product_brief.cfm?product_id=405" TargetMode="External"/><Relationship Id="rId77" Type="http://schemas.openxmlformats.org/officeDocument/2006/relationships/header" Target="header13.xml"/><Relationship Id="rId100" Type="http://schemas.openxmlformats.org/officeDocument/2006/relationships/hyperlink" Target="https://oncprojectracking.healthit.gov/support/projects/QDM/summary" TargetMode="External"/><Relationship Id="rId105" Type="http://schemas.openxmlformats.org/officeDocument/2006/relationships/hyperlink" Target="https://ecqi.healthit.gov/ecqm/hosp-inpt/2026/cms0108v14" TargetMode="External"/><Relationship Id="rId126" Type="http://schemas.openxmlformats.org/officeDocument/2006/relationships/hyperlink" Target="https://ecqi.healthit.gov/" TargetMode="External"/><Relationship Id="rId147" Type="http://schemas.openxmlformats.org/officeDocument/2006/relationships/hyperlink" Target="mailto:QPP@cms.hhs.gov" TargetMode="External"/><Relationship Id="rId168" Type="http://schemas.openxmlformats.org/officeDocument/2006/relationships/header" Target="header35.xml"/><Relationship Id="rId8" Type="http://schemas.openxmlformats.org/officeDocument/2006/relationships/customXml" Target="../customXml/item8.xml"/><Relationship Id="rId51" Type="http://schemas.openxmlformats.org/officeDocument/2006/relationships/header" Target="header12.xml"/><Relationship Id="rId72" Type="http://schemas.openxmlformats.org/officeDocument/2006/relationships/hyperlink" Target="https://ecqi.healthit.gov/ecqm/ec/2026/cms0146v14" TargetMode="External"/><Relationship Id="rId93" Type="http://schemas.openxmlformats.org/officeDocument/2006/relationships/hyperlink" Target="https://nam12.safelinks.protection.outlook.com/?url=https%3A%2F%2Fwww.nlm.nih.gov%2Fresearch%2Fumls%2Findex.html%3F_gl%3D1*m7sdtq*_ga*Njg0MjMxNDk2LjE2NDE1ODg2NDk.*_ga_7147EPK006*MTY0NzM2Njg3MC4xLjEuMTY0NzM2NzU2Ny4w&amp;data=04%7C01%7CCCastro%40mathematica-mpr.com%7C49589fae64564465caa208da06aee0bc%7C13af8d650b4b4c0fa446a427419abfd6%7C0%7C0%7C637829645423102121%7CUnknown%7CTWFpbGZsb3d8eyJWIjoiMC4wLjAwMDAiLCJQIjoiV2luMzIiLCJBTiI6Ik1haWwiLCJXVCI6Mn0%3D%7C3000&amp;sdata=PoeC7uaGAt3OKz%2FTKoPmCpKmQQYI0EcM3sccgZrFcww%3D&amp;reserved=0" TargetMode="External"/><Relationship Id="rId98" Type="http://schemas.openxmlformats.org/officeDocument/2006/relationships/hyperlink" Target="https://vsac.nlm.nih.gov/download/ecqm" TargetMode="External"/><Relationship Id="rId121" Type="http://schemas.openxmlformats.org/officeDocument/2006/relationships/footer" Target="footer12.xml"/><Relationship Id="rId142" Type="http://schemas.openxmlformats.org/officeDocument/2006/relationships/footer" Target="footer13.xml"/><Relationship Id="rId163" Type="http://schemas.openxmlformats.org/officeDocument/2006/relationships/header" Target="header33.xml"/><Relationship Id="rId3" Type="http://schemas.openxmlformats.org/officeDocument/2006/relationships/customXml" Target="../customXml/item3.xml"/><Relationship Id="rId25" Type="http://schemas.openxmlformats.org/officeDocument/2006/relationships/footer" Target="footer4.xml"/><Relationship Id="rId46" Type="http://schemas.openxmlformats.org/officeDocument/2006/relationships/hyperlink" Target="https://qualitynet.cms.gov/" TargetMode="External"/><Relationship Id="rId67" Type="http://schemas.openxmlformats.org/officeDocument/2006/relationships/hyperlink" Target="https://github.com/esacinc/CQL-Formatting-and-Usage-Wiki/wiki/Authoring-Measures-in-CQL" TargetMode="External"/><Relationship Id="rId116" Type="http://schemas.openxmlformats.org/officeDocument/2006/relationships/hyperlink" Target="https://ecqi.healthit.gov/" TargetMode="External"/><Relationship Id="rId137" Type="http://schemas.openxmlformats.org/officeDocument/2006/relationships/hyperlink" Target="https://github.com/cqframework/CQL-Formatting-and-Usage-Wiki/wiki/QDM-Known-Issues" TargetMode="External"/><Relationship Id="rId158" Type="http://schemas.openxmlformats.org/officeDocument/2006/relationships/header" Target="header29.xml"/><Relationship Id="rId20" Type="http://schemas.openxmlformats.org/officeDocument/2006/relationships/header" Target="header3.xml"/><Relationship Id="rId41" Type="http://schemas.openxmlformats.org/officeDocument/2006/relationships/hyperlink" Target="https://ecqi.healthit.gov/ecqm-measure-scoring/continuous-variable" TargetMode="External"/><Relationship Id="rId62" Type="http://schemas.microsoft.com/office/2016/09/relationships/commentsIds" Target="commentsIds.xml"/><Relationship Id="rId83" Type="http://schemas.openxmlformats.org/officeDocument/2006/relationships/hyperlink" Target="https://ecqi.healthit.gov/mc-workspace-2/data-element-repository" TargetMode="External"/><Relationship Id="rId88" Type="http://schemas.openxmlformats.org/officeDocument/2006/relationships/hyperlink" Target="https://ecqi.healthit.gov/glossary/qdm-entities" TargetMode="External"/><Relationship Id="rId111" Type="http://schemas.openxmlformats.org/officeDocument/2006/relationships/hyperlink" Target="http://www.hl7.org/implement/standards/product_brief.cfm?product_id=35" TargetMode="External"/><Relationship Id="rId132" Type="http://schemas.openxmlformats.org/officeDocument/2006/relationships/hyperlink" Target="https://oncprojectracking.healthit.gov/support/projects/CQM/summary" TargetMode="External"/><Relationship Id="rId153" Type="http://schemas.openxmlformats.org/officeDocument/2006/relationships/header" Target="header25.xml"/><Relationship Id="rId174" Type="http://schemas.microsoft.com/office/2011/relationships/people" Target="people.xml"/><Relationship Id="rId15" Type="http://schemas.openxmlformats.org/officeDocument/2006/relationships/image" Target="media/image1.png"/><Relationship Id="rId36" Type="http://schemas.openxmlformats.org/officeDocument/2006/relationships/hyperlink" Target="https://ecqi.healthit.gov/ecqm/hosp-inpt/2026/cms0826v3?qt-tabs_measure=measure-information" TargetMode="External"/><Relationship Id="rId57" Type="http://schemas.openxmlformats.org/officeDocument/2006/relationships/hyperlink" Target="http://cql.hl7.org/" TargetMode="External"/><Relationship Id="rId106" Type="http://schemas.openxmlformats.org/officeDocument/2006/relationships/hyperlink" Target="https://ecqi.healthit.gov/ecqm/hosp-inpt/2026/cms1017v2" TargetMode="External"/><Relationship Id="rId127" Type="http://schemas.openxmlformats.org/officeDocument/2006/relationships/hyperlink" Target="https://oncprojectracking.healthit.gov/" TargetMode="External"/><Relationship Id="rId10" Type="http://schemas.openxmlformats.org/officeDocument/2006/relationships/styles" Target="styles.xml"/><Relationship Id="rId31" Type="http://schemas.openxmlformats.org/officeDocument/2006/relationships/header" Target="header8.xml"/><Relationship Id="rId52" Type="http://schemas.openxmlformats.org/officeDocument/2006/relationships/footer" Target="footer8.xml"/><Relationship Id="rId73" Type="http://schemas.openxmlformats.org/officeDocument/2006/relationships/hyperlink" Target="https://ecqi.healthit.gov/ecqm/ec/2026/cms0154v14" TargetMode="External"/><Relationship Id="rId78" Type="http://schemas.openxmlformats.org/officeDocument/2006/relationships/header" Target="header14.xml"/><Relationship Id="rId94" Type="http://schemas.openxmlformats.org/officeDocument/2006/relationships/hyperlink" Target="https://nam12.safelinks.protection.outlook.com/?url=https%3A%2F%2Fwww.nlm.nih.gov%2Fresearch%2Fumls%2Findex.html%3F_gl%3D1*m7sdtq*_ga*Njg0MjMxNDk2LjE2NDE1ODg2NDk.*_ga_7147EPK006*MTY0NzM2Njg3MC4xLjEuMTY0NzM2NzU2Ny4w&amp;data=04%7C01%7CCCastro%40mathematica-mpr.com%7C49589fae64564465caa208da06aee0bc%7C13af8d650b4b4c0fa446a427419abfd6%7C0%7C0%7C637829645423102121%7CUnknown%7CTWFpbGZsb3d8eyJWIjoiMC4wLjAwMDAiLCJQIjoiV2luMzIiLCJBTiI6Ik1haWwiLCJXVCI6Mn0%3D%7C3000&amp;sdata=PoeC7uaGAt3OKz%2FTKoPmCpKmQQYI0EcM3sccgZrFcww%3D&amp;reserved=0" TargetMode="External"/><Relationship Id="rId99" Type="http://schemas.openxmlformats.org/officeDocument/2006/relationships/hyperlink" Target="https://ecqi.healthit.gov/ecqm/ec/2026/cms0131v14" TargetMode="External"/><Relationship Id="rId101" Type="http://schemas.openxmlformats.org/officeDocument/2006/relationships/hyperlink" Target="https://www.nlm.nih.gov/research/umls/rxnorm/docs/2015/appendix5.html" TargetMode="External"/><Relationship Id="rId122" Type="http://schemas.openxmlformats.org/officeDocument/2006/relationships/hyperlink" Target="https://ecqi.healthit.gov/" TargetMode="External"/><Relationship Id="rId143" Type="http://schemas.openxmlformats.org/officeDocument/2006/relationships/header" Target="header21.xml"/><Relationship Id="rId148" Type="http://schemas.openxmlformats.org/officeDocument/2006/relationships/hyperlink" Target="mailto:QNetSupport@cms.hhs.gov" TargetMode="External"/><Relationship Id="rId164" Type="http://schemas.openxmlformats.org/officeDocument/2006/relationships/image" Target="media/image3.png"/><Relationship Id="rId169" Type="http://schemas.openxmlformats.org/officeDocument/2006/relationships/header" Target="header36.xml"/><Relationship Id="rId4" Type="http://schemas.openxmlformats.org/officeDocument/2006/relationships/customXml" Target="../customXml/item4.xml"/><Relationship Id="rId9" Type="http://schemas.openxmlformats.org/officeDocument/2006/relationships/numbering" Target="numbering.xml"/><Relationship Id="rId26" Type="http://schemas.openxmlformats.org/officeDocument/2006/relationships/hyperlink" Target="https://oncprojectracking.healthit.gov/" TargetMode="External"/><Relationship Id="rId47" Type="http://schemas.openxmlformats.org/officeDocument/2006/relationships/hyperlink" Target="https://ecqi.healthit.gov/eh-cah?qt-tabs_eh=eh-cah-ecqms&amp;global_measure_group=3721" TargetMode="External"/><Relationship Id="rId68" Type="http://schemas.openxmlformats.org/officeDocument/2006/relationships/hyperlink" Target="https://ecqi.healthit.gov/ecqm/ec/2026/cms0002v15" TargetMode="External"/><Relationship Id="rId89" Type="http://schemas.openxmlformats.org/officeDocument/2006/relationships/hyperlink" Target="https://vsac.nlm.nih.gov/" TargetMode="External"/><Relationship Id="rId112" Type="http://schemas.openxmlformats.org/officeDocument/2006/relationships/hyperlink" Target="https://ecqi.healthit.gov/sites/default/files/QDM-v5.6-508.pdf" TargetMode="External"/><Relationship Id="rId133" Type="http://schemas.openxmlformats.org/officeDocument/2006/relationships/hyperlink" Target="https://oncprojectracking.healthit.gov/support/projects/EKI/summary" TargetMode="External"/><Relationship Id="rId154" Type="http://schemas.openxmlformats.org/officeDocument/2006/relationships/header" Target="header26.xml"/><Relationship Id="rId175" Type="http://schemas.openxmlformats.org/officeDocument/2006/relationships/theme" Target="theme/theme1.xml"/><Relationship Id="rId16" Type="http://schemas.openxmlformats.org/officeDocument/2006/relationships/header" Target="header1.xml"/><Relationship Id="rId37" Type="http://schemas.openxmlformats.org/officeDocument/2006/relationships/hyperlink" Target="https://ecqi.healthit.gov/ecqm-measure-scoring/proportion" TargetMode="External"/><Relationship Id="rId58" Type="http://schemas.openxmlformats.org/officeDocument/2006/relationships/hyperlink" Target="https://github.com/esacinc/CQL-Formatting-and-Usage-Wiki" TargetMode="External"/><Relationship Id="rId79" Type="http://schemas.openxmlformats.org/officeDocument/2006/relationships/footer" Target="footer9.xml"/><Relationship Id="rId102" Type="http://schemas.openxmlformats.org/officeDocument/2006/relationships/hyperlink" Target="https://www.nlm.nih.gov/research/umls/rxnorm/index.html" TargetMode="External"/><Relationship Id="rId123" Type="http://schemas.openxmlformats.org/officeDocument/2006/relationships/hyperlink" Target="https://ecqi.healthit.gov/ep-ec?qt-tabs_ep=ec-ecqms" TargetMode="External"/><Relationship Id="rId144" Type="http://schemas.openxmlformats.org/officeDocument/2006/relationships/hyperlink" Target="https://cmsqualitysupport.servicenowservices.com/qnet_qa" TargetMode="External"/><Relationship Id="rId90" Type="http://schemas.openxmlformats.org/officeDocument/2006/relationships/hyperlink" Target="https://www.nlm.nih.gov/vsac/support/usingvsac/vsacsvsapiv2.html" TargetMode="External"/><Relationship Id="rId165" Type="http://schemas.openxmlformats.org/officeDocument/2006/relationships/image" Target="media/image4.png"/><Relationship Id="rId27" Type="http://schemas.openxmlformats.org/officeDocument/2006/relationships/hyperlink" Target="https://ecqi.healthit.gov/ecqm-implementation-checklist" TargetMode="External"/><Relationship Id="rId48" Type="http://schemas.openxmlformats.org/officeDocument/2006/relationships/header" Target="header10.xml"/><Relationship Id="rId69" Type="http://schemas.openxmlformats.org/officeDocument/2006/relationships/hyperlink" Target="https://ecqi.healthit.gov/ecqm/hosp-inpt/2026/cms0108v14" TargetMode="External"/><Relationship Id="rId113" Type="http://schemas.openxmlformats.org/officeDocument/2006/relationships/hyperlink" Target="https://ecqi.healthit.gov/ecqi-tools-key-resources?qt-teste=1" TargetMode="External"/><Relationship Id="rId134" Type="http://schemas.openxmlformats.org/officeDocument/2006/relationships/hyperlink" Target="https://oncprojectracking.healthit.gov/support/projects/MADIE/summary" TargetMode="External"/><Relationship Id="rId80" Type="http://schemas.openxmlformats.org/officeDocument/2006/relationships/header" Target="header15.xml"/><Relationship Id="rId155" Type="http://schemas.openxmlformats.org/officeDocument/2006/relationships/header" Target="header27.xml"/><Relationship Id="rId17" Type="http://schemas.openxmlformats.org/officeDocument/2006/relationships/header" Target="header2.xml"/><Relationship Id="rId38" Type="http://schemas.openxmlformats.org/officeDocument/2006/relationships/hyperlink" Target="https://ecqi.healthit.gov/ecqm/ec/2026/cms0153v14" TargetMode="External"/><Relationship Id="rId59" Type="http://schemas.openxmlformats.org/officeDocument/2006/relationships/hyperlink" Target="https://ecqi.healthit.gov/sites/default/files/QDM-v5.6-508.pdf" TargetMode="External"/><Relationship Id="rId103" Type="http://schemas.openxmlformats.org/officeDocument/2006/relationships/hyperlink" Target="https://www2a.cdc.gov/vaccines/iis/iisstandards/vaccines.asp?rpt=cvx" TargetMode="External"/><Relationship Id="rId124" Type="http://schemas.openxmlformats.org/officeDocument/2006/relationships/hyperlink" Target="https://ecqi.healthit.gov/eh-cah?qt-tabs_eh=eh-cah-ecqms" TargetMode="External"/><Relationship Id="rId70" Type="http://schemas.openxmlformats.org/officeDocument/2006/relationships/hyperlink" Target="https://cql.hl7.org/02-authorsguide.html" TargetMode="External"/><Relationship Id="rId91" Type="http://schemas.openxmlformats.org/officeDocument/2006/relationships/hyperlink" Target="https://vsac.nlm.nih.gov/download/ecqm" TargetMode="External"/><Relationship Id="rId145" Type="http://schemas.openxmlformats.org/officeDocument/2006/relationships/hyperlink" Target="https://cmsqualitysupport.servicenowservices.com/qnet_qa" TargetMode="External"/><Relationship Id="rId166" Type="http://schemas.openxmlformats.org/officeDocument/2006/relationships/image" Target="media/image5.png"/></Relationships>
</file>

<file path=word/_rels/footnotes.xml.rels><?xml version="1.0" encoding="UTF-8" standalone="yes"?>
<Relationships xmlns="http://schemas.openxmlformats.org/package/2006/relationships"><Relationship Id="rId8" Type="http://schemas.openxmlformats.org/officeDocument/2006/relationships/hyperlink" Target="https://ecqi.healthit.gov/sites/default/files/QDM-v5.6-508.pdf" TargetMode="External"/><Relationship Id="rId3" Type="http://schemas.openxmlformats.org/officeDocument/2006/relationships/hyperlink" Target="https://ecqi.healthit.gov/glossary" TargetMode="External"/><Relationship Id="rId7" Type="http://schemas.openxmlformats.org/officeDocument/2006/relationships/hyperlink" Target="https://ecqi.healthit.gov/sites/default/files/QRDA-HQR-2026-v1.pdf" TargetMode="External"/><Relationship Id="rId2" Type="http://schemas.openxmlformats.org/officeDocument/2006/relationships/hyperlink" Target="https://mmshub.cms.gov/tools-and-resources/mms-supplemental-materials" TargetMode="External"/><Relationship Id="rId1" Type="http://schemas.openxmlformats.org/officeDocument/2006/relationships/hyperlink" Target="https://ecqi.healthit.gov/glossary" TargetMode="External"/><Relationship Id="rId6" Type="http://schemas.openxmlformats.org/officeDocument/2006/relationships/hyperlink" Target="https://www.healthit.gov/isa/" TargetMode="External"/><Relationship Id="rId5" Type="http://schemas.openxmlformats.org/officeDocument/2006/relationships/hyperlink" Target="https://www.healthit.gov/isa/" TargetMode="External"/><Relationship Id="rId4" Type="http://schemas.openxmlformats.org/officeDocument/2006/relationships/hyperlink" Target="https://mmshub.cms.gov/tools-and-resources/mms-supplemental-material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bauman\Mathematica\Mathematica%20Templates%20-%20Documents\1MathU-Report.dotm" TargetMode="External"/></Relationships>
</file>

<file path=word/theme/theme1.xml><?xml version="1.0" encoding="utf-8"?>
<a:theme xmlns:a="http://schemas.openxmlformats.org/drawingml/2006/main" name="MathematicaUniversal">
  <a:themeElements>
    <a:clrScheme name="Custom 72">
      <a:dk1>
        <a:sysClr val="windowText" lastClr="000000"/>
      </a:dk1>
      <a:lt1>
        <a:sysClr val="window" lastClr="FFFFFF"/>
      </a:lt1>
      <a:dk2>
        <a:srgbClr val="046B5C"/>
      </a:dk2>
      <a:lt2>
        <a:srgbClr val="E0D4B5"/>
      </a:lt2>
      <a:accent1>
        <a:srgbClr val="0B2949"/>
      </a:accent1>
      <a:accent2>
        <a:srgbClr val="D02B27"/>
      </a:accent2>
      <a:accent3>
        <a:srgbClr val="5B6771"/>
      </a:accent3>
      <a:accent4>
        <a:srgbClr val="F1B51C"/>
      </a:accent4>
      <a:accent5>
        <a:srgbClr val="189394"/>
      </a:accent5>
      <a:accent6>
        <a:srgbClr val="17A673"/>
      </a:accent6>
      <a:hlink>
        <a:srgbClr val="0563C1"/>
      </a:hlink>
      <a:folHlink>
        <a:srgbClr val="0563C1"/>
      </a:folHlink>
    </a:clrScheme>
    <a:fontScheme name="All-Segoe-UI">
      <a:majorFont>
        <a:latin typeface="Segoe UI"/>
        <a:ea typeface=""/>
        <a:cs typeface=""/>
      </a:majorFont>
      <a:minorFont>
        <a:latin typeface="Segoe UI"/>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MathematicaUniversal" id="{BB05129C-F736-476A-B98F-8146642B56CC}" vid="{081D5247-F3CF-45D3-9D58-60382E69F0C8}"/>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ct:contentTypeSchema xmlns:ct="http://schemas.microsoft.com/office/2006/metadata/contentType" xmlns:ma="http://schemas.microsoft.com/office/2006/metadata/properties/metaAttributes" ct:_="" ma:_="" ma:contentTypeName="Document" ma:contentTypeID="0x0101009CB39C152DDB92498BB4EE3A298672FE" ma:contentTypeVersion="6" ma:contentTypeDescription="Create a new document." ma:contentTypeScope="" ma:versionID="ba40c1d6c2c41af2a2bf6e4870ebfbd2">
  <xsd:schema xmlns:xsd="http://www.w3.org/2001/XMLSchema" xmlns:xs="http://www.w3.org/2001/XMLSchema" xmlns:p="http://schemas.microsoft.com/office/2006/metadata/properties" xmlns:ns2="7a336a5f-c867-444e-95a4-d04440ed9068" targetNamespace="http://schemas.microsoft.com/office/2006/metadata/properties" ma:root="true" ma:fieldsID="9613b88179d0d324b0d7cb86c3a3fd34" ns2:_="">
    <xsd:import namespace="7a336a5f-c867-444e-95a4-d04440ed9068"/>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a336a5f-c867-444e-95a4-d04440ed906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mso-contentType ?>
<FormTemplates xmlns="http://schemas.microsoft.com/sharepoint/v3/contenttype/forms">
  <Display>DocumentLibraryForm</Display>
  <Edit>DocumentLibraryForm</Edit>
  <New>DocumentLibraryForm</New>
</FormTemplates>
</file>

<file path=customXml/item7.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ybP2+E046iAX/5NDKkCFaoUo2fQ==">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</go:docsCustomData>
</go:gDocsCustomXmlDataStorage>
</file>

<file path=customXml/item8.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B6EB767-B165-42ED-A6E9-0633C7A1AA19}">
  <ds:schemaRefs>
    <ds:schemaRef ds:uri="http://schemas.microsoft.com/sharepoint/v3/contenttype/forms"/>
  </ds:schemaRefs>
</ds:datastoreItem>
</file>

<file path=customXml/itemProps2.xml><?xml version="1.0" encoding="utf-8"?>
<ds:datastoreItem xmlns:ds="http://schemas.openxmlformats.org/officeDocument/2006/customXml" ds:itemID="{5BCFA58C-0793-479A-BCCB-9CEFFE04BFAC}">
  <ds:schemaRefs>
    <ds:schemaRef ds:uri="http://schemas.openxmlformats.org/officeDocument/2006/bibliography"/>
  </ds:schemaRefs>
</ds:datastoreItem>
</file>

<file path=customXml/itemProps3.xml><?xml version="1.0" encoding="utf-8"?>
<ds:datastoreItem xmlns:ds="http://schemas.openxmlformats.org/officeDocument/2006/customXml" ds:itemID="{9EC8CEA9-781A-4E4F-ADAB-6081079060EA}">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50086F8-63F2-4A6F-9F11-0E0C29B60C47}">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8FABCF64-D14E-458F-8098-BAE406D01E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a336a5f-c867-444e-95a4-d04440ed906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5C247C07-3D9A-4E06-A4C0-D4C0B93278AC}">
  <ds:schemaRefs>
    <ds:schemaRef ds:uri="http://schemas.microsoft.com/sharepoint/v3/contenttype/forms"/>
  </ds:schemaRefs>
</ds:datastoreItem>
</file>

<file path=customXml/itemProps7.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8.xml><?xml version="1.0" encoding="utf-8"?>
<ds:datastoreItem xmlns:ds="http://schemas.openxmlformats.org/officeDocument/2006/customXml" ds:itemID="{2374606F-D05A-49AC-9EC6-5CA4B7EE51F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1MathU-Report.dotm</Template>
  <TotalTime>3504</TotalTime>
  <Pages>48</Pages>
  <Words>15583</Words>
  <Characters>88979</Characters>
  <Application>Microsoft Office Word</Application>
  <DocSecurity>0</DocSecurity>
  <Lines>1934</Lines>
  <Paragraphs>1174</Paragraphs>
  <ScaleCrop>false</ScaleCrop>
  <HeadingPairs>
    <vt:vector size="2" baseType="variant">
      <vt:variant>
        <vt:lpstr>Title</vt:lpstr>
      </vt:variant>
      <vt:variant>
        <vt:i4>1</vt:i4>
      </vt:variant>
    </vt:vector>
  </HeadingPairs>
  <TitlesOfParts>
    <vt:vector size="1" baseType="lpstr">
      <vt:lpstr>eCQM Logic and Implementation Guidance for 2026 Reporting/Performance</vt:lpstr>
    </vt:vector>
  </TitlesOfParts>
  <Company/>
  <LinksUpToDate>false</LinksUpToDate>
  <CharactersWithSpaces>103388</CharactersWithSpaces>
  <SharedDoc>false</SharedDoc>
  <HLinks>
    <vt:vector size="1086" baseType="variant">
      <vt:variant>
        <vt:i4>4980746</vt:i4>
      </vt:variant>
      <vt:variant>
        <vt:i4>756</vt:i4>
      </vt:variant>
      <vt:variant>
        <vt:i4>0</vt:i4>
      </vt:variant>
      <vt:variant>
        <vt:i4>5</vt:i4>
      </vt:variant>
      <vt:variant>
        <vt:lpwstr>https://ecqi.healthit.gov/sites/default/files/2027-AU-PrePublication-Document.pdf</vt:lpwstr>
      </vt:variant>
      <vt:variant>
        <vt:lpwstr/>
      </vt:variant>
      <vt:variant>
        <vt:i4>1179658</vt:i4>
      </vt:variant>
      <vt:variant>
        <vt:i4>753</vt:i4>
      </vt:variant>
      <vt:variant>
        <vt:i4>0</vt:i4>
      </vt:variant>
      <vt:variant>
        <vt:i4>5</vt:i4>
      </vt:variant>
      <vt:variant>
        <vt:lpwstr>https://ecqi.healthit.gov/ecqi-tools-key-resources?qt-teste=ecqm-standards-and-tools-versions</vt:lpwstr>
      </vt:variant>
      <vt:variant>
        <vt:lpwstr/>
      </vt:variant>
      <vt:variant>
        <vt:i4>7602189</vt:i4>
      </vt:variant>
      <vt:variant>
        <vt:i4>750</vt:i4>
      </vt:variant>
      <vt:variant>
        <vt:i4>0</vt:i4>
      </vt:variant>
      <vt:variant>
        <vt:i4>5</vt:i4>
      </vt:variant>
      <vt:variant>
        <vt:lpwstr>mailto:QNetSupport@cms.hhs.gov</vt:lpwstr>
      </vt:variant>
      <vt:variant>
        <vt:lpwstr/>
      </vt:variant>
      <vt:variant>
        <vt:i4>7929872</vt:i4>
      </vt:variant>
      <vt:variant>
        <vt:i4>747</vt:i4>
      </vt:variant>
      <vt:variant>
        <vt:i4>0</vt:i4>
      </vt:variant>
      <vt:variant>
        <vt:i4>5</vt:i4>
      </vt:variant>
      <vt:variant>
        <vt:lpwstr>mailto:QPP@cms.hhs.gov</vt:lpwstr>
      </vt:variant>
      <vt:variant>
        <vt:lpwstr/>
      </vt:variant>
      <vt:variant>
        <vt:i4>2162698</vt:i4>
      </vt:variant>
      <vt:variant>
        <vt:i4>744</vt:i4>
      </vt:variant>
      <vt:variant>
        <vt:i4>0</vt:i4>
      </vt:variant>
      <vt:variant>
        <vt:i4>5</vt:i4>
      </vt:variant>
      <vt:variant>
        <vt:lpwstr>mailto:PCF@telligen.com</vt:lpwstr>
      </vt:variant>
      <vt:variant>
        <vt:lpwstr/>
      </vt:variant>
      <vt:variant>
        <vt:i4>6619139</vt:i4>
      </vt:variant>
      <vt:variant>
        <vt:i4>741</vt:i4>
      </vt:variant>
      <vt:variant>
        <vt:i4>0</vt:i4>
      </vt:variant>
      <vt:variant>
        <vt:i4>5</vt:i4>
      </vt:variant>
      <vt:variant>
        <vt:lpwstr>mailto:MCP@cms.hhs.gov</vt:lpwstr>
      </vt:variant>
      <vt:variant>
        <vt:lpwstr/>
      </vt:variant>
      <vt:variant>
        <vt:i4>7012431</vt:i4>
      </vt:variant>
      <vt:variant>
        <vt:i4>738</vt:i4>
      </vt:variant>
      <vt:variant>
        <vt:i4>0</vt:i4>
      </vt:variant>
      <vt:variant>
        <vt:i4>5</vt:i4>
      </vt:variant>
      <vt:variant>
        <vt:lpwstr>https://cmsqualitysupport.servicenowservices.com/qnet_qa</vt:lpwstr>
      </vt:variant>
      <vt:variant>
        <vt:lpwstr/>
      </vt:variant>
      <vt:variant>
        <vt:i4>7012431</vt:i4>
      </vt:variant>
      <vt:variant>
        <vt:i4>735</vt:i4>
      </vt:variant>
      <vt:variant>
        <vt:i4>0</vt:i4>
      </vt:variant>
      <vt:variant>
        <vt:i4>5</vt:i4>
      </vt:variant>
      <vt:variant>
        <vt:lpwstr>https://cmsqualitysupport.servicenowservices.com/qnet_qa</vt:lpwstr>
      </vt:variant>
      <vt:variant>
        <vt:lpwstr/>
      </vt:variant>
      <vt:variant>
        <vt:i4>6684728</vt:i4>
      </vt:variant>
      <vt:variant>
        <vt:i4>732</vt:i4>
      </vt:variant>
      <vt:variant>
        <vt:i4>0</vt:i4>
      </vt:variant>
      <vt:variant>
        <vt:i4>5</vt:i4>
      </vt:variant>
      <vt:variant>
        <vt:lpwstr>https://oncprojectracking.healthit.gov/support/projects/USCDIQ/summary</vt:lpwstr>
      </vt:variant>
      <vt:variant>
        <vt:lpwstr/>
      </vt:variant>
      <vt:variant>
        <vt:i4>7602235</vt:i4>
      </vt:variant>
      <vt:variant>
        <vt:i4>729</vt:i4>
      </vt:variant>
      <vt:variant>
        <vt:i4>0</vt:i4>
      </vt:variant>
      <vt:variant>
        <vt:i4>5</vt:i4>
      </vt:variant>
      <vt:variant>
        <vt:lpwstr>https://oncprojectracking.healthit.gov/support/secure/Dashboard.jspa?selectPageId=19401</vt:lpwstr>
      </vt:variant>
      <vt:variant>
        <vt:lpwstr/>
      </vt:variant>
      <vt:variant>
        <vt:i4>7667814</vt:i4>
      </vt:variant>
      <vt:variant>
        <vt:i4>726</vt:i4>
      </vt:variant>
      <vt:variant>
        <vt:i4>0</vt:i4>
      </vt:variant>
      <vt:variant>
        <vt:i4>5</vt:i4>
      </vt:variant>
      <vt:variant>
        <vt:lpwstr>https://github.com/cqframework/CQL-Formatting-and-Usage-Wiki/wiki/QDM-Known-Issues</vt:lpwstr>
      </vt:variant>
      <vt:variant>
        <vt:lpwstr/>
      </vt:variant>
      <vt:variant>
        <vt:i4>1245266</vt:i4>
      </vt:variant>
      <vt:variant>
        <vt:i4>723</vt:i4>
      </vt:variant>
      <vt:variant>
        <vt:i4>0</vt:i4>
      </vt:variant>
      <vt:variant>
        <vt:i4>5</vt:i4>
      </vt:variant>
      <vt:variant>
        <vt:lpwstr>https://oncprojectracking.healthit.gov/support/projects/QRDA/summary</vt:lpwstr>
      </vt:variant>
      <vt:variant>
        <vt:lpwstr/>
      </vt:variant>
      <vt:variant>
        <vt:i4>2556001</vt:i4>
      </vt:variant>
      <vt:variant>
        <vt:i4>720</vt:i4>
      </vt:variant>
      <vt:variant>
        <vt:i4>0</vt:i4>
      </vt:variant>
      <vt:variant>
        <vt:i4>5</vt:i4>
      </vt:variant>
      <vt:variant>
        <vt:lpwstr>https://oncprojectracking.healthit.gov/support/projects/QDM/summary</vt:lpwstr>
      </vt:variant>
      <vt:variant>
        <vt:lpwstr/>
      </vt:variant>
      <vt:variant>
        <vt:i4>4915217</vt:i4>
      </vt:variant>
      <vt:variant>
        <vt:i4>717</vt:i4>
      </vt:variant>
      <vt:variant>
        <vt:i4>0</vt:i4>
      </vt:variant>
      <vt:variant>
        <vt:i4>5</vt:i4>
      </vt:variant>
      <vt:variant>
        <vt:lpwstr>https://oncprojectracking.healthit.gov/support/projects/MADIE/summary</vt:lpwstr>
      </vt:variant>
      <vt:variant>
        <vt:lpwstr/>
      </vt:variant>
      <vt:variant>
        <vt:i4>2621553</vt:i4>
      </vt:variant>
      <vt:variant>
        <vt:i4>714</vt:i4>
      </vt:variant>
      <vt:variant>
        <vt:i4>0</vt:i4>
      </vt:variant>
      <vt:variant>
        <vt:i4>5</vt:i4>
      </vt:variant>
      <vt:variant>
        <vt:lpwstr>https://oncprojectracking.healthit.gov/support/projects/EKI/summary</vt:lpwstr>
      </vt:variant>
      <vt:variant>
        <vt:lpwstr/>
      </vt:variant>
      <vt:variant>
        <vt:i4>3276915</vt:i4>
      </vt:variant>
      <vt:variant>
        <vt:i4>711</vt:i4>
      </vt:variant>
      <vt:variant>
        <vt:i4>0</vt:i4>
      </vt:variant>
      <vt:variant>
        <vt:i4>5</vt:i4>
      </vt:variant>
      <vt:variant>
        <vt:lpwstr>https://oncprojectracking.healthit.gov/support/projects/CQM/summary</vt:lpwstr>
      </vt:variant>
      <vt:variant>
        <vt:lpwstr/>
      </vt:variant>
      <vt:variant>
        <vt:i4>3866744</vt:i4>
      </vt:variant>
      <vt:variant>
        <vt:i4>708</vt:i4>
      </vt:variant>
      <vt:variant>
        <vt:i4>0</vt:i4>
      </vt:variant>
      <vt:variant>
        <vt:i4>5</vt:i4>
      </vt:variant>
      <vt:variant>
        <vt:lpwstr>https://oncprojectracking.healthit.gov/support/projects/CYPRESS/summary</vt:lpwstr>
      </vt:variant>
      <vt:variant>
        <vt:lpwstr/>
      </vt:variant>
      <vt:variant>
        <vt:i4>5963782</vt:i4>
      </vt:variant>
      <vt:variant>
        <vt:i4>705</vt:i4>
      </vt:variant>
      <vt:variant>
        <vt:i4>0</vt:i4>
      </vt:variant>
      <vt:variant>
        <vt:i4>5</vt:i4>
      </vt:variant>
      <vt:variant>
        <vt:lpwstr>https://oncprojectracking.healthit.gov/support/projects/CQLIT/summary</vt:lpwstr>
      </vt:variant>
      <vt:variant>
        <vt:lpwstr/>
      </vt:variant>
      <vt:variant>
        <vt:i4>2818163</vt:i4>
      </vt:variant>
      <vt:variant>
        <vt:i4>702</vt:i4>
      </vt:variant>
      <vt:variant>
        <vt:i4>0</vt:i4>
      </vt:variant>
      <vt:variant>
        <vt:i4>5</vt:i4>
      </vt:variant>
      <vt:variant>
        <vt:lpwstr>https://oncprojectracking.healthit.gov/support/projects/CHM/summary</vt:lpwstr>
      </vt:variant>
      <vt:variant>
        <vt:lpwstr/>
      </vt:variant>
      <vt:variant>
        <vt:i4>4128893</vt:i4>
      </vt:variant>
      <vt:variant>
        <vt:i4>699</vt:i4>
      </vt:variant>
      <vt:variant>
        <vt:i4>0</vt:i4>
      </vt:variant>
      <vt:variant>
        <vt:i4>5</vt:i4>
      </vt:variant>
      <vt:variant>
        <vt:lpwstr>https://oncprojectracking.healthit.gov/</vt:lpwstr>
      </vt:variant>
      <vt:variant>
        <vt:lpwstr/>
      </vt:variant>
      <vt:variant>
        <vt:i4>4128893</vt:i4>
      </vt:variant>
      <vt:variant>
        <vt:i4>696</vt:i4>
      </vt:variant>
      <vt:variant>
        <vt:i4>0</vt:i4>
      </vt:variant>
      <vt:variant>
        <vt:i4>5</vt:i4>
      </vt:variant>
      <vt:variant>
        <vt:lpwstr>https://oncprojectracking.healthit.gov/</vt:lpwstr>
      </vt:variant>
      <vt:variant>
        <vt:lpwstr/>
      </vt:variant>
      <vt:variant>
        <vt:i4>6357118</vt:i4>
      </vt:variant>
      <vt:variant>
        <vt:i4>693</vt:i4>
      </vt:variant>
      <vt:variant>
        <vt:i4>0</vt:i4>
      </vt:variant>
      <vt:variant>
        <vt:i4>5</vt:i4>
      </vt:variant>
      <vt:variant>
        <vt:lpwstr>https://ecqi.healthit.gov/</vt:lpwstr>
      </vt:variant>
      <vt:variant>
        <vt:lpwstr/>
      </vt:variant>
      <vt:variant>
        <vt:i4>6291546</vt:i4>
      </vt:variant>
      <vt:variant>
        <vt:i4>690</vt:i4>
      </vt:variant>
      <vt:variant>
        <vt:i4>0</vt:i4>
      </vt:variant>
      <vt:variant>
        <vt:i4>5</vt:i4>
      </vt:variant>
      <vt:variant>
        <vt:lpwstr>https://ecqi.healthit.gov/oqr?qt-tabs_oqr=outpatient-ecqms&amp;global_measure_group=eCQMs</vt:lpwstr>
      </vt:variant>
      <vt:variant>
        <vt:lpwstr/>
      </vt:variant>
      <vt:variant>
        <vt:i4>1048631</vt:i4>
      </vt:variant>
      <vt:variant>
        <vt:i4>687</vt:i4>
      </vt:variant>
      <vt:variant>
        <vt:i4>0</vt:i4>
      </vt:variant>
      <vt:variant>
        <vt:i4>5</vt:i4>
      </vt:variant>
      <vt:variant>
        <vt:lpwstr>https://ecqi.healthit.gov/eh-cah?qt-tabs_eh=eh-cah-ecqms</vt:lpwstr>
      </vt:variant>
      <vt:variant>
        <vt:lpwstr/>
      </vt:variant>
      <vt:variant>
        <vt:i4>4194356</vt:i4>
      </vt:variant>
      <vt:variant>
        <vt:i4>684</vt:i4>
      </vt:variant>
      <vt:variant>
        <vt:i4>0</vt:i4>
      </vt:variant>
      <vt:variant>
        <vt:i4>5</vt:i4>
      </vt:variant>
      <vt:variant>
        <vt:lpwstr>https://ecqi.healthit.gov/ep-ec?qt-tabs_ep=ec-ecqms</vt:lpwstr>
      </vt:variant>
      <vt:variant>
        <vt:lpwstr/>
      </vt:variant>
      <vt:variant>
        <vt:i4>6357118</vt:i4>
      </vt:variant>
      <vt:variant>
        <vt:i4>681</vt:i4>
      </vt:variant>
      <vt:variant>
        <vt:i4>0</vt:i4>
      </vt:variant>
      <vt:variant>
        <vt:i4>5</vt:i4>
      </vt:variant>
      <vt:variant>
        <vt:lpwstr>https://ecqi.healthit.gov/</vt:lpwstr>
      </vt:variant>
      <vt:variant>
        <vt:lpwstr/>
      </vt:variant>
      <vt:variant>
        <vt:i4>6357118</vt:i4>
      </vt:variant>
      <vt:variant>
        <vt:i4>678</vt:i4>
      </vt:variant>
      <vt:variant>
        <vt:i4>0</vt:i4>
      </vt:variant>
      <vt:variant>
        <vt:i4>5</vt:i4>
      </vt:variant>
      <vt:variant>
        <vt:lpwstr>https://ecqi.healthit.gov/</vt:lpwstr>
      </vt:variant>
      <vt:variant>
        <vt:lpwstr/>
      </vt:variant>
      <vt:variant>
        <vt:i4>2752546</vt:i4>
      </vt:variant>
      <vt:variant>
        <vt:i4>675</vt:i4>
      </vt:variant>
      <vt:variant>
        <vt:i4>0</vt:i4>
      </vt:variant>
      <vt:variant>
        <vt:i4>5</vt:i4>
      </vt:variant>
      <vt:variant>
        <vt:lpwstr>https://vsac.nlm.nih.gov/download/ecqm</vt:lpwstr>
      </vt:variant>
      <vt:variant>
        <vt:lpwstr/>
      </vt:variant>
      <vt:variant>
        <vt:i4>5963796</vt:i4>
      </vt:variant>
      <vt:variant>
        <vt:i4>672</vt:i4>
      </vt:variant>
      <vt:variant>
        <vt:i4>0</vt:i4>
      </vt:variant>
      <vt:variant>
        <vt:i4>5</vt:i4>
      </vt:variant>
      <vt:variant>
        <vt:lpwstr>https://www.federalregister.gov/documents/2024/01/09/2023-28857/health-data-technology-and-interoperability-certification-program-updates-algorithm-transparency-and</vt:lpwstr>
      </vt:variant>
      <vt:variant>
        <vt:lpwstr/>
      </vt:variant>
      <vt:variant>
        <vt:i4>327701</vt:i4>
      </vt:variant>
      <vt:variant>
        <vt:i4>669</vt:i4>
      </vt:variant>
      <vt:variant>
        <vt:i4>0</vt:i4>
      </vt:variant>
      <vt:variant>
        <vt:i4>5</vt:i4>
      </vt:variant>
      <vt:variant>
        <vt:lpwstr>https://ecqi.healthit.gov/ecqi-tools-key-resources?qt-teste=1</vt:lpwstr>
      </vt:variant>
      <vt:variant>
        <vt:lpwstr/>
      </vt:variant>
      <vt:variant>
        <vt:i4>7798883</vt:i4>
      </vt:variant>
      <vt:variant>
        <vt:i4>666</vt:i4>
      </vt:variant>
      <vt:variant>
        <vt:i4>0</vt:i4>
      </vt:variant>
      <vt:variant>
        <vt:i4>5</vt:i4>
      </vt:variant>
      <vt:variant>
        <vt:lpwstr>https://ecqi.healthit.gov/sites/default/files/QDM-v5.6-508.pdf</vt:lpwstr>
      </vt:variant>
      <vt:variant>
        <vt:lpwstr/>
      </vt:variant>
      <vt:variant>
        <vt:i4>6553701</vt:i4>
      </vt:variant>
      <vt:variant>
        <vt:i4>663</vt:i4>
      </vt:variant>
      <vt:variant>
        <vt:i4>0</vt:i4>
      </vt:variant>
      <vt:variant>
        <vt:i4>5</vt:i4>
      </vt:variant>
      <vt:variant>
        <vt:lpwstr>http://www.hl7.org/implement/standards/product_brief.cfm?product_id=35</vt:lpwstr>
      </vt:variant>
      <vt:variant>
        <vt:lpwstr/>
      </vt:variant>
      <vt:variant>
        <vt:i4>7471211</vt:i4>
      </vt:variant>
      <vt:variant>
        <vt:i4>660</vt:i4>
      </vt:variant>
      <vt:variant>
        <vt:i4>0</vt:i4>
      </vt:variant>
      <vt:variant>
        <vt:i4>5</vt:i4>
      </vt:variant>
      <vt:variant>
        <vt:lpwstr>https://ecqi.healthit.gov/qrda</vt:lpwstr>
      </vt:variant>
      <vt:variant>
        <vt:lpwstr/>
      </vt:variant>
      <vt:variant>
        <vt:i4>4390978</vt:i4>
      </vt:variant>
      <vt:variant>
        <vt:i4>657</vt:i4>
      </vt:variant>
      <vt:variant>
        <vt:i4>0</vt:i4>
      </vt:variant>
      <vt:variant>
        <vt:i4>5</vt:i4>
      </vt:variant>
      <vt:variant>
        <vt:lpwstr>https://ecqi.healthit.gov/ecqm/hosp-inpt/2026/cms0108v14</vt:lpwstr>
      </vt:variant>
      <vt:variant>
        <vt:lpwstr/>
      </vt:variant>
      <vt:variant>
        <vt:i4>18</vt:i4>
      </vt:variant>
      <vt:variant>
        <vt:i4>653</vt:i4>
      </vt:variant>
      <vt:variant>
        <vt:i4>0</vt:i4>
      </vt:variant>
      <vt:variant>
        <vt:i4>5</vt:i4>
      </vt:variant>
      <vt:variant>
        <vt:lpwstr>https://ecqi.healthit.gov/ecqm/ec/2026/cms0002v15</vt:lpwstr>
      </vt:variant>
      <vt:variant>
        <vt:lpwstr/>
      </vt:variant>
      <vt:variant>
        <vt:i4>6684701</vt:i4>
      </vt:variant>
      <vt:variant>
        <vt:i4>651</vt:i4>
      </vt:variant>
      <vt:variant>
        <vt:i4>0</vt:i4>
      </vt:variant>
      <vt:variant>
        <vt:i4>5</vt:i4>
      </vt:variant>
      <vt:variant>
        <vt:lpwstr>https://ecqi.healthit.gov/ecqm/ec/2025/cms0002v14?qt-tabs_measure=measure-information</vt:lpwstr>
      </vt:variant>
      <vt:variant>
        <vt:lpwstr/>
      </vt:variant>
      <vt:variant>
        <vt:i4>7798909</vt:i4>
      </vt:variant>
      <vt:variant>
        <vt:i4>648</vt:i4>
      </vt:variant>
      <vt:variant>
        <vt:i4>0</vt:i4>
      </vt:variant>
      <vt:variant>
        <vt:i4>5</vt:i4>
      </vt:variant>
      <vt:variant>
        <vt:lpwstr>https://ecqi.healthit.gov/ecqm/hosp-inpt/2026/cms1017v2</vt:lpwstr>
      </vt:variant>
      <vt:variant>
        <vt:lpwstr/>
      </vt:variant>
      <vt:variant>
        <vt:i4>4390978</vt:i4>
      </vt:variant>
      <vt:variant>
        <vt:i4>645</vt:i4>
      </vt:variant>
      <vt:variant>
        <vt:i4>0</vt:i4>
      </vt:variant>
      <vt:variant>
        <vt:i4>5</vt:i4>
      </vt:variant>
      <vt:variant>
        <vt:lpwstr>https://ecqi.healthit.gov/ecqm/hosp-inpt/2026/cms0108v14</vt:lpwstr>
      </vt:variant>
      <vt:variant>
        <vt:lpwstr/>
      </vt:variant>
      <vt:variant>
        <vt:i4>4390990</vt:i4>
      </vt:variant>
      <vt:variant>
        <vt:i4>642</vt:i4>
      </vt:variant>
      <vt:variant>
        <vt:i4>0</vt:i4>
      </vt:variant>
      <vt:variant>
        <vt:i4>5</vt:i4>
      </vt:variant>
      <vt:variant>
        <vt:lpwstr>https://ecqi.healthit.gov/ecqm/hosp-inpt/2026/cms0104v14</vt:lpwstr>
      </vt:variant>
      <vt:variant>
        <vt:lpwstr/>
      </vt:variant>
      <vt:variant>
        <vt:i4>4980766</vt:i4>
      </vt:variant>
      <vt:variant>
        <vt:i4>639</vt:i4>
      </vt:variant>
      <vt:variant>
        <vt:i4>0</vt:i4>
      </vt:variant>
      <vt:variant>
        <vt:i4>5</vt:i4>
      </vt:variant>
      <vt:variant>
        <vt:lpwstr>https://www2a.cdc.gov/vaccines/iis/iisstandards/vaccines.asp?rpt=cvx</vt:lpwstr>
      </vt:variant>
      <vt:variant>
        <vt:lpwstr/>
      </vt:variant>
      <vt:variant>
        <vt:i4>2818166</vt:i4>
      </vt:variant>
      <vt:variant>
        <vt:i4>636</vt:i4>
      </vt:variant>
      <vt:variant>
        <vt:i4>0</vt:i4>
      </vt:variant>
      <vt:variant>
        <vt:i4>5</vt:i4>
      </vt:variant>
      <vt:variant>
        <vt:lpwstr>https://www.nlm.nih.gov/research/umls/rxnorm/index.html</vt:lpwstr>
      </vt:variant>
      <vt:variant>
        <vt:lpwstr/>
      </vt:variant>
      <vt:variant>
        <vt:i4>5242948</vt:i4>
      </vt:variant>
      <vt:variant>
        <vt:i4>633</vt:i4>
      </vt:variant>
      <vt:variant>
        <vt:i4>0</vt:i4>
      </vt:variant>
      <vt:variant>
        <vt:i4>5</vt:i4>
      </vt:variant>
      <vt:variant>
        <vt:lpwstr>https://www.nlm.nih.gov/research/umls/rxnorm/docs/2015/appendix5.html</vt:lpwstr>
      </vt:variant>
      <vt:variant>
        <vt:lpwstr/>
      </vt:variant>
      <vt:variant>
        <vt:i4>3932236</vt:i4>
      </vt:variant>
      <vt:variant>
        <vt:i4>630</vt:i4>
      </vt:variant>
      <vt:variant>
        <vt:i4>0</vt:i4>
      </vt:variant>
      <vt:variant>
        <vt:i4>5</vt:i4>
      </vt:variant>
      <vt:variant>
        <vt:lpwstr>https://ecqi.healthit.gov/value-set-information?qt-tabs_vsg=about</vt:lpwstr>
      </vt:variant>
      <vt:variant>
        <vt:lpwstr/>
      </vt:variant>
      <vt:variant>
        <vt:i4>2556001</vt:i4>
      </vt:variant>
      <vt:variant>
        <vt:i4>627</vt:i4>
      </vt:variant>
      <vt:variant>
        <vt:i4>0</vt:i4>
      </vt:variant>
      <vt:variant>
        <vt:i4>5</vt:i4>
      </vt:variant>
      <vt:variant>
        <vt:lpwstr>https://oncprojectracking.healthit.gov/support/projects/QDM/summary</vt:lpwstr>
      </vt:variant>
      <vt:variant>
        <vt:lpwstr/>
      </vt:variant>
      <vt:variant>
        <vt:i4>131089</vt:i4>
      </vt:variant>
      <vt:variant>
        <vt:i4>624</vt:i4>
      </vt:variant>
      <vt:variant>
        <vt:i4>0</vt:i4>
      </vt:variant>
      <vt:variant>
        <vt:i4>5</vt:i4>
      </vt:variant>
      <vt:variant>
        <vt:lpwstr>https://ecqi.healthit.gov/ecqm/ec/2026/cms0131v14</vt:lpwstr>
      </vt:variant>
      <vt:variant>
        <vt:lpwstr/>
      </vt:variant>
      <vt:variant>
        <vt:i4>2752546</vt:i4>
      </vt:variant>
      <vt:variant>
        <vt:i4>621</vt:i4>
      </vt:variant>
      <vt:variant>
        <vt:i4>0</vt:i4>
      </vt:variant>
      <vt:variant>
        <vt:i4>5</vt:i4>
      </vt:variant>
      <vt:variant>
        <vt:lpwstr>https://vsac.nlm.nih.gov/download/ecqm</vt:lpwstr>
      </vt:variant>
      <vt:variant>
        <vt:lpwstr/>
      </vt:variant>
      <vt:variant>
        <vt:i4>4259854</vt:i4>
      </vt:variant>
      <vt:variant>
        <vt:i4>618</vt:i4>
      </vt:variant>
      <vt:variant>
        <vt:i4>0</vt:i4>
      </vt:variant>
      <vt:variant>
        <vt:i4>5</vt:i4>
      </vt:variant>
      <vt:variant>
        <vt:lpwstr>https://mmshub.cms.gov/tools-and-resources/mms-supplemental-materials</vt:lpwstr>
      </vt:variant>
      <vt:variant>
        <vt:lpwstr/>
      </vt:variant>
      <vt:variant>
        <vt:i4>3473457</vt:i4>
      </vt:variant>
      <vt:variant>
        <vt:i4>612</vt:i4>
      </vt:variant>
      <vt:variant>
        <vt:i4>0</vt:i4>
      </vt:variant>
      <vt:variant>
        <vt:i4>5</vt:i4>
      </vt:variant>
      <vt:variant>
        <vt:lpwstr>https://cql.hl7.org/09-b-cqlreference.html</vt:lpwstr>
      </vt:variant>
      <vt:variant>
        <vt:lpwstr/>
      </vt:variant>
      <vt:variant>
        <vt:i4>458768</vt:i4>
      </vt:variant>
      <vt:variant>
        <vt:i4>609</vt:i4>
      </vt:variant>
      <vt:variant>
        <vt:i4>0</vt:i4>
      </vt:variant>
      <vt:variant>
        <vt:i4>5</vt:i4>
      </vt:variant>
      <vt:variant>
        <vt:lpwstr>https://ecqi.healthit.gov/ecqm/ec/2026/cms0124v14</vt:lpwstr>
      </vt:variant>
      <vt:variant>
        <vt:lpwstr/>
      </vt:variant>
      <vt:variant>
        <vt:i4>7929957</vt:i4>
      </vt:variant>
      <vt:variant>
        <vt:i4>606</vt:i4>
      </vt:variant>
      <vt:variant>
        <vt:i4>0</vt:i4>
      </vt:variant>
      <vt:variant>
        <vt:i4>5</vt:i4>
      </vt:variant>
      <vt:variant>
        <vt:lpwstr>https://nam12.safelinks.protection.outlook.com/?url=https%3A%2F%2Fwww.nlm.nih.gov%2Fresearch%2Fumls%2Findex.html%3F_gl%3D1*m7sdtq*_ga*Njg0MjMxNDk2LjE2NDE1ODg2NDk.*_ga_7147EPK006*MTY0NzM2Njg3MC4xLjEuMTY0NzM2NzU2Ny4w&amp;data=04%7C01%7CCCastro%40mathematica-mpr.com%7C49589fae64564465caa208da06aee0bc%7C13af8d650b4b4c0fa446a427419abfd6%7C0%7C0%7C637829645423102121%7CUnknown%7CTWFpbGZsb3d8eyJWIjoiMC4wLjAwMDAiLCJQIjoiV2luMzIiLCJBTiI6Ik1haWwiLCJXVCI6Mn0%3D%7C3000&amp;sdata=PoeC7uaGAt3OKz%2FTKoPmCpKmQQYI0EcM3sccgZrFcww%3D&amp;reserved=0</vt:lpwstr>
      </vt:variant>
      <vt:variant>
        <vt:lpwstr/>
      </vt:variant>
      <vt:variant>
        <vt:i4>7929957</vt:i4>
      </vt:variant>
      <vt:variant>
        <vt:i4>603</vt:i4>
      </vt:variant>
      <vt:variant>
        <vt:i4>0</vt:i4>
      </vt:variant>
      <vt:variant>
        <vt:i4>5</vt:i4>
      </vt:variant>
      <vt:variant>
        <vt:lpwstr>https://nam12.safelinks.protection.outlook.com/?url=https%3A%2F%2Fwww.nlm.nih.gov%2Fresearch%2Fumls%2Findex.html%3F_gl%3D1*m7sdtq*_ga*Njg0MjMxNDk2LjE2NDE1ODg2NDk.*_ga_7147EPK006*MTY0NzM2Njg3MC4xLjEuMTY0NzM2NzU2Ny4w&amp;data=04%7C01%7CCCastro%40mathematica-mpr.com%7C49589fae64564465caa208da06aee0bc%7C13af8d650b4b4c0fa446a427419abfd6%7C0%7C0%7C637829645423102121%7CUnknown%7CTWFpbGZsb3d8eyJWIjoiMC4wLjAwMDAiLCJQIjoiV2luMzIiLCJBTiI6Ik1haWwiLCJXVCI6Mn0%3D%7C3000&amp;sdata=PoeC7uaGAt3OKz%2FTKoPmCpKmQQYI0EcM3sccgZrFcww%3D&amp;reserved=0</vt:lpwstr>
      </vt:variant>
      <vt:variant>
        <vt:lpwstr/>
      </vt:variant>
      <vt:variant>
        <vt:i4>7929957</vt:i4>
      </vt:variant>
      <vt:variant>
        <vt:i4>600</vt:i4>
      </vt:variant>
      <vt:variant>
        <vt:i4>0</vt:i4>
      </vt:variant>
      <vt:variant>
        <vt:i4>5</vt:i4>
      </vt:variant>
      <vt:variant>
        <vt:lpwstr>https://nam12.safelinks.protection.outlook.com/?url=https%3A%2F%2Fwww.nlm.nih.gov%2Fresearch%2Fumls%2Findex.html%3F_gl%3D1*m7sdtq*_ga*Njg0MjMxNDk2LjE2NDE1ODg2NDk.*_ga_7147EPK006*MTY0NzM2Njg3MC4xLjEuMTY0NzM2NzU2Ny4w&amp;data=04%7C01%7CCCastro%40mathematica-mpr.com%7C49589fae64564465caa208da06aee0bc%7C13af8d650b4b4c0fa446a427419abfd6%7C0%7C0%7C637829645423102121%7CUnknown%7CTWFpbGZsb3d8eyJWIjoiMC4wLjAwMDAiLCJQIjoiV2luMzIiLCJBTiI6Ik1haWwiLCJXVCI6Mn0%3D%7C3000&amp;sdata=PoeC7uaGAt3OKz%2FTKoPmCpKmQQYI0EcM3sccgZrFcww%3D&amp;reserved=0</vt:lpwstr>
      </vt:variant>
      <vt:variant>
        <vt:lpwstr/>
      </vt:variant>
      <vt:variant>
        <vt:i4>2752546</vt:i4>
      </vt:variant>
      <vt:variant>
        <vt:i4>597</vt:i4>
      </vt:variant>
      <vt:variant>
        <vt:i4>0</vt:i4>
      </vt:variant>
      <vt:variant>
        <vt:i4>5</vt:i4>
      </vt:variant>
      <vt:variant>
        <vt:lpwstr>https://vsac.nlm.nih.gov/download/ecqm</vt:lpwstr>
      </vt:variant>
      <vt:variant>
        <vt:lpwstr/>
      </vt:variant>
      <vt:variant>
        <vt:i4>4784200</vt:i4>
      </vt:variant>
      <vt:variant>
        <vt:i4>594</vt:i4>
      </vt:variant>
      <vt:variant>
        <vt:i4>0</vt:i4>
      </vt:variant>
      <vt:variant>
        <vt:i4>5</vt:i4>
      </vt:variant>
      <vt:variant>
        <vt:lpwstr>https://www.nlm.nih.gov/vsac/support/usingvsac/vsacsvsapiv2.html</vt:lpwstr>
      </vt:variant>
      <vt:variant>
        <vt:lpwstr/>
      </vt:variant>
      <vt:variant>
        <vt:i4>1376275</vt:i4>
      </vt:variant>
      <vt:variant>
        <vt:i4>591</vt:i4>
      </vt:variant>
      <vt:variant>
        <vt:i4>0</vt:i4>
      </vt:variant>
      <vt:variant>
        <vt:i4>5</vt:i4>
      </vt:variant>
      <vt:variant>
        <vt:lpwstr>https://vsac.nlm.nih.gov/</vt:lpwstr>
      </vt:variant>
      <vt:variant>
        <vt:lpwstr/>
      </vt:variant>
      <vt:variant>
        <vt:i4>7995519</vt:i4>
      </vt:variant>
      <vt:variant>
        <vt:i4>588</vt:i4>
      </vt:variant>
      <vt:variant>
        <vt:i4>0</vt:i4>
      </vt:variant>
      <vt:variant>
        <vt:i4>5</vt:i4>
      </vt:variant>
      <vt:variant>
        <vt:lpwstr>https://ecqi.healthit.gov/glossary/qdm-entities</vt:lpwstr>
      </vt:variant>
      <vt:variant>
        <vt:lpwstr/>
      </vt:variant>
      <vt:variant>
        <vt:i4>7209064</vt:i4>
      </vt:variant>
      <vt:variant>
        <vt:i4>585</vt:i4>
      </vt:variant>
      <vt:variant>
        <vt:i4>0</vt:i4>
      </vt:variant>
      <vt:variant>
        <vt:i4>5</vt:i4>
      </vt:variant>
      <vt:variant>
        <vt:lpwstr>https://ecqi.healthit.gov/glossary/qdm-datatype</vt:lpwstr>
      </vt:variant>
      <vt:variant>
        <vt:lpwstr/>
      </vt:variant>
      <vt:variant>
        <vt:i4>7864442</vt:i4>
      </vt:variant>
      <vt:variant>
        <vt:i4>582</vt:i4>
      </vt:variant>
      <vt:variant>
        <vt:i4>0</vt:i4>
      </vt:variant>
      <vt:variant>
        <vt:i4>5</vt:i4>
      </vt:variant>
      <vt:variant>
        <vt:lpwstr>https://ecqi.healthit.gov/glossary/qdm-category</vt:lpwstr>
      </vt:variant>
      <vt:variant>
        <vt:lpwstr/>
      </vt:variant>
      <vt:variant>
        <vt:i4>1441793</vt:i4>
      </vt:variant>
      <vt:variant>
        <vt:i4>579</vt:i4>
      </vt:variant>
      <vt:variant>
        <vt:i4>0</vt:i4>
      </vt:variant>
      <vt:variant>
        <vt:i4>5</vt:i4>
      </vt:variant>
      <vt:variant>
        <vt:lpwstr>https://ecqi.healthit.gov/glossary/qdm-attribute</vt:lpwstr>
      </vt:variant>
      <vt:variant>
        <vt:lpwstr/>
      </vt:variant>
      <vt:variant>
        <vt:i4>4718669</vt:i4>
      </vt:variant>
      <vt:variant>
        <vt:i4>576</vt:i4>
      </vt:variant>
      <vt:variant>
        <vt:i4>0</vt:i4>
      </vt:variant>
      <vt:variant>
        <vt:i4>5</vt:i4>
      </vt:variant>
      <vt:variant>
        <vt:lpwstr>https://ecqi.healthit.gov/mc-workspace-2/data-element-repository</vt:lpwstr>
      </vt:variant>
      <vt:variant>
        <vt:lpwstr/>
      </vt:variant>
      <vt:variant>
        <vt:i4>4718669</vt:i4>
      </vt:variant>
      <vt:variant>
        <vt:i4>573</vt:i4>
      </vt:variant>
      <vt:variant>
        <vt:i4>0</vt:i4>
      </vt:variant>
      <vt:variant>
        <vt:i4>5</vt:i4>
      </vt:variant>
      <vt:variant>
        <vt:lpwstr>https://ecqi.healthit.gov/mc-workspace-2/data-element-repository</vt:lpwstr>
      </vt:variant>
      <vt:variant>
        <vt:lpwstr/>
      </vt:variant>
      <vt:variant>
        <vt:i4>327695</vt:i4>
      </vt:variant>
      <vt:variant>
        <vt:i4>570</vt:i4>
      </vt:variant>
      <vt:variant>
        <vt:i4>0</vt:i4>
      </vt:variant>
      <vt:variant>
        <vt:i4>5</vt:i4>
      </vt:variant>
      <vt:variant>
        <vt:lpwstr>https://ecqi.healthit.gov/qdm</vt:lpwstr>
      </vt:variant>
      <vt:variant>
        <vt:lpwstr/>
      </vt:variant>
      <vt:variant>
        <vt:i4>3211319</vt:i4>
      </vt:variant>
      <vt:variant>
        <vt:i4>567</vt:i4>
      </vt:variant>
      <vt:variant>
        <vt:i4>0</vt:i4>
      </vt:variant>
      <vt:variant>
        <vt:i4>5</vt:i4>
      </vt:variant>
      <vt:variant>
        <vt:lpwstr>https://cql.hl7.org/15-h-timeintervalcalculations.html</vt:lpwstr>
      </vt:variant>
      <vt:variant>
        <vt:lpwstr/>
      </vt:variant>
      <vt:variant>
        <vt:i4>2818157</vt:i4>
      </vt:variant>
      <vt:variant>
        <vt:i4>564</vt:i4>
      </vt:variant>
      <vt:variant>
        <vt:i4>0</vt:i4>
      </vt:variant>
      <vt:variant>
        <vt:i4>5</vt:i4>
      </vt:variant>
      <vt:variant>
        <vt:lpwstr/>
      </vt:variant>
      <vt:variant>
        <vt:lpwstr>bookmark=id.3nqndbk</vt:lpwstr>
      </vt:variant>
      <vt:variant>
        <vt:i4>7929913</vt:i4>
      </vt:variant>
      <vt:variant>
        <vt:i4>561</vt:i4>
      </vt:variant>
      <vt:variant>
        <vt:i4>0</vt:i4>
      </vt:variant>
      <vt:variant>
        <vt:i4>5</vt:i4>
      </vt:variant>
      <vt:variant>
        <vt:lpwstr>https://cql.hl7.org/05-languagesemantics.html</vt:lpwstr>
      </vt:variant>
      <vt:variant>
        <vt:lpwstr>definitions</vt:lpwstr>
      </vt:variant>
      <vt:variant>
        <vt:i4>458775</vt:i4>
      </vt:variant>
      <vt:variant>
        <vt:i4>558</vt:i4>
      </vt:variant>
      <vt:variant>
        <vt:i4>0</vt:i4>
      </vt:variant>
      <vt:variant>
        <vt:i4>5</vt:i4>
      </vt:variant>
      <vt:variant>
        <vt:lpwstr>https://ecqi.healthit.gov/ecqm/ec/2026/cms0154v14</vt:lpwstr>
      </vt:variant>
      <vt:variant>
        <vt:lpwstr/>
      </vt:variant>
      <vt:variant>
        <vt:i4>327702</vt:i4>
      </vt:variant>
      <vt:variant>
        <vt:i4>555</vt:i4>
      </vt:variant>
      <vt:variant>
        <vt:i4>0</vt:i4>
      </vt:variant>
      <vt:variant>
        <vt:i4>5</vt:i4>
      </vt:variant>
      <vt:variant>
        <vt:lpwstr>https://ecqi.healthit.gov/ecqm/ec/2026/cms0146v14</vt:lpwstr>
      </vt:variant>
      <vt:variant>
        <vt:lpwstr/>
      </vt:variant>
      <vt:variant>
        <vt:i4>458768</vt:i4>
      </vt:variant>
      <vt:variant>
        <vt:i4>552</vt:i4>
      </vt:variant>
      <vt:variant>
        <vt:i4>0</vt:i4>
      </vt:variant>
      <vt:variant>
        <vt:i4>5</vt:i4>
      </vt:variant>
      <vt:variant>
        <vt:lpwstr>https://ecqi.healthit.gov/ecqm/ec/2026/cms0124v14</vt:lpwstr>
      </vt:variant>
      <vt:variant>
        <vt:lpwstr/>
      </vt:variant>
      <vt:variant>
        <vt:i4>2883682</vt:i4>
      </vt:variant>
      <vt:variant>
        <vt:i4>549</vt:i4>
      </vt:variant>
      <vt:variant>
        <vt:i4>0</vt:i4>
      </vt:variant>
      <vt:variant>
        <vt:i4>5</vt:i4>
      </vt:variant>
      <vt:variant>
        <vt:lpwstr>https://cql.hl7.org/02-authorsguide.html</vt:lpwstr>
      </vt:variant>
      <vt:variant>
        <vt:lpwstr>using-libraries-to-share-logic</vt:lpwstr>
      </vt:variant>
      <vt:variant>
        <vt:i4>4390978</vt:i4>
      </vt:variant>
      <vt:variant>
        <vt:i4>546</vt:i4>
      </vt:variant>
      <vt:variant>
        <vt:i4>0</vt:i4>
      </vt:variant>
      <vt:variant>
        <vt:i4>5</vt:i4>
      </vt:variant>
      <vt:variant>
        <vt:lpwstr>https://ecqi.healthit.gov/ecqm/hosp-inpt/2026/cms0108v14</vt:lpwstr>
      </vt:variant>
      <vt:variant>
        <vt:lpwstr/>
      </vt:variant>
      <vt:variant>
        <vt:i4>18</vt:i4>
      </vt:variant>
      <vt:variant>
        <vt:i4>543</vt:i4>
      </vt:variant>
      <vt:variant>
        <vt:i4>0</vt:i4>
      </vt:variant>
      <vt:variant>
        <vt:i4>5</vt:i4>
      </vt:variant>
      <vt:variant>
        <vt:lpwstr>https://ecqi.healthit.gov/ecqm/ec/2026/cms0002v15</vt:lpwstr>
      </vt:variant>
      <vt:variant>
        <vt:lpwstr/>
      </vt:variant>
      <vt:variant>
        <vt:i4>7864370</vt:i4>
      </vt:variant>
      <vt:variant>
        <vt:i4>540</vt:i4>
      </vt:variant>
      <vt:variant>
        <vt:i4>0</vt:i4>
      </vt:variant>
      <vt:variant>
        <vt:i4>5</vt:i4>
      </vt:variant>
      <vt:variant>
        <vt:lpwstr>https://github.com/esacinc/CQL-Formatting-and-Usage-Wiki/wiki/Authoring-Measures-in-CQL</vt:lpwstr>
      </vt:variant>
      <vt:variant>
        <vt:lpwstr/>
      </vt:variant>
      <vt:variant>
        <vt:i4>4522069</vt:i4>
      </vt:variant>
      <vt:variant>
        <vt:i4>537</vt:i4>
      </vt:variant>
      <vt:variant>
        <vt:i4>0</vt:i4>
      </vt:variant>
      <vt:variant>
        <vt:i4>5</vt:i4>
      </vt:variant>
      <vt:variant>
        <vt:lpwstr>https://github.com/esacinc/CQL-Formatting-and-Usage-Wiki</vt:lpwstr>
      </vt:variant>
      <vt:variant>
        <vt:lpwstr/>
      </vt:variant>
      <vt:variant>
        <vt:i4>7798883</vt:i4>
      </vt:variant>
      <vt:variant>
        <vt:i4>534</vt:i4>
      </vt:variant>
      <vt:variant>
        <vt:i4>0</vt:i4>
      </vt:variant>
      <vt:variant>
        <vt:i4>5</vt:i4>
      </vt:variant>
      <vt:variant>
        <vt:lpwstr>https://ecqi.healthit.gov/sites/default/files/QDM-v5.6-508.pdf</vt:lpwstr>
      </vt:variant>
      <vt:variant>
        <vt:lpwstr/>
      </vt:variant>
      <vt:variant>
        <vt:i4>1048605</vt:i4>
      </vt:variant>
      <vt:variant>
        <vt:i4>531</vt:i4>
      </vt:variant>
      <vt:variant>
        <vt:i4>0</vt:i4>
      </vt:variant>
      <vt:variant>
        <vt:i4>5</vt:i4>
      </vt:variant>
      <vt:variant>
        <vt:lpwstr>https://ecqi.healthit.gov/cql</vt:lpwstr>
      </vt:variant>
      <vt:variant>
        <vt:lpwstr/>
      </vt:variant>
      <vt:variant>
        <vt:i4>7798883</vt:i4>
      </vt:variant>
      <vt:variant>
        <vt:i4>528</vt:i4>
      </vt:variant>
      <vt:variant>
        <vt:i4>0</vt:i4>
      </vt:variant>
      <vt:variant>
        <vt:i4>5</vt:i4>
      </vt:variant>
      <vt:variant>
        <vt:lpwstr>https://ecqi.healthit.gov/sites/default/files/QDM-v5.6-508.pdf</vt:lpwstr>
      </vt:variant>
      <vt:variant>
        <vt:lpwstr/>
      </vt:variant>
      <vt:variant>
        <vt:i4>4522069</vt:i4>
      </vt:variant>
      <vt:variant>
        <vt:i4>525</vt:i4>
      </vt:variant>
      <vt:variant>
        <vt:i4>0</vt:i4>
      </vt:variant>
      <vt:variant>
        <vt:i4>5</vt:i4>
      </vt:variant>
      <vt:variant>
        <vt:lpwstr>https://github.com/esacinc/CQL-Formatting-and-Usage-Wiki</vt:lpwstr>
      </vt:variant>
      <vt:variant>
        <vt:lpwstr/>
      </vt:variant>
      <vt:variant>
        <vt:i4>7536742</vt:i4>
      </vt:variant>
      <vt:variant>
        <vt:i4>522</vt:i4>
      </vt:variant>
      <vt:variant>
        <vt:i4>0</vt:i4>
      </vt:variant>
      <vt:variant>
        <vt:i4>5</vt:i4>
      </vt:variant>
      <vt:variant>
        <vt:lpwstr>http://cql.hl7.org/</vt:lpwstr>
      </vt:variant>
      <vt:variant>
        <vt:lpwstr/>
      </vt:variant>
      <vt:variant>
        <vt:i4>6357090</vt:i4>
      </vt:variant>
      <vt:variant>
        <vt:i4>519</vt:i4>
      </vt:variant>
      <vt:variant>
        <vt:i4>0</vt:i4>
      </vt:variant>
      <vt:variant>
        <vt:i4>5</vt:i4>
      </vt:variant>
      <vt:variant>
        <vt:lpwstr>http://www.hl7.org/implement/standards/product_brief.cfm?product_id=405</vt:lpwstr>
      </vt:variant>
      <vt:variant>
        <vt:lpwstr/>
      </vt:variant>
      <vt:variant>
        <vt:i4>458878</vt:i4>
      </vt:variant>
      <vt:variant>
        <vt:i4>516</vt:i4>
      </vt:variant>
      <vt:variant>
        <vt:i4>0</vt:i4>
      </vt:variant>
      <vt:variant>
        <vt:i4>5</vt:i4>
      </vt:variant>
      <vt:variant>
        <vt:lpwstr>https://ecqi.healthit.gov/ep-ec?qt-tabs_ep=ec-ecqms&amp;global_measure_group=eCQMs</vt:lpwstr>
      </vt:variant>
      <vt:variant>
        <vt:lpwstr/>
      </vt:variant>
      <vt:variant>
        <vt:i4>4915315</vt:i4>
      </vt:variant>
      <vt:variant>
        <vt:i4>513</vt:i4>
      </vt:variant>
      <vt:variant>
        <vt:i4>0</vt:i4>
      </vt:variant>
      <vt:variant>
        <vt:i4>5</vt:i4>
      </vt:variant>
      <vt:variant>
        <vt:lpwstr>https://ecqi.healthit.gov/oqr?qt-tabs_oqr=oqr-ecqms&amp;global_measure_group=eCQMs</vt:lpwstr>
      </vt:variant>
      <vt:variant>
        <vt:lpwstr/>
      </vt:variant>
      <vt:variant>
        <vt:i4>2686979</vt:i4>
      </vt:variant>
      <vt:variant>
        <vt:i4>510</vt:i4>
      </vt:variant>
      <vt:variant>
        <vt:i4>0</vt:i4>
      </vt:variant>
      <vt:variant>
        <vt:i4>5</vt:i4>
      </vt:variant>
      <vt:variant>
        <vt:lpwstr>https://ecqi.healthit.gov/eh-cah?qt-tabs_eh=eh-cah-ecqms&amp;global_measure_group=eCQMs</vt:lpwstr>
      </vt:variant>
      <vt:variant>
        <vt:lpwstr/>
      </vt:variant>
      <vt:variant>
        <vt:i4>2162710</vt:i4>
      </vt:variant>
      <vt:variant>
        <vt:i4>507</vt:i4>
      </vt:variant>
      <vt:variant>
        <vt:i4>0</vt:i4>
      </vt:variant>
      <vt:variant>
        <vt:i4>5</vt:i4>
      </vt:variant>
      <vt:variant>
        <vt:lpwstr>https://ecqi.healthit.gov/eh-cah?qt-tabs_eh=eh-cah-ecqms&amp;global_measure_group=3721</vt:lpwstr>
      </vt:variant>
      <vt:variant>
        <vt:lpwstr/>
      </vt:variant>
      <vt:variant>
        <vt:i4>6750247</vt:i4>
      </vt:variant>
      <vt:variant>
        <vt:i4>504</vt:i4>
      </vt:variant>
      <vt:variant>
        <vt:i4>0</vt:i4>
      </vt:variant>
      <vt:variant>
        <vt:i4>5</vt:i4>
      </vt:variant>
      <vt:variant>
        <vt:lpwstr>https://qualitynet.cms.gov/</vt:lpwstr>
      </vt:variant>
      <vt:variant>
        <vt:lpwstr/>
      </vt:variant>
      <vt:variant>
        <vt:i4>4259854</vt:i4>
      </vt:variant>
      <vt:variant>
        <vt:i4>501</vt:i4>
      </vt:variant>
      <vt:variant>
        <vt:i4>0</vt:i4>
      </vt:variant>
      <vt:variant>
        <vt:i4>5</vt:i4>
      </vt:variant>
      <vt:variant>
        <vt:lpwstr>https://mmshub.cms.gov/tools-and-resources/mms-supplemental-materials</vt:lpwstr>
      </vt:variant>
      <vt:variant>
        <vt:lpwstr/>
      </vt:variant>
      <vt:variant>
        <vt:i4>7340147</vt:i4>
      </vt:variant>
      <vt:variant>
        <vt:i4>498</vt:i4>
      </vt:variant>
      <vt:variant>
        <vt:i4>0</vt:i4>
      </vt:variant>
      <vt:variant>
        <vt:i4>5</vt:i4>
      </vt:variant>
      <vt:variant>
        <vt:lpwstr>https://ecqi.healthit.gov/ecqm/hosp-inpt/2026/cms0871v5</vt:lpwstr>
      </vt:variant>
      <vt:variant>
        <vt:lpwstr/>
      </vt:variant>
      <vt:variant>
        <vt:i4>8323189</vt:i4>
      </vt:variant>
      <vt:variant>
        <vt:i4>495</vt:i4>
      </vt:variant>
      <vt:variant>
        <vt:i4>0</vt:i4>
      </vt:variant>
      <vt:variant>
        <vt:i4>5</vt:i4>
      </vt:variant>
      <vt:variant>
        <vt:lpwstr>https://ecqi.healthit.gov/ecqm/hosp-inpt/2026/cms0986v5</vt:lpwstr>
      </vt:variant>
      <vt:variant>
        <vt:lpwstr/>
      </vt:variant>
      <vt:variant>
        <vt:i4>720912</vt:i4>
      </vt:variant>
      <vt:variant>
        <vt:i4>492</vt:i4>
      </vt:variant>
      <vt:variant>
        <vt:i4>0</vt:i4>
      </vt:variant>
      <vt:variant>
        <vt:i4>5</vt:i4>
      </vt:variant>
      <vt:variant>
        <vt:lpwstr>https://ecqi.healthit.gov/ecqm/ec/2026/cms0128v14</vt:lpwstr>
      </vt:variant>
      <vt:variant>
        <vt:lpwstr/>
      </vt:variant>
      <vt:variant>
        <vt:i4>393238</vt:i4>
      </vt:variant>
      <vt:variant>
        <vt:i4>489</vt:i4>
      </vt:variant>
      <vt:variant>
        <vt:i4>0</vt:i4>
      </vt:variant>
      <vt:variant>
        <vt:i4>5</vt:i4>
      </vt:variant>
      <vt:variant>
        <vt:lpwstr>https://ecqi.healthit.gov/ecqm/ec/2026/cms0145v14</vt:lpwstr>
      </vt:variant>
      <vt:variant>
        <vt:lpwstr/>
      </vt:variant>
      <vt:variant>
        <vt:i4>23</vt:i4>
      </vt:variant>
      <vt:variant>
        <vt:i4>486</vt:i4>
      </vt:variant>
      <vt:variant>
        <vt:i4>0</vt:i4>
      </vt:variant>
      <vt:variant>
        <vt:i4>5</vt:i4>
      </vt:variant>
      <vt:variant>
        <vt:lpwstr>https://ecqi.healthit.gov/ecqm/ec/2026/cms0153v14</vt:lpwstr>
      </vt:variant>
      <vt:variant>
        <vt:lpwstr/>
      </vt:variant>
      <vt:variant>
        <vt:i4>1048700</vt:i4>
      </vt:variant>
      <vt:variant>
        <vt:i4>480</vt:i4>
      </vt:variant>
      <vt:variant>
        <vt:i4>0</vt:i4>
      </vt:variant>
      <vt:variant>
        <vt:i4>5</vt:i4>
      </vt:variant>
      <vt:variant>
        <vt:lpwstr>https://ecqi.healthit.gov/ecqm/hosp-inpt/2026/cms0826v3?qt-tabs_measure=measure-information</vt:lpwstr>
      </vt:variant>
      <vt:variant>
        <vt:lpwstr/>
      </vt:variant>
      <vt:variant>
        <vt:i4>458768</vt:i4>
      </vt:variant>
      <vt:variant>
        <vt:i4>477</vt:i4>
      </vt:variant>
      <vt:variant>
        <vt:i4>0</vt:i4>
      </vt:variant>
      <vt:variant>
        <vt:i4>5</vt:i4>
      </vt:variant>
      <vt:variant>
        <vt:lpwstr>https://ecqi.healthit.gov/ecqm/ec/2026/cms0124v14</vt:lpwstr>
      </vt:variant>
      <vt:variant>
        <vt:lpwstr/>
      </vt:variant>
      <vt:variant>
        <vt:i4>6357118</vt:i4>
      </vt:variant>
      <vt:variant>
        <vt:i4>474</vt:i4>
      </vt:variant>
      <vt:variant>
        <vt:i4>0</vt:i4>
      </vt:variant>
      <vt:variant>
        <vt:i4>5</vt:i4>
      </vt:variant>
      <vt:variant>
        <vt:lpwstr>https://ecqi.healthit.gov/</vt:lpwstr>
      </vt:variant>
      <vt:variant>
        <vt:lpwstr/>
      </vt:variant>
      <vt:variant>
        <vt:i4>7667772</vt:i4>
      </vt:variant>
      <vt:variant>
        <vt:i4>471</vt:i4>
      </vt:variant>
      <vt:variant>
        <vt:i4>0</vt:i4>
      </vt:variant>
      <vt:variant>
        <vt:i4>5</vt:i4>
      </vt:variant>
      <vt:variant>
        <vt:lpwstr>https://ecqi.healthit.gov/ecqi-tools-key-resources</vt:lpwstr>
      </vt:variant>
      <vt:variant>
        <vt:lpwstr/>
      </vt:variant>
      <vt:variant>
        <vt:i4>2097191</vt:i4>
      </vt:variant>
      <vt:variant>
        <vt:i4>468</vt:i4>
      </vt:variant>
      <vt:variant>
        <vt:i4>0</vt:i4>
      </vt:variant>
      <vt:variant>
        <vt:i4>5</vt:i4>
      </vt:variant>
      <vt:variant>
        <vt:lpwstr>https://ecqi.healthit.gov/ecqm-implementation-checklist</vt:lpwstr>
      </vt:variant>
      <vt:variant>
        <vt:lpwstr/>
      </vt:variant>
      <vt:variant>
        <vt:i4>4128893</vt:i4>
      </vt:variant>
      <vt:variant>
        <vt:i4>465</vt:i4>
      </vt:variant>
      <vt:variant>
        <vt:i4>0</vt:i4>
      </vt:variant>
      <vt:variant>
        <vt:i4>5</vt:i4>
      </vt:variant>
      <vt:variant>
        <vt:lpwstr>https://oncprojectracking.healthit.gov/</vt:lpwstr>
      </vt:variant>
      <vt:variant>
        <vt:lpwstr/>
      </vt:variant>
      <vt:variant>
        <vt:i4>1900596</vt:i4>
      </vt:variant>
      <vt:variant>
        <vt:i4>458</vt:i4>
      </vt:variant>
      <vt:variant>
        <vt:i4>0</vt:i4>
      </vt:variant>
      <vt:variant>
        <vt:i4>5</vt:i4>
      </vt:variant>
      <vt:variant>
        <vt:lpwstr/>
      </vt:variant>
      <vt:variant>
        <vt:lpwstr>_Toc195002016</vt:lpwstr>
      </vt:variant>
      <vt:variant>
        <vt:i4>1900596</vt:i4>
      </vt:variant>
      <vt:variant>
        <vt:i4>452</vt:i4>
      </vt:variant>
      <vt:variant>
        <vt:i4>0</vt:i4>
      </vt:variant>
      <vt:variant>
        <vt:i4>5</vt:i4>
      </vt:variant>
      <vt:variant>
        <vt:lpwstr/>
      </vt:variant>
      <vt:variant>
        <vt:lpwstr>_Toc195002015</vt:lpwstr>
      </vt:variant>
      <vt:variant>
        <vt:i4>1900596</vt:i4>
      </vt:variant>
      <vt:variant>
        <vt:i4>446</vt:i4>
      </vt:variant>
      <vt:variant>
        <vt:i4>0</vt:i4>
      </vt:variant>
      <vt:variant>
        <vt:i4>5</vt:i4>
      </vt:variant>
      <vt:variant>
        <vt:lpwstr/>
      </vt:variant>
      <vt:variant>
        <vt:lpwstr>_Toc195002014</vt:lpwstr>
      </vt:variant>
      <vt:variant>
        <vt:i4>1900596</vt:i4>
      </vt:variant>
      <vt:variant>
        <vt:i4>440</vt:i4>
      </vt:variant>
      <vt:variant>
        <vt:i4>0</vt:i4>
      </vt:variant>
      <vt:variant>
        <vt:i4>5</vt:i4>
      </vt:variant>
      <vt:variant>
        <vt:lpwstr/>
      </vt:variant>
      <vt:variant>
        <vt:lpwstr>_Toc195002013</vt:lpwstr>
      </vt:variant>
      <vt:variant>
        <vt:i4>1900596</vt:i4>
      </vt:variant>
      <vt:variant>
        <vt:i4>434</vt:i4>
      </vt:variant>
      <vt:variant>
        <vt:i4>0</vt:i4>
      </vt:variant>
      <vt:variant>
        <vt:i4>5</vt:i4>
      </vt:variant>
      <vt:variant>
        <vt:lpwstr/>
      </vt:variant>
      <vt:variant>
        <vt:lpwstr>_Toc195002012</vt:lpwstr>
      </vt:variant>
      <vt:variant>
        <vt:i4>1900596</vt:i4>
      </vt:variant>
      <vt:variant>
        <vt:i4>428</vt:i4>
      </vt:variant>
      <vt:variant>
        <vt:i4>0</vt:i4>
      </vt:variant>
      <vt:variant>
        <vt:i4>5</vt:i4>
      </vt:variant>
      <vt:variant>
        <vt:lpwstr/>
      </vt:variant>
      <vt:variant>
        <vt:lpwstr>_Toc195002011</vt:lpwstr>
      </vt:variant>
      <vt:variant>
        <vt:i4>1900596</vt:i4>
      </vt:variant>
      <vt:variant>
        <vt:i4>422</vt:i4>
      </vt:variant>
      <vt:variant>
        <vt:i4>0</vt:i4>
      </vt:variant>
      <vt:variant>
        <vt:i4>5</vt:i4>
      </vt:variant>
      <vt:variant>
        <vt:lpwstr/>
      </vt:variant>
      <vt:variant>
        <vt:lpwstr>_Toc195002010</vt:lpwstr>
      </vt:variant>
      <vt:variant>
        <vt:i4>1835060</vt:i4>
      </vt:variant>
      <vt:variant>
        <vt:i4>416</vt:i4>
      </vt:variant>
      <vt:variant>
        <vt:i4>0</vt:i4>
      </vt:variant>
      <vt:variant>
        <vt:i4>5</vt:i4>
      </vt:variant>
      <vt:variant>
        <vt:lpwstr/>
      </vt:variant>
      <vt:variant>
        <vt:lpwstr>_Toc195002009</vt:lpwstr>
      </vt:variant>
      <vt:variant>
        <vt:i4>1835060</vt:i4>
      </vt:variant>
      <vt:variant>
        <vt:i4>410</vt:i4>
      </vt:variant>
      <vt:variant>
        <vt:i4>0</vt:i4>
      </vt:variant>
      <vt:variant>
        <vt:i4>5</vt:i4>
      </vt:variant>
      <vt:variant>
        <vt:lpwstr/>
      </vt:variant>
      <vt:variant>
        <vt:lpwstr>_Toc195002008</vt:lpwstr>
      </vt:variant>
      <vt:variant>
        <vt:i4>1835060</vt:i4>
      </vt:variant>
      <vt:variant>
        <vt:i4>404</vt:i4>
      </vt:variant>
      <vt:variant>
        <vt:i4>0</vt:i4>
      </vt:variant>
      <vt:variant>
        <vt:i4>5</vt:i4>
      </vt:variant>
      <vt:variant>
        <vt:lpwstr/>
      </vt:variant>
      <vt:variant>
        <vt:lpwstr>_Toc195002007</vt:lpwstr>
      </vt:variant>
      <vt:variant>
        <vt:i4>1835060</vt:i4>
      </vt:variant>
      <vt:variant>
        <vt:i4>398</vt:i4>
      </vt:variant>
      <vt:variant>
        <vt:i4>0</vt:i4>
      </vt:variant>
      <vt:variant>
        <vt:i4>5</vt:i4>
      </vt:variant>
      <vt:variant>
        <vt:lpwstr/>
      </vt:variant>
      <vt:variant>
        <vt:lpwstr>_Toc195002006</vt:lpwstr>
      </vt:variant>
      <vt:variant>
        <vt:i4>1835060</vt:i4>
      </vt:variant>
      <vt:variant>
        <vt:i4>392</vt:i4>
      </vt:variant>
      <vt:variant>
        <vt:i4>0</vt:i4>
      </vt:variant>
      <vt:variant>
        <vt:i4>5</vt:i4>
      </vt:variant>
      <vt:variant>
        <vt:lpwstr/>
      </vt:variant>
      <vt:variant>
        <vt:lpwstr>_Toc195002005</vt:lpwstr>
      </vt:variant>
      <vt:variant>
        <vt:i4>1835060</vt:i4>
      </vt:variant>
      <vt:variant>
        <vt:i4>386</vt:i4>
      </vt:variant>
      <vt:variant>
        <vt:i4>0</vt:i4>
      </vt:variant>
      <vt:variant>
        <vt:i4>5</vt:i4>
      </vt:variant>
      <vt:variant>
        <vt:lpwstr/>
      </vt:variant>
      <vt:variant>
        <vt:lpwstr>_Toc195002004</vt:lpwstr>
      </vt:variant>
      <vt:variant>
        <vt:i4>1835060</vt:i4>
      </vt:variant>
      <vt:variant>
        <vt:i4>380</vt:i4>
      </vt:variant>
      <vt:variant>
        <vt:i4>0</vt:i4>
      </vt:variant>
      <vt:variant>
        <vt:i4>5</vt:i4>
      </vt:variant>
      <vt:variant>
        <vt:lpwstr/>
      </vt:variant>
      <vt:variant>
        <vt:lpwstr>_Toc195002003</vt:lpwstr>
      </vt:variant>
      <vt:variant>
        <vt:i4>1835060</vt:i4>
      </vt:variant>
      <vt:variant>
        <vt:i4>374</vt:i4>
      </vt:variant>
      <vt:variant>
        <vt:i4>0</vt:i4>
      </vt:variant>
      <vt:variant>
        <vt:i4>5</vt:i4>
      </vt:variant>
      <vt:variant>
        <vt:lpwstr/>
      </vt:variant>
      <vt:variant>
        <vt:lpwstr>_Toc195002002</vt:lpwstr>
      </vt:variant>
      <vt:variant>
        <vt:i4>1835060</vt:i4>
      </vt:variant>
      <vt:variant>
        <vt:i4>368</vt:i4>
      </vt:variant>
      <vt:variant>
        <vt:i4>0</vt:i4>
      </vt:variant>
      <vt:variant>
        <vt:i4>5</vt:i4>
      </vt:variant>
      <vt:variant>
        <vt:lpwstr/>
      </vt:variant>
      <vt:variant>
        <vt:lpwstr>_Toc195002001</vt:lpwstr>
      </vt:variant>
      <vt:variant>
        <vt:i4>1835060</vt:i4>
      </vt:variant>
      <vt:variant>
        <vt:i4>362</vt:i4>
      </vt:variant>
      <vt:variant>
        <vt:i4>0</vt:i4>
      </vt:variant>
      <vt:variant>
        <vt:i4>5</vt:i4>
      </vt:variant>
      <vt:variant>
        <vt:lpwstr/>
      </vt:variant>
      <vt:variant>
        <vt:lpwstr>_Toc195002000</vt:lpwstr>
      </vt:variant>
      <vt:variant>
        <vt:i4>1441853</vt:i4>
      </vt:variant>
      <vt:variant>
        <vt:i4>356</vt:i4>
      </vt:variant>
      <vt:variant>
        <vt:i4>0</vt:i4>
      </vt:variant>
      <vt:variant>
        <vt:i4>5</vt:i4>
      </vt:variant>
      <vt:variant>
        <vt:lpwstr/>
      </vt:variant>
      <vt:variant>
        <vt:lpwstr>_Toc195001999</vt:lpwstr>
      </vt:variant>
      <vt:variant>
        <vt:i4>1441853</vt:i4>
      </vt:variant>
      <vt:variant>
        <vt:i4>350</vt:i4>
      </vt:variant>
      <vt:variant>
        <vt:i4>0</vt:i4>
      </vt:variant>
      <vt:variant>
        <vt:i4>5</vt:i4>
      </vt:variant>
      <vt:variant>
        <vt:lpwstr/>
      </vt:variant>
      <vt:variant>
        <vt:lpwstr>_Toc195001998</vt:lpwstr>
      </vt:variant>
      <vt:variant>
        <vt:i4>1441853</vt:i4>
      </vt:variant>
      <vt:variant>
        <vt:i4>344</vt:i4>
      </vt:variant>
      <vt:variant>
        <vt:i4>0</vt:i4>
      </vt:variant>
      <vt:variant>
        <vt:i4>5</vt:i4>
      </vt:variant>
      <vt:variant>
        <vt:lpwstr/>
      </vt:variant>
      <vt:variant>
        <vt:lpwstr>_Toc195001997</vt:lpwstr>
      </vt:variant>
      <vt:variant>
        <vt:i4>1441853</vt:i4>
      </vt:variant>
      <vt:variant>
        <vt:i4>338</vt:i4>
      </vt:variant>
      <vt:variant>
        <vt:i4>0</vt:i4>
      </vt:variant>
      <vt:variant>
        <vt:i4>5</vt:i4>
      </vt:variant>
      <vt:variant>
        <vt:lpwstr/>
      </vt:variant>
      <vt:variant>
        <vt:lpwstr>_Toc195001996</vt:lpwstr>
      </vt:variant>
      <vt:variant>
        <vt:i4>1441853</vt:i4>
      </vt:variant>
      <vt:variant>
        <vt:i4>332</vt:i4>
      </vt:variant>
      <vt:variant>
        <vt:i4>0</vt:i4>
      </vt:variant>
      <vt:variant>
        <vt:i4>5</vt:i4>
      </vt:variant>
      <vt:variant>
        <vt:lpwstr/>
      </vt:variant>
      <vt:variant>
        <vt:lpwstr>_Toc195001995</vt:lpwstr>
      </vt:variant>
      <vt:variant>
        <vt:i4>1441853</vt:i4>
      </vt:variant>
      <vt:variant>
        <vt:i4>326</vt:i4>
      </vt:variant>
      <vt:variant>
        <vt:i4>0</vt:i4>
      </vt:variant>
      <vt:variant>
        <vt:i4>5</vt:i4>
      </vt:variant>
      <vt:variant>
        <vt:lpwstr/>
      </vt:variant>
      <vt:variant>
        <vt:lpwstr>_Toc195001994</vt:lpwstr>
      </vt:variant>
      <vt:variant>
        <vt:i4>1441853</vt:i4>
      </vt:variant>
      <vt:variant>
        <vt:i4>320</vt:i4>
      </vt:variant>
      <vt:variant>
        <vt:i4>0</vt:i4>
      </vt:variant>
      <vt:variant>
        <vt:i4>5</vt:i4>
      </vt:variant>
      <vt:variant>
        <vt:lpwstr/>
      </vt:variant>
      <vt:variant>
        <vt:lpwstr>_Toc195001993</vt:lpwstr>
      </vt:variant>
      <vt:variant>
        <vt:i4>1441853</vt:i4>
      </vt:variant>
      <vt:variant>
        <vt:i4>314</vt:i4>
      </vt:variant>
      <vt:variant>
        <vt:i4>0</vt:i4>
      </vt:variant>
      <vt:variant>
        <vt:i4>5</vt:i4>
      </vt:variant>
      <vt:variant>
        <vt:lpwstr/>
      </vt:variant>
      <vt:variant>
        <vt:lpwstr>_Toc195001992</vt:lpwstr>
      </vt:variant>
      <vt:variant>
        <vt:i4>1507389</vt:i4>
      </vt:variant>
      <vt:variant>
        <vt:i4>305</vt:i4>
      </vt:variant>
      <vt:variant>
        <vt:i4>0</vt:i4>
      </vt:variant>
      <vt:variant>
        <vt:i4>5</vt:i4>
      </vt:variant>
      <vt:variant>
        <vt:lpwstr/>
      </vt:variant>
      <vt:variant>
        <vt:lpwstr>_Toc195001988</vt:lpwstr>
      </vt:variant>
      <vt:variant>
        <vt:i4>1507389</vt:i4>
      </vt:variant>
      <vt:variant>
        <vt:i4>299</vt:i4>
      </vt:variant>
      <vt:variant>
        <vt:i4>0</vt:i4>
      </vt:variant>
      <vt:variant>
        <vt:i4>5</vt:i4>
      </vt:variant>
      <vt:variant>
        <vt:lpwstr/>
      </vt:variant>
      <vt:variant>
        <vt:lpwstr>_Toc195001987</vt:lpwstr>
      </vt:variant>
      <vt:variant>
        <vt:i4>1769531</vt:i4>
      </vt:variant>
      <vt:variant>
        <vt:i4>290</vt:i4>
      </vt:variant>
      <vt:variant>
        <vt:i4>0</vt:i4>
      </vt:variant>
      <vt:variant>
        <vt:i4>5</vt:i4>
      </vt:variant>
      <vt:variant>
        <vt:lpwstr/>
      </vt:variant>
      <vt:variant>
        <vt:lpwstr>_Toc194994781</vt:lpwstr>
      </vt:variant>
      <vt:variant>
        <vt:i4>1769531</vt:i4>
      </vt:variant>
      <vt:variant>
        <vt:i4>284</vt:i4>
      </vt:variant>
      <vt:variant>
        <vt:i4>0</vt:i4>
      </vt:variant>
      <vt:variant>
        <vt:i4>5</vt:i4>
      </vt:variant>
      <vt:variant>
        <vt:lpwstr/>
      </vt:variant>
      <vt:variant>
        <vt:lpwstr>_Toc194994780</vt:lpwstr>
      </vt:variant>
      <vt:variant>
        <vt:i4>1310779</vt:i4>
      </vt:variant>
      <vt:variant>
        <vt:i4>278</vt:i4>
      </vt:variant>
      <vt:variant>
        <vt:i4>0</vt:i4>
      </vt:variant>
      <vt:variant>
        <vt:i4>5</vt:i4>
      </vt:variant>
      <vt:variant>
        <vt:lpwstr/>
      </vt:variant>
      <vt:variant>
        <vt:lpwstr>_Toc194994779</vt:lpwstr>
      </vt:variant>
      <vt:variant>
        <vt:i4>1310779</vt:i4>
      </vt:variant>
      <vt:variant>
        <vt:i4>272</vt:i4>
      </vt:variant>
      <vt:variant>
        <vt:i4>0</vt:i4>
      </vt:variant>
      <vt:variant>
        <vt:i4>5</vt:i4>
      </vt:variant>
      <vt:variant>
        <vt:lpwstr/>
      </vt:variant>
      <vt:variant>
        <vt:lpwstr>_Toc194994778</vt:lpwstr>
      </vt:variant>
      <vt:variant>
        <vt:i4>1310779</vt:i4>
      </vt:variant>
      <vt:variant>
        <vt:i4>266</vt:i4>
      </vt:variant>
      <vt:variant>
        <vt:i4>0</vt:i4>
      </vt:variant>
      <vt:variant>
        <vt:i4>5</vt:i4>
      </vt:variant>
      <vt:variant>
        <vt:lpwstr/>
      </vt:variant>
      <vt:variant>
        <vt:lpwstr>_Toc194994777</vt:lpwstr>
      </vt:variant>
      <vt:variant>
        <vt:i4>1310779</vt:i4>
      </vt:variant>
      <vt:variant>
        <vt:i4>260</vt:i4>
      </vt:variant>
      <vt:variant>
        <vt:i4>0</vt:i4>
      </vt:variant>
      <vt:variant>
        <vt:i4>5</vt:i4>
      </vt:variant>
      <vt:variant>
        <vt:lpwstr/>
      </vt:variant>
      <vt:variant>
        <vt:lpwstr>_Toc194994776</vt:lpwstr>
      </vt:variant>
      <vt:variant>
        <vt:i4>1310779</vt:i4>
      </vt:variant>
      <vt:variant>
        <vt:i4>254</vt:i4>
      </vt:variant>
      <vt:variant>
        <vt:i4>0</vt:i4>
      </vt:variant>
      <vt:variant>
        <vt:i4>5</vt:i4>
      </vt:variant>
      <vt:variant>
        <vt:lpwstr/>
      </vt:variant>
      <vt:variant>
        <vt:lpwstr>_Toc194994775</vt:lpwstr>
      </vt:variant>
      <vt:variant>
        <vt:i4>1310779</vt:i4>
      </vt:variant>
      <vt:variant>
        <vt:i4>248</vt:i4>
      </vt:variant>
      <vt:variant>
        <vt:i4>0</vt:i4>
      </vt:variant>
      <vt:variant>
        <vt:i4>5</vt:i4>
      </vt:variant>
      <vt:variant>
        <vt:lpwstr/>
      </vt:variant>
      <vt:variant>
        <vt:lpwstr>_Toc194994774</vt:lpwstr>
      </vt:variant>
      <vt:variant>
        <vt:i4>1310779</vt:i4>
      </vt:variant>
      <vt:variant>
        <vt:i4>242</vt:i4>
      </vt:variant>
      <vt:variant>
        <vt:i4>0</vt:i4>
      </vt:variant>
      <vt:variant>
        <vt:i4>5</vt:i4>
      </vt:variant>
      <vt:variant>
        <vt:lpwstr/>
      </vt:variant>
      <vt:variant>
        <vt:lpwstr>_Toc194994773</vt:lpwstr>
      </vt:variant>
      <vt:variant>
        <vt:i4>1310779</vt:i4>
      </vt:variant>
      <vt:variant>
        <vt:i4>236</vt:i4>
      </vt:variant>
      <vt:variant>
        <vt:i4>0</vt:i4>
      </vt:variant>
      <vt:variant>
        <vt:i4>5</vt:i4>
      </vt:variant>
      <vt:variant>
        <vt:lpwstr/>
      </vt:variant>
      <vt:variant>
        <vt:lpwstr>_Toc194994772</vt:lpwstr>
      </vt:variant>
      <vt:variant>
        <vt:i4>1310779</vt:i4>
      </vt:variant>
      <vt:variant>
        <vt:i4>230</vt:i4>
      </vt:variant>
      <vt:variant>
        <vt:i4>0</vt:i4>
      </vt:variant>
      <vt:variant>
        <vt:i4>5</vt:i4>
      </vt:variant>
      <vt:variant>
        <vt:lpwstr/>
      </vt:variant>
      <vt:variant>
        <vt:lpwstr>_Toc194994771</vt:lpwstr>
      </vt:variant>
      <vt:variant>
        <vt:i4>1310779</vt:i4>
      </vt:variant>
      <vt:variant>
        <vt:i4>224</vt:i4>
      </vt:variant>
      <vt:variant>
        <vt:i4>0</vt:i4>
      </vt:variant>
      <vt:variant>
        <vt:i4>5</vt:i4>
      </vt:variant>
      <vt:variant>
        <vt:lpwstr/>
      </vt:variant>
      <vt:variant>
        <vt:lpwstr>_Toc194994770</vt:lpwstr>
      </vt:variant>
      <vt:variant>
        <vt:i4>1376315</vt:i4>
      </vt:variant>
      <vt:variant>
        <vt:i4>218</vt:i4>
      </vt:variant>
      <vt:variant>
        <vt:i4>0</vt:i4>
      </vt:variant>
      <vt:variant>
        <vt:i4>5</vt:i4>
      </vt:variant>
      <vt:variant>
        <vt:lpwstr/>
      </vt:variant>
      <vt:variant>
        <vt:lpwstr>_Toc194994769</vt:lpwstr>
      </vt:variant>
      <vt:variant>
        <vt:i4>1376315</vt:i4>
      </vt:variant>
      <vt:variant>
        <vt:i4>212</vt:i4>
      </vt:variant>
      <vt:variant>
        <vt:i4>0</vt:i4>
      </vt:variant>
      <vt:variant>
        <vt:i4>5</vt:i4>
      </vt:variant>
      <vt:variant>
        <vt:lpwstr/>
      </vt:variant>
      <vt:variant>
        <vt:lpwstr>_Toc194994768</vt:lpwstr>
      </vt:variant>
      <vt:variant>
        <vt:i4>1376315</vt:i4>
      </vt:variant>
      <vt:variant>
        <vt:i4>206</vt:i4>
      </vt:variant>
      <vt:variant>
        <vt:i4>0</vt:i4>
      </vt:variant>
      <vt:variant>
        <vt:i4>5</vt:i4>
      </vt:variant>
      <vt:variant>
        <vt:lpwstr/>
      </vt:variant>
      <vt:variant>
        <vt:lpwstr>_Toc194994767</vt:lpwstr>
      </vt:variant>
      <vt:variant>
        <vt:i4>1376315</vt:i4>
      </vt:variant>
      <vt:variant>
        <vt:i4>200</vt:i4>
      </vt:variant>
      <vt:variant>
        <vt:i4>0</vt:i4>
      </vt:variant>
      <vt:variant>
        <vt:i4>5</vt:i4>
      </vt:variant>
      <vt:variant>
        <vt:lpwstr/>
      </vt:variant>
      <vt:variant>
        <vt:lpwstr>_Toc194994766</vt:lpwstr>
      </vt:variant>
      <vt:variant>
        <vt:i4>1376315</vt:i4>
      </vt:variant>
      <vt:variant>
        <vt:i4>194</vt:i4>
      </vt:variant>
      <vt:variant>
        <vt:i4>0</vt:i4>
      </vt:variant>
      <vt:variant>
        <vt:i4>5</vt:i4>
      </vt:variant>
      <vt:variant>
        <vt:lpwstr/>
      </vt:variant>
      <vt:variant>
        <vt:lpwstr>_Toc194994765</vt:lpwstr>
      </vt:variant>
      <vt:variant>
        <vt:i4>1376315</vt:i4>
      </vt:variant>
      <vt:variant>
        <vt:i4>188</vt:i4>
      </vt:variant>
      <vt:variant>
        <vt:i4>0</vt:i4>
      </vt:variant>
      <vt:variant>
        <vt:i4>5</vt:i4>
      </vt:variant>
      <vt:variant>
        <vt:lpwstr/>
      </vt:variant>
      <vt:variant>
        <vt:lpwstr>_Toc194994764</vt:lpwstr>
      </vt:variant>
      <vt:variant>
        <vt:i4>1376315</vt:i4>
      </vt:variant>
      <vt:variant>
        <vt:i4>182</vt:i4>
      </vt:variant>
      <vt:variant>
        <vt:i4>0</vt:i4>
      </vt:variant>
      <vt:variant>
        <vt:i4>5</vt:i4>
      </vt:variant>
      <vt:variant>
        <vt:lpwstr/>
      </vt:variant>
      <vt:variant>
        <vt:lpwstr>_Toc194994763</vt:lpwstr>
      </vt:variant>
      <vt:variant>
        <vt:i4>1376315</vt:i4>
      </vt:variant>
      <vt:variant>
        <vt:i4>176</vt:i4>
      </vt:variant>
      <vt:variant>
        <vt:i4>0</vt:i4>
      </vt:variant>
      <vt:variant>
        <vt:i4>5</vt:i4>
      </vt:variant>
      <vt:variant>
        <vt:lpwstr/>
      </vt:variant>
      <vt:variant>
        <vt:lpwstr>_Toc194994762</vt:lpwstr>
      </vt:variant>
      <vt:variant>
        <vt:i4>1376315</vt:i4>
      </vt:variant>
      <vt:variant>
        <vt:i4>170</vt:i4>
      </vt:variant>
      <vt:variant>
        <vt:i4>0</vt:i4>
      </vt:variant>
      <vt:variant>
        <vt:i4>5</vt:i4>
      </vt:variant>
      <vt:variant>
        <vt:lpwstr/>
      </vt:variant>
      <vt:variant>
        <vt:lpwstr>_Toc194994761</vt:lpwstr>
      </vt:variant>
      <vt:variant>
        <vt:i4>1376315</vt:i4>
      </vt:variant>
      <vt:variant>
        <vt:i4>164</vt:i4>
      </vt:variant>
      <vt:variant>
        <vt:i4>0</vt:i4>
      </vt:variant>
      <vt:variant>
        <vt:i4>5</vt:i4>
      </vt:variant>
      <vt:variant>
        <vt:lpwstr/>
      </vt:variant>
      <vt:variant>
        <vt:lpwstr>_Toc194994760</vt:lpwstr>
      </vt:variant>
      <vt:variant>
        <vt:i4>1441851</vt:i4>
      </vt:variant>
      <vt:variant>
        <vt:i4>158</vt:i4>
      </vt:variant>
      <vt:variant>
        <vt:i4>0</vt:i4>
      </vt:variant>
      <vt:variant>
        <vt:i4>5</vt:i4>
      </vt:variant>
      <vt:variant>
        <vt:lpwstr/>
      </vt:variant>
      <vt:variant>
        <vt:lpwstr>_Toc194994759</vt:lpwstr>
      </vt:variant>
      <vt:variant>
        <vt:i4>1441851</vt:i4>
      </vt:variant>
      <vt:variant>
        <vt:i4>152</vt:i4>
      </vt:variant>
      <vt:variant>
        <vt:i4>0</vt:i4>
      </vt:variant>
      <vt:variant>
        <vt:i4>5</vt:i4>
      </vt:variant>
      <vt:variant>
        <vt:lpwstr/>
      </vt:variant>
      <vt:variant>
        <vt:lpwstr>_Toc194994758</vt:lpwstr>
      </vt:variant>
      <vt:variant>
        <vt:i4>1441851</vt:i4>
      </vt:variant>
      <vt:variant>
        <vt:i4>146</vt:i4>
      </vt:variant>
      <vt:variant>
        <vt:i4>0</vt:i4>
      </vt:variant>
      <vt:variant>
        <vt:i4>5</vt:i4>
      </vt:variant>
      <vt:variant>
        <vt:lpwstr/>
      </vt:variant>
      <vt:variant>
        <vt:lpwstr>_Toc194994757</vt:lpwstr>
      </vt:variant>
      <vt:variant>
        <vt:i4>1441851</vt:i4>
      </vt:variant>
      <vt:variant>
        <vt:i4>140</vt:i4>
      </vt:variant>
      <vt:variant>
        <vt:i4>0</vt:i4>
      </vt:variant>
      <vt:variant>
        <vt:i4>5</vt:i4>
      </vt:variant>
      <vt:variant>
        <vt:lpwstr/>
      </vt:variant>
      <vt:variant>
        <vt:lpwstr>_Toc194994756</vt:lpwstr>
      </vt:variant>
      <vt:variant>
        <vt:i4>1441851</vt:i4>
      </vt:variant>
      <vt:variant>
        <vt:i4>134</vt:i4>
      </vt:variant>
      <vt:variant>
        <vt:i4>0</vt:i4>
      </vt:variant>
      <vt:variant>
        <vt:i4>5</vt:i4>
      </vt:variant>
      <vt:variant>
        <vt:lpwstr/>
      </vt:variant>
      <vt:variant>
        <vt:lpwstr>_Toc194994755</vt:lpwstr>
      </vt:variant>
      <vt:variant>
        <vt:i4>1441851</vt:i4>
      </vt:variant>
      <vt:variant>
        <vt:i4>128</vt:i4>
      </vt:variant>
      <vt:variant>
        <vt:i4>0</vt:i4>
      </vt:variant>
      <vt:variant>
        <vt:i4>5</vt:i4>
      </vt:variant>
      <vt:variant>
        <vt:lpwstr/>
      </vt:variant>
      <vt:variant>
        <vt:lpwstr>_Toc194994754</vt:lpwstr>
      </vt:variant>
      <vt:variant>
        <vt:i4>1441851</vt:i4>
      </vt:variant>
      <vt:variant>
        <vt:i4>122</vt:i4>
      </vt:variant>
      <vt:variant>
        <vt:i4>0</vt:i4>
      </vt:variant>
      <vt:variant>
        <vt:i4>5</vt:i4>
      </vt:variant>
      <vt:variant>
        <vt:lpwstr/>
      </vt:variant>
      <vt:variant>
        <vt:lpwstr>_Toc194994753</vt:lpwstr>
      </vt:variant>
      <vt:variant>
        <vt:i4>1441851</vt:i4>
      </vt:variant>
      <vt:variant>
        <vt:i4>116</vt:i4>
      </vt:variant>
      <vt:variant>
        <vt:i4>0</vt:i4>
      </vt:variant>
      <vt:variant>
        <vt:i4>5</vt:i4>
      </vt:variant>
      <vt:variant>
        <vt:lpwstr/>
      </vt:variant>
      <vt:variant>
        <vt:lpwstr>_Toc194994752</vt:lpwstr>
      </vt:variant>
      <vt:variant>
        <vt:i4>1441851</vt:i4>
      </vt:variant>
      <vt:variant>
        <vt:i4>110</vt:i4>
      </vt:variant>
      <vt:variant>
        <vt:i4>0</vt:i4>
      </vt:variant>
      <vt:variant>
        <vt:i4>5</vt:i4>
      </vt:variant>
      <vt:variant>
        <vt:lpwstr/>
      </vt:variant>
      <vt:variant>
        <vt:lpwstr>_Toc194994751</vt:lpwstr>
      </vt:variant>
      <vt:variant>
        <vt:i4>1441851</vt:i4>
      </vt:variant>
      <vt:variant>
        <vt:i4>104</vt:i4>
      </vt:variant>
      <vt:variant>
        <vt:i4>0</vt:i4>
      </vt:variant>
      <vt:variant>
        <vt:i4>5</vt:i4>
      </vt:variant>
      <vt:variant>
        <vt:lpwstr/>
      </vt:variant>
      <vt:variant>
        <vt:lpwstr>_Toc194994750</vt:lpwstr>
      </vt:variant>
      <vt:variant>
        <vt:i4>1507387</vt:i4>
      </vt:variant>
      <vt:variant>
        <vt:i4>98</vt:i4>
      </vt:variant>
      <vt:variant>
        <vt:i4>0</vt:i4>
      </vt:variant>
      <vt:variant>
        <vt:i4>5</vt:i4>
      </vt:variant>
      <vt:variant>
        <vt:lpwstr/>
      </vt:variant>
      <vt:variant>
        <vt:lpwstr>_Toc194994749</vt:lpwstr>
      </vt:variant>
      <vt:variant>
        <vt:i4>1507387</vt:i4>
      </vt:variant>
      <vt:variant>
        <vt:i4>92</vt:i4>
      </vt:variant>
      <vt:variant>
        <vt:i4>0</vt:i4>
      </vt:variant>
      <vt:variant>
        <vt:i4>5</vt:i4>
      </vt:variant>
      <vt:variant>
        <vt:lpwstr/>
      </vt:variant>
      <vt:variant>
        <vt:lpwstr>_Toc194994748</vt:lpwstr>
      </vt:variant>
      <vt:variant>
        <vt:i4>1507387</vt:i4>
      </vt:variant>
      <vt:variant>
        <vt:i4>86</vt:i4>
      </vt:variant>
      <vt:variant>
        <vt:i4>0</vt:i4>
      </vt:variant>
      <vt:variant>
        <vt:i4>5</vt:i4>
      </vt:variant>
      <vt:variant>
        <vt:lpwstr/>
      </vt:variant>
      <vt:variant>
        <vt:lpwstr>_Toc194994747</vt:lpwstr>
      </vt:variant>
      <vt:variant>
        <vt:i4>1507387</vt:i4>
      </vt:variant>
      <vt:variant>
        <vt:i4>80</vt:i4>
      </vt:variant>
      <vt:variant>
        <vt:i4>0</vt:i4>
      </vt:variant>
      <vt:variant>
        <vt:i4>5</vt:i4>
      </vt:variant>
      <vt:variant>
        <vt:lpwstr/>
      </vt:variant>
      <vt:variant>
        <vt:lpwstr>_Toc194994746</vt:lpwstr>
      </vt:variant>
      <vt:variant>
        <vt:i4>1507387</vt:i4>
      </vt:variant>
      <vt:variant>
        <vt:i4>74</vt:i4>
      </vt:variant>
      <vt:variant>
        <vt:i4>0</vt:i4>
      </vt:variant>
      <vt:variant>
        <vt:i4>5</vt:i4>
      </vt:variant>
      <vt:variant>
        <vt:lpwstr/>
      </vt:variant>
      <vt:variant>
        <vt:lpwstr>_Toc194994745</vt:lpwstr>
      </vt:variant>
      <vt:variant>
        <vt:i4>1507387</vt:i4>
      </vt:variant>
      <vt:variant>
        <vt:i4>68</vt:i4>
      </vt:variant>
      <vt:variant>
        <vt:i4>0</vt:i4>
      </vt:variant>
      <vt:variant>
        <vt:i4>5</vt:i4>
      </vt:variant>
      <vt:variant>
        <vt:lpwstr/>
      </vt:variant>
      <vt:variant>
        <vt:lpwstr>_Toc194994744</vt:lpwstr>
      </vt:variant>
      <vt:variant>
        <vt:i4>1507387</vt:i4>
      </vt:variant>
      <vt:variant>
        <vt:i4>62</vt:i4>
      </vt:variant>
      <vt:variant>
        <vt:i4>0</vt:i4>
      </vt:variant>
      <vt:variant>
        <vt:i4>5</vt:i4>
      </vt:variant>
      <vt:variant>
        <vt:lpwstr/>
      </vt:variant>
      <vt:variant>
        <vt:lpwstr>_Toc194994743</vt:lpwstr>
      </vt:variant>
      <vt:variant>
        <vt:i4>1507387</vt:i4>
      </vt:variant>
      <vt:variant>
        <vt:i4>56</vt:i4>
      </vt:variant>
      <vt:variant>
        <vt:i4>0</vt:i4>
      </vt:variant>
      <vt:variant>
        <vt:i4>5</vt:i4>
      </vt:variant>
      <vt:variant>
        <vt:lpwstr/>
      </vt:variant>
      <vt:variant>
        <vt:lpwstr>_Toc194994742</vt:lpwstr>
      </vt:variant>
      <vt:variant>
        <vt:i4>1507387</vt:i4>
      </vt:variant>
      <vt:variant>
        <vt:i4>50</vt:i4>
      </vt:variant>
      <vt:variant>
        <vt:i4>0</vt:i4>
      </vt:variant>
      <vt:variant>
        <vt:i4>5</vt:i4>
      </vt:variant>
      <vt:variant>
        <vt:lpwstr/>
      </vt:variant>
      <vt:variant>
        <vt:lpwstr>_Toc194994741</vt:lpwstr>
      </vt:variant>
      <vt:variant>
        <vt:i4>1507387</vt:i4>
      </vt:variant>
      <vt:variant>
        <vt:i4>44</vt:i4>
      </vt:variant>
      <vt:variant>
        <vt:i4>0</vt:i4>
      </vt:variant>
      <vt:variant>
        <vt:i4>5</vt:i4>
      </vt:variant>
      <vt:variant>
        <vt:lpwstr/>
      </vt:variant>
      <vt:variant>
        <vt:lpwstr>_Toc194994740</vt:lpwstr>
      </vt:variant>
      <vt:variant>
        <vt:i4>1048635</vt:i4>
      </vt:variant>
      <vt:variant>
        <vt:i4>38</vt:i4>
      </vt:variant>
      <vt:variant>
        <vt:i4>0</vt:i4>
      </vt:variant>
      <vt:variant>
        <vt:i4>5</vt:i4>
      </vt:variant>
      <vt:variant>
        <vt:lpwstr/>
      </vt:variant>
      <vt:variant>
        <vt:lpwstr>_Toc194994739</vt:lpwstr>
      </vt:variant>
      <vt:variant>
        <vt:i4>1048635</vt:i4>
      </vt:variant>
      <vt:variant>
        <vt:i4>32</vt:i4>
      </vt:variant>
      <vt:variant>
        <vt:i4>0</vt:i4>
      </vt:variant>
      <vt:variant>
        <vt:i4>5</vt:i4>
      </vt:variant>
      <vt:variant>
        <vt:lpwstr/>
      </vt:variant>
      <vt:variant>
        <vt:lpwstr>_Toc194994738</vt:lpwstr>
      </vt:variant>
      <vt:variant>
        <vt:i4>1048635</vt:i4>
      </vt:variant>
      <vt:variant>
        <vt:i4>26</vt:i4>
      </vt:variant>
      <vt:variant>
        <vt:i4>0</vt:i4>
      </vt:variant>
      <vt:variant>
        <vt:i4>5</vt:i4>
      </vt:variant>
      <vt:variant>
        <vt:lpwstr/>
      </vt:variant>
      <vt:variant>
        <vt:lpwstr>_Toc194994737</vt:lpwstr>
      </vt:variant>
      <vt:variant>
        <vt:i4>1048635</vt:i4>
      </vt:variant>
      <vt:variant>
        <vt:i4>20</vt:i4>
      </vt:variant>
      <vt:variant>
        <vt:i4>0</vt:i4>
      </vt:variant>
      <vt:variant>
        <vt:i4>5</vt:i4>
      </vt:variant>
      <vt:variant>
        <vt:lpwstr/>
      </vt:variant>
      <vt:variant>
        <vt:lpwstr>_Toc194994736</vt:lpwstr>
      </vt:variant>
      <vt:variant>
        <vt:i4>1048635</vt:i4>
      </vt:variant>
      <vt:variant>
        <vt:i4>14</vt:i4>
      </vt:variant>
      <vt:variant>
        <vt:i4>0</vt:i4>
      </vt:variant>
      <vt:variant>
        <vt:i4>5</vt:i4>
      </vt:variant>
      <vt:variant>
        <vt:lpwstr/>
      </vt:variant>
      <vt:variant>
        <vt:lpwstr>_Toc194994735</vt:lpwstr>
      </vt:variant>
      <vt:variant>
        <vt:i4>1048635</vt:i4>
      </vt:variant>
      <vt:variant>
        <vt:i4>8</vt:i4>
      </vt:variant>
      <vt:variant>
        <vt:i4>0</vt:i4>
      </vt:variant>
      <vt:variant>
        <vt:i4>5</vt:i4>
      </vt:variant>
      <vt:variant>
        <vt:lpwstr/>
      </vt:variant>
      <vt:variant>
        <vt:lpwstr>_Toc194994734</vt:lpwstr>
      </vt:variant>
      <vt:variant>
        <vt:i4>1048635</vt:i4>
      </vt:variant>
      <vt:variant>
        <vt:i4>2</vt:i4>
      </vt:variant>
      <vt:variant>
        <vt:i4>0</vt:i4>
      </vt:variant>
      <vt:variant>
        <vt:i4>5</vt:i4>
      </vt:variant>
      <vt:variant>
        <vt:lpwstr/>
      </vt:variant>
      <vt:variant>
        <vt:lpwstr>_Toc194994733</vt:lpwstr>
      </vt:variant>
      <vt:variant>
        <vt:i4>7798883</vt:i4>
      </vt:variant>
      <vt:variant>
        <vt:i4>18</vt:i4>
      </vt:variant>
      <vt:variant>
        <vt:i4>0</vt:i4>
      </vt:variant>
      <vt:variant>
        <vt:i4>5</vt:i4>
      </vt:variant>
      <vt:variant>
        <vt:lpwstr>https://ecqi.healthit.gov/sites/default/files/QDM-v5.6-508.pdf</vt:lpwstr>
      </vt:variant>
      <vt:variant>
        <vt:lpwstr/>
      </vt:variant>
      <vt:variant>
        <vt:i4>4456521</vt:i4>
      </vt:variant>
      <vt:variant>
        <vt:i4>15</vt:i4>
      </vt:variant>
      <vt:variant>
        <vt:i4>0</vt:i4>
      </vt:variant>
      <vt:variant>
        <vt:i4>5</vt:i4>
      </vt:variant>
      <vt:variant>
        <vt:lpwstr>https://www.healthit.gov/isa/</vt:lpwstr>
      </vt:variant>
      <vt:variant>
        <vt:lpwstr/>
      </vt:variant>
      <vt:variant>
        <vt:i4>4456521</vt:i4>
      </vt:variant>
      <vt:variant>
        <vt:i4>12</vt:i4>
      </vt:variant>
      <vt:variant>
        <vt:i4>0</vt:i4>
      </vt:variant>
      <vt:variant>
        <vt:i4>5</vt:i4>
      </vt:variant>
      <vt:variant>
        <vt:lpwstr>https://www.healthit.gov/isa/</vt:lpwstr>
      </vt:variant>
      <vt:variant>
        <vt:lpwstr/>
      </vt:variant>
      <vt:variant>
        <vt:i4>4259854</vt:i4>
      </vt:variant>
      <vt:variant>
        <vt:i4>9</vt:i4>
      </vt:variant>
      <vt:variant>
        <vt:i4>0</vt:i4>
      </vt:variant>
      <vt:variant>
        <vt:i4>5</vt:i4>
      </vt:variant>
      <vt:variant>
        <vt:lpwstr>https://mmshub.cms.gov/tools-and-resources/mms-supplemental-materials</vt:lpwstr>
      </vt:variant>
      <vt:variant>
        <vt:lpwstr/>
      </vt:variant>
      <vt:variant>
        <vt:i4>6684791</vt:i4>
      </vt:variant>
      <vt:variant>
        <vt:i4>6</vt:i4>
      </vt:variant>
      <vt:variant>
        <vt:i4>0</vt:i4>
      </vt:variant>
      <vt:variant>
        <vt:i4>5</vt:i4>
      </vt:variant>
      <vt:variant>
        <vt:lpwstr>https://ecqi.healthit.gov/glossary</vt:lpwstr>
      </vt:variant>
      <vt:variant>
        <vt:lpwstr/>
      </vt:variant>
      <vt:variant>
        <vt:i4>4259854</vt:i4>
      </vt:variant>
      <vt:variant>
        <vt:i4>3</vt:i4>
      </vt:variant>
      <vt:variant>
        <vt:i4>0</vt:i4>
      </vt:variant>
      <vt:variant>
        <vt:i4>5</vt:i4>
      </vt:variant>
      <vt:variant>
        <vt:lpwstr>https://mmshub.cms.gov/tools-and-resources/mms-supplemental-materials</vt:lpwstr>
      </vt:variant>
      <vt:variant>
        <vt:lpwstr/>
      </vt:variant>
      <vt:variant>
        <vt:i4>6684791</vt:i4>
      </vt:variant>
      <vt:variant>
        <vt:i4>0</vt:i4>
      </vt:variant>
      <vt:variant>
        <vt:i4>0</vt:i4>
      </vt:variant>
      <vt:variant>
        <vt:i4>5</vt:i4>
      </vt:variant>
      <vt:variant>
        <vt:lpwstr>https://ecqi.healthit.gov/glossary</vt:lpwstr>
      </vt:variant>
      <vt:variant>
        <vt:lpwstr/>
      </vt:variant>
      <vt:variant>
        <vt:i4>1441833</vt:i4>
      </vt:variant>
      <vt:variant>
        <vt:i4>3</vt:i4>
      </vt:variant>
      <vt:variant>
        <vt:i4>0</vt:i4>
      </vt:variant>
      <vt:variant>
        <vt:i4>5</vt:i4>
      </vt:variant>
      <vt:variant>
        <vt:lpwstr>mailto:kburlison@air.org</vt:lpwstr>
      </vt:variant>
      <vt:variant>
        <vt:lpwstr/>
      </vt:variant>
      <vt:variant>
        <vt:i4>458789</vt:i4>
      </vt:variant>
      <vt:variant>
        <vt:i4>0</vt:i4>
      </vt:variant>
      <vt:variant>
        <vt:i4>0</vt:i4>
      </vt:variant>
      <vt:variant>
        <vt:i4>5</vt:i4>
      </vt:variant>
      <vt:variant>
        <vt:lpwstr>mailto:mlefebvre@air.org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eCQM Logic and Implementation Guidance for 2026 Reporting/Performance</dc:title>
  <dc:subject>Resource for Eligible Clinician and Hospital eCQM Implementers</dc:subject>
  <dc:creator>Centers for Medicare &amp; Medicaid Services/Office of the National Coordinator for Health Information Technology</dc:creator>
  <cp:keywords>eCQM; eligible clinicians; hospitals; outpatient; CQL; logic; implementation; guide; guidance; CMS; electronic; clinical; quality; measure; language</cp:keywords>
  <dc:description/>
  <cp:lastModifiedBy>Moriah Bauman - Mathematica</cp:lastModifiedBy>
  <cp:revision>65</cp:revision>
  <dcterms:created xsi:type="dcterms:W3CDTF">2025-10-08T21:31:00Z</dcterms:created>
  <dcterms:modified xsi:type="dcterms:W3CDTF">2026-01-05T23:07:00Z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0x0101009CB39C152DDB92498BB4EE3A298672FE</vt:lpwstr>
  </property>
  <property fmtid="{D5CDD505-2E9C-101B-9397-08002B2CF9AE}" pid="4" name="MediaServiceImageTags">
    <vt:lpwstr/>
  </property>
  <property fmtid="{D5CDD505-2E9C-101B-9397-08002B2CF9AE}" pid="5" name="docLang">
    <vt:lpwstr>en</vt:lpwstr>
  </property>
  <property fmtid="{D5CDD505-2E9C-101B-9397-08002B2CF9AE}" pid="6" name="GrammarlyDocumentId">
    <vt:lpwstr>f4ba39b9-1a1e-4700-89b8-0305f9dfee96</vt:lpwstr>
  </property>
</Properties>
</file>