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2.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4.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5.xml" ContentType="application/vnd.openxmlformats-officedocument.wordprocessingml.footer+xml"/>
  <Override PartName="/word/header24.xml" ContentType="application/vnd.openxmlformats-officedocument.wordprocessingml.header+xml"/>
  <Override PartName="/word/footer6.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2" w14:textId="240310D2" w:rsidR="00D67C8C" w:rsidRPr="005E64B8" w:rsidRDefault="0005055A" w:rsidP="00525F2A">
      <w:pPr>
        <w:pStyle w:val="Title-CMStopline"/>
      </w:pPr>
      <w:r>
        <w:drawing>
          <wp:anchor distT="0" distB="0" distL="114300" distR="114300" simplePos="0" relativeHeight="251658240" behindDoc="0" locked="0" layoutInCell="1" allowOverlap="1" wp14:anchorId="33C9F620" wp14:editId="141036C9">
            <wp:simplePos x="0" y="0"/>
            <wp:positionH relativeFrom="column">
              <wp:posOffset>0</wp:posOffset>
            </wp:positionH>
            <wp:positionV relativeFrom="paragraph">
              <wp:posOffset>-635</wp:posOffset>
            </wp:positionV>
            <wp:extent cx="2240280" cy="767715"/>
            <wp:effectExtent l="0" t="0" r="0" b="0"/>
            <wp:wrapNone/>
            <wp:docPr id="251191999" name="image3.png" descr="Centers for Medicare &amp; Medicaid Services (CM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191999" name="image3.png" descr="Centers for Medicare &amp; Medicaid Services (CMS) logo"/>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40280" cy="767715"/>
                    </a:xfrm>
                    <a:prstGeom prst="rect">
                      <a:avLst/>
                    </a:prstGeom>
                    <a:noFill/>
                    <a:ln>
                      <a:noFill/>
                    </a:ln>
                  </pic:spPr>
                </pic:pic>
              </a:graphicData>
            </a:graphic>
            <wp14:sizeRelH relativeFrom="page">
              <wp14:pctWidth>0</wp14:pctWidth>
            </wp14:sizeRelH>
            <wp14:sizeRelV relativeFrom="page">
              <wp14:pctHeight>0</wp14:pctHeight>
            </wp14:sizeRelV>
          </wp:anchor>
        </w:drawing>
      </w:r>
      <w:r w:rsidR="00C80A11" w:rsidRPr="005E64B8">
        <w:t>Centers for Medicare &amp; Medicaid Services</w:t>
      </w:r>
    </w:p>
    <w:p w14:paraId="00000005" w14:textId="373D33BE" w:rsidR="00D67C8C" w:rsidRPr="001C19B1" w:rsidRDefault="00161739" w:rsidP="001C19B1">
      <w:pPr>
        <w:pStyle w:val="Title"/>
      </w:pPr>
      <w:bookmarkStart w:id="0" w:name="_heading=h.147n2zr" w:colFirst="0" w:colLast="0"/>
      <w:bookmarkStart w:id="1" w:name="_Toc91742211"/>
      <w:bookmarkEnd w:id="0"/>
      <w:r>
        <w:t>Guide for Reading Electronic Clinical Quality Measures (eCQMs)</w:t>
      </w:r>
      <w:bookmarkEnd w:id="1"/>
    </w:p>
    <w:p w14:paraId="00000006" w14:textId="3CB6A1CB" w:rsidR="00D67C8C" w:rsidRPr="005E64B8" w:rsidRDefault="00C80A11" w:rsidP="00525F2A">
      <w:pPr>
        <w:pStyle w:val="Title-Version"/>
      </w:pPr>
      <w:r w:rsidRPr="005E64B8">
        <w:t>Versio</w:t>
      </w:r>
      <w:r w:rsidR="00320541" w:rsidRPr="005E64B8">
        <w:t xml:space="preserve">n </w:t>
      </w:r>
      <w:r w:rsidR="00B27B2C">
        <w:rPr>
          <w:rFonts w:cs="Arial Narrow"/>
          <w:szCs w:val="32"/>
        </w:rPr>
        <w:t>12</w:t>
      </w:r>
      <w:r w:rsidRPr="005E64B8">
        <w:t>.0</w:t>
      </w:r>
    </w:p>
    <w:p w14:paraId="7DE4508B" w14:textId="4569B58C" w:rsidR="00593AB5" w:rsidRDefault="00593AB5" w:rsidP="00525F2A">
      <w:pPr>
        <w:pStyle w:val="PubDate"/>
        <w:rPr>
          <w:rFonts w:eastAsia="Arial Narrow"/>
        </w:rPr>
      </w:pPr>
      <w:r>
        <w:rPr>
          <w:rFonts w:eastAsia="Arial Narrow"/>
        </w:rPr>
        <w:t xml:space="preserve">May </w:t>
      </w:r>
      <w:r w:rsidR="00B27B2C">
        <w:rPr>
          <w:rFonts w:eastAsia="Arial Narrow"/>
        </w:rPr>
        <w:t>2026</w:t>
      </w:r>
    </w:p>
    <w:p w14:paraId="7F93397C" w14:textId="77777777" w:rsidR="00525F2A" w:rsidRDefault="00525F2A">
      <w:pPr>
        <w:spacing w:after="0"/>
      </w:pPr>
    </w:p>
    <w:p w14:paraId="08EB3E21" w14:textId="77777777" w:rsidR="00525F2A" w:rsidRDefault="00525F2A">
      <w:pPr>
        <w:spacing w:after="0"/>
        <w:sectPr w:rsidR="00525F2A" w:rsidSect="005E64B8">
          <w:headerReference w:type="even" r:id="rId16"/>
          <w:headerReference w:type="default" r:id="rId17"/>
          <w:footerReference w:type="default" r:id="rId18"/>
          <w:headerReference w:type="first" r:id="rId19"/>
          <w:pgSz w:w="12240" w:h="15840"/>
          <w:pgMar w:top="1440" w:right="1440" w:bottom="1440" w:left="1440" w:header="504" w:footer="504" w:gutter="0"/>
          <w:cols w:space="720"/>
          <w:titlePg/>
        </w:sectPr>
      </w:pPr>
    </w:p>
    <w:sdt>
      <w:sdtPr>
        <w:rPr>
          <w:rFonts w:ascii="Times New Roman" w:eastAsiaTheme="minorHAnsi" w:hAnsi="Times New Roman" w:cstheme="minorBidi"/>
          <w:color w:val="auto"/>
          <w:sz w:val="24"/>
          <w:szCs w:val="22"/>
        </w:rPr>
        <w:id w:val="-1030496420"/>
        <w:docPartObj>
          <w:docPartGallery w:val="Table of Contents"/>
          <w:docPartUnique/>
        </w:docPartObj>
      </w:sdtPr>
      <w:sdtEndPr/>
      <w:sdtContent>
        <w:p w14:paraId="258A31AD" w14:textId="01041ABB" w:rsidR="007F4BD6" w:rsidRDefault="007F4BD6" w:rsidP="008B32F3">
          <w:pPr>
            <w:pStyle w:val="TOCHeading"/>
          </w:pPr>
          <w:r>
            <w:t>Table of Contents</w:t>
          </w:r>
        </w:p>
        <w:p w14:paraId="02D3E3F5" w14:textId="42E4378E" w:rsidR="00317805" w:rsidRDefault="007F4BD6">
          <w:pPr>
            <w:pStyle w:val="TOC1"/>
            <w:rPr>
              <w:rFonts w:asciiTheme="minorHAnsi" w:eastAsiaTheme="minorEastAsia" w:hAnsiTheme="minorHAnsi"/>
              <w:b w:val="0"/>
              <w:noProof/>
              <w:kern w:val="2"/>
              <w:szCs w:val="24"/>
              <w14:ligatures w14:val="standardContextual"/>
            </w:rPr>
          </w:pPr>
          <w:r>
            <w:rPr>
              <w:b w:val="0"/>
            </w:rPr>
            <w:fldChar w:fldCharType="begin"/>
          </w:r>
          <w:r>
            <w:instrText xml:space="preserve"> TOC \h \z \t "Acknowledgment,1,Appendix Title,8,Attachment Title,1,H1,1,ES</w:instrText>
          </w:r>
          <w:r w:rsidRPr="009A19A8">
            <w:instrText xml:space="preserve"> H1,1,</w:instrText>
          </w:r>
          <w:r>
            <w:instrText xml:space="preserve">H1-Num,1,H2,2,H2-Num,2,H3,3,H3-Num,3" </w:instrText>
          </w:r>
          <w:r>
            <w:rPr>
              <w:b w:val="0"/>
            </w:rPr>
            <w:fldChar w:fldCharType="separate"/>
          </w:r>
          <w:hyperlink w:anchor="_Toc195047550" w:history="1">
            <w:r w:rsidR="00317805" w:rsidRPr="002518DB">
              <w:rPr>
                <w:rStyle w:val="Hyperlink"/>
                <w:noProof/>
              </w:rPr>
              <w:t>1.</w:t>
            </w:r>
            <w:r w:rsidR="00317805">
              <w:rPr>
                <w:rFonts w:asciiTheme="minorHAnsi" w:eastAsiaTheme="minorEastAsia" w:hAnsiTheme="minorHAnsi"/>
                <w:b w:val="0"/>
                <w:noProof/>
                <w:kern w:val="2"/>
                <w:szCs w:val="24"/>
                <w14:ligatures w14:val="standardContextual"/>
              </w:rPr>
              <w:tab/>
            </w:r>
            <w:r w:rsidR="00317805" w:rsidRPr="002518DB">
              <w:rPr>
                <w:rStyle w:val="Hyperlink"/>
                <w:noProof/>
              </w:rPr>
              <w:t>Introduction</w:t>
            </w:r>
            <w:r w:rsidR="00317805">
              <w:rPr>
                <w:noProof/>
                <w:webHidden/>
              </w:rPr>
              <w:tab/>
            </w:r>
            <w:r w:rsidR="00317805">
              <w:rPr>
                <w:noProof/>
                <w:webHidden/>
              </w:rPr>
              <w:fldChar w:fldCharType="begin"/>
            </w:r>
            <w:r w:rsidR="00317805">
              <w:rPr>
                <w:noProof/>
                <w:webHidden/>
              </w:rPr>
              <w:instrText xml:space="preserve"> PAGEREF _Toc195047550 \h </w:instrText>
            </w:r>
            <w:r w:rsidR="00317805">
              <w:rPr>
                <w:noProof/>
                <w:webHidden/>
              </w:rPr>
            </w:r>
            <w:r w:rsidR="00317805">
              <w:rPr>
                <w:noProof/>
                <w:webHidden/>
              </w:rPr>
              <w:fldChar w:fldCharType="separate"/>
            </w:r>
            <w:r w:rsidR="00811E4E">
              <w:rPr>
                <w:noProof/>
                <w:webHidden/>
              </w:rPr>
              <w:t>1</w:t>
            </w:r>
            <w:r w:rsidR="00317805">
              <w:rPr>
                <w:noProof/>
                <w:webHidden/>
              </w:rPr>
              <w:fldChar w:fldCharType="end"/>
            </w:r>
          </w:hyperlink>
        </w:p>
        <w:p w14:paraId="15DCF171" w14:textId="146999CC" w:rsidR="00317805" w:rsidRDefault="00317805">
          <w:pPr>
            <w:pStyle w:val="TOC2"/>
            <w:tabs>
              <w:tab w:val="left" w:pos="1008"/>
            </w:tabs>
            <w:rPr>
              <w:rFonts w:asciiTheme="minorHAnsi" w:eastAsiaTheme="minorEastAsia" w:hAnsiTheme="minorHAnsi"/>
              <w:noProof/>
              <w:kern w:val="2"/>
              <w:szCs w:val="24"/>
              <w14:ligatures w14:val="standardContextual"/>
            </w:rPr>
          </w:pPr>
          <w:hyperlink w:anchor="_Toc195047551" w:history="1">
            <w:r w:rsidRPr="002518DB">
              <w:rPr>
                <w:rStyle w:val="Hyperlink"/>
                <w:noProof/>
              </w:rPr>
              <w:t>1.1</w:t>
            </w:r>
            <w:r>
              <w:rPr>
                <w:rFonts w:asciiTheme="minorHAnsi" w:eastAsiaTheme="minorEastAsia" w:hAnsiTheme="minorHAnsi"/>
                <w:noProof/>
                <w:kern w:val="2"/>
                <w:szCs w:val="24"/>
                <w14:ligatures w14:val="standardContextual"/>
              </w:rPr>
              <w:tab/>
            </w:r>
            <w:r w:rsidRPr="002518DB">
              <w:rPr>
                <w:rStyle w:val="Hyperlink"/>
                <w:noProof/>
              </w:rPr>
              <w:t>Using This Guide</w:t>
            </w:r>
            <w:r>
              <w:rPr>
                <w:noProof/>
                <w:webHidden/>
              </w:rPr>
              <w:tab/>
            </w:r>
            <w:r>
              <w:rPr>
                <w:noProof/>
                <w:webHidden/>
              </w:rPr>
              <w:fldChar w:fldCharType="begin"/>
            </w:r>
            <w:r>
              <w:rPr>
                <w:noProof/>
                <w:webHidden/>
              </w:rPr>
              <w:instrText xml:space="preserve"> PAGEREF _Toc195047551 \h </w:instrText>
            </w:r>
            <w:r>
              <w:rPr>
                <w:noProof/>
                <w:webHidden/>
              </w:rPr>
            </w:r>
            <w:r>
              <w:rPr>
                <w:noProof/>
                <w:webHidden/>
              </w:rPr>
              <w:fldChar w:fldCharType="separate"/>
            </w:r>
            <w:r w:rsidR="00811E4E">
              <w:rPr>
                <w:noProof/>
                <w:webHidden/>
              </w:rPr>
              <w:t>1</w:t>
            </w:r>
            <w:r>
              <w:rPr>
                <w:noProof/>
                <w:webHidden/>
              </w:rPr>
              <w:fldChar w:fldCharType="end"/>
            </w:r>
          </w:hyperlink>
        </w:p>
        <w:p w14:paraId="582741CF" w14:textId="08F7A9AD" w:rsidR="00317805" w:rsidRDefault="00317805">
          <w:pPr>
            <w:pStyle w:val="TOC1"/>
            <w:rPr>
              <w:rFonts w:asciiTheme="minorHAnsi" w:eastAsiaTheme="minorEastAsia" w:hAnsiTheme="minorHAnsi"/>
              <w:b w:val="0"/>
              <w:noProof/>
              <w:kern w:val="2"/>
              <w:szCs w:val="24"/>
              <w14:ligatures w14:val="standardContextual"/>
            </w:rPr>
          </w:pPr>
          <w:hyperlink w:anchor="_Toc195047552" w:history="1">
            <w:r w:rsidRPr="002518DB">
              <w:rPr>
                <w:rStyle w:val="Hyperlink"/>
                <w:noProof/>
              </w:rPr>
              <w:t>2.</w:t>
            </w:r>
            <w:r>
              <w:rPr>
                <w:rFonts w:asciiTheme="minorHAnsi" w:eastAsiaTheme="minorEastAsia" w:hAnsiTheme="minorHAnsi"/>
                <w:b w:val="0"/>
                <w:noProof/>
                <w:kern w:val="2"/>
                <w:szCs w:val="24"/>
                <w14:ligatures w14:val="standardContextual"/>
              </w:rPr>
              <w:tab/>
            </w:r>
            <w:r w:rsidRPr="002518DB">
              <w:rPr>
                <w:rStyle w:val="Hyperlink"/>
                <w:noProof/>
              </w:rPr>
              <w:t>eCQM Building Blocks—Standards and Tools</w:t>
            </w:r>
            <w:r>
              <w:rPr>
                <w:noProof/>
                <w:webHidden/>
              </w:rPr>
              <w:tab/>
            </w:r>
            <w:r>
              <w:rPr>
                <w:noProof/>
                <w:webHidden/>
              </w:rPr>
              <w:fldChar w:fldCharType="begin"/>
            </w:r>
            <w:r>
              <w:rPr>
                <w:noProof/>
                <w:webHidden/>
              </w:rPr>
              <w:instrText xml:space="preserve"> PAGEREF _Toc195047552 \h </w:instrText>
            </w:r>
            <w:r>
              <w:rPr>
                <w:noProof/>
                <w:webHidden/>
              </w:rPr>
            </w:r>
            <w:r>
              <w:rPr>
                <w:noProof/>
                <w:webHidden/>
              </w:rPr>
              <w:fldChar w:fldCharType="separate"/>
            </w:r>
            <w:r w:rsidR="00811E4E">
              <w:rPr>
                <w:noProof/>
                <w:webHidden/>
              </w:rPr>
              <w:t>2</w:t>
            </w:r>
            <w:r>
              <w:rPr>
                <w:noProof/>
                <w:webHidden/>
              </w:rPr>
              <w:fldChar w:fldCharType="end"/>
            </w:r>
          </w:hyperlink>
        </w:p>
        <w:p w14:paraId="75149729" w14:textId="3041CE7C" w:rsidR="00317805" w:rsidRDefault="00317805">
          <w:pPr>
            <w:pStyle w:val="TOC2"/>
            <w:tabs>
              <w:tab w:val="left" w:pos="1008"/>
            </w:tabs>
            <w:rPr>
              <w:rFonts w:asciiTheme="minorHAnsi" w:eastAsiaTheme="minorEastAsia" w:hAnsiTheme="minorHAnsi"/>
              <w:noProof/>
              <w:kern w:val="2"/>
              <w:szCs w:val="24"/>
              <w14:ligatures w14:val="standardContextual"/>
            </w:rPr>
          </w:pPr>
          <w:hyperlink w:anchor="_Toc195047553" w:history="1">
            <w:r w:rsidRPr="002518DB">
              <w:rPr>
                <w:rStyle w:val="Hyperlink"/>
                <w:noProof/>
              </w:rPr>
              <w:t>2.1</w:t>
            </w:r>
            <w:r>
              <w:rPr>
                <w:rFonts w:asciiTheme="minorHAnsi" w:eastAsiaTheme="minorEastAsia" w:hAnsiTheme="minorHAnsi"/>
                <w:noProof/>
                <w:kern w:val="2"/>
                <w:szCs w:val="24"/>
                <w14:ligatures w14:val="standardContextual"/>
              </w:rPr>
              <w:tab/>
            </w:r>
            <w:r w:rsidRPr="002518DB">
              <w:rPr>
                <w:rStyle w:val="Hyperlink"/>
                <w:noProof/>
              </w:rPr>
              <w:t>Standards</w:t>
            </w:r>
            <w:r>
              <w:rPr>
                <w:noProof/>
                <w:webHidden/>
              </w:rPr>
              <w:tab/>
            </w:r>
            <w:r>
              <w:rPr>
                <w:noProof/>
                <w:webHidden/>
              </w:rPr>
              <w:fldChar w:fldCharType="begin"/>
            </w:r>
            <w:r>
              <w:rPr>
                <w:noProof/>
                <w:webHidden/>
              </w:rPr>
              <w:instrText xml:space="preserve"> PAGEREF _Toc195047553 \h </w:instrText>
            </w:r>
            <w:r>
              <w:rPr>
                <w:noProof/>
                <w:webHidden/>
              </w:rPr>
            </w:r>
            <w:r>
              <w:rPr>
                <w:noProof/>
                <w:webHidden/>
              </w:rPr>
              <w:fldChar w:fldCharType="separate"/>
            </w:r>
            <w:r w:rsidR="00811E4E">
              <w:rPr>
                <w:noProof/>
                <w:webHidden/>
              </w:rPr>
              <w:t>2</w:t>
            </w:r>
            <w:r>
              <w:rPr>
                <w:noProof/>
                <w:webHidden/>
              </w:rPr>
              <w:fldChar w:fldCharType="end"/>
            </w:r>
          </w:hyperlink>
        </w:p>
        <w:p w14:paraId="31F7EE7D" w14:textId="498C3733"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54" w:history="1">
            <w:r w:rsidRPr="002518DB">
              <w:rPr>
                <w:rStyle w:val="Hyperlink"/>
                <w:noProof/>
              </w:rPr>
              <w:t>2.1.1</w:t>
            </w:r>
            <w:r>
              <w:rPr>
                <w:rFonts w:asciiTheme="minorHAnsi" w:eastAsiaTheme="minorEastAsia" w:hAnsiTheme="minorHAnsi"/>
                <w:noProof/>
                <w:kern w:val="2"/>
                <w:szCs w:val="24"/>
                <w14:ligatures w14:val="standardContextual"/>
              </w:rPr>
              <w:tab/>
            </w:r>
            <w:r w:rsidRPr="002518DB">
              <w:rPr>
                <w:rStyle w:val="Hyperlink"/>
                <w:noProof/>
              </w:rPr>
              <w:t>Health Quality Measure Format</w:t>
            </w:r>
            <w:r>
              <w:rPr>
                <w:noProof/>
                <w:webHidden/>
              </w:rPr>
              <w:tab/>
            </w:r>
            <w:r>
              <w:rPr>
                <w:noProof/>
                <w:webHidden/>
              </w:rPr>
              <w:fldChar w:fldCharType="begin"/>
            </w:r>
            <w:r>
              <w:rPr>
                <w:noProof/>
                <w:webHidden/>
              </w:rPr>
              <w:instrText xml:space="preserve"> PAGEREF _Toc195047554 \h </w:instrText>
            </w:r>
            <w:r>
              <w:rPr>
                <w:noProof/>
                <w:webHidden/>
              </w:rPr>
            </w:r>
            <w:r>
              <w:rPr>
                <w:noProof/>
                <w:webHidden/>
              </w:rPr>
              <w:fldChar w:fldCharType="separate"/>
            </w:r>
            <w:r w:rsidR="00811E4E">
              <w:rPr>
                <w:noProof/>
                <w:webHidden/>
              </w:rPr>
              <w:t>2</w:t>
            </w:r>
            <w:r>
              <w:rPr>
                <w:noProof/>
                <w:webHidden/>
              </w:rPr>
              <w:fldChar w:fldCharType="end"/>
            </w:r>
          </w:hyperlink>
        </w:p>
        <w:p w14:paraId="0F850F26" w14:textId="4804478E"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55" w:history="1">
            <w:r w:rsidRPr="002518DB">
              <w:rPr>
                <w:rStyle w:val="Hyperlink"/>
                <w:noProof/>
              </w:rPr>
              <w:t>2.1.2</w:t>
            </w:r>
            <w:r>
              <w:rPr>
                <w:rFonts w:asciiTheme="minorHAnsi" w:eastAsiaTheme="minorEastAsia" w:hAnsiTheme="minorHAnsi"/>
                <w:noProof/>
                <w:kern w:val="2"/>
                <w:szCs w:val="24"/>
                <w14:ligatures w14:val="standardContextual"/>
              </w:rPr>
              <w:tab/>
            </w:r>
            <w:r w:rsidRPr="002518DB">
              <w:rPr>
                <w:rStyle w:val="Hyperlink"/>
                <w:noProof/>
              </w:rPr>
              <w:t>Quality Data Model</w:t>
            </w:r>
            <w:r>
              <w:rPr>
                <w:noProof/>
                <w:webHidden/>
              </w:rPr>
              <w:tab/>
            </w:r>
            <w:r>
              <w:rPr>
                <w:noProof/>
                <w:webHidden/>
              </w:rPr>
              <w:fldChar w:fldCharType="begin"/>
            </w:r>
            <w:r>
              <w:rPr>
                <w:noProof/>
                <w:webHidden/>
              </w:rPr>
              <w:instrText xml:space="preserve"> PAGEREF _Toc195047555 \h </w:instrText>
            </w:r>
            <w:r>
              <w:rPr>
                <w:noProof/>
                <w:webHidden/>
              </w:rPr>
            </w:r>
            <w:r>
              <w:rPr>
                <w:noProof/>
                <w:webHidden/>
              </w:rPr>
              <w:fldChar w:fldCharType="separate"/>
            </w:r>
            <w:r w:rsidR="00811E4E">
              <w:rPr>
                <w:noProof/>
                <w:webHidden/>
              </w:rPr>
              <w:t>2</w:t>
            </w:r>
            <w:r>
              <w:rPr>
                <w:noProof/>
                <w:webHidden/>
              </w:rPr>
              <w:fldChar w:fldCharType="end"/>
            </w:r>
          </w:hyperlink>
        </w:p>
        <w:p w14:paraId="7EA2E132" w14:textId="33A3099C"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56" w:history="1">
            <w:r w:rsidRPr="002518DB">
              <w:rPr>
                <w:rStyle w:val="Hyperlink"/>
                <w:noProof/>
              </w:rPr>
              <w:t>2.1.3</w:t>
            </w:r>
            <w:r>
              <w:rPr>
                <w:rFonts w:asciiTheme="minorHAnsi" w:eastAsiaTheme="minorEastAsia" w:hAnsiTheme="minorHAnsi"/>
                <w:noProof/>
                <w:kern w:val="2"/>
                <w:szCs w:val="24"/>
                <w14:ligatures w14:val="standardContextual"/>
              </w:rPr>
              <w:tab/>
            </w:r>
            <w:r w:rsidRPr="002518DB">
              <w:rPr>
                <w:rStyle w:val="Hyperlink"/>
                <w:noProof/>
              </w:rPr>
              <w:t>CQL</w:t>
            </w:r>
            <w:r>
              <w:rPr>
                <w:noProof/>
                <w:webHidden/>
              </w:rPr>
              <w:tab/>
            </w:r>
            <w:r>
              <w:rPr>
                <w:noProof/>
                <w:webHidden/>
              </w:rPr>
              <w:fldChar w:fldCharType="begin"/>
            </w:r>
            <w:r>
              <w:rPr>
                <w:noProof/>
                <w:webHidden/>
              </w:rPr>
              <w:instrText xml:space="preserve"> PAGEREF _Toc195047556 \h </w:instrText>
            </w:r>
            <w:r>
              <w:rPr>
                <w:noProof/>
                <w:webHidden/>
              </w:rPr>
            </w:r>
            <w:r>
              <w:rPr>
                <w:noProof/>
                <w:webHidden/>
              </w:rPr>
              <w:fldChar w:fldCharType="separate"/>
            </w:r>
            <w:r w:rsidR="00811E4E">
              <w:rPr>
                <w:noProof/>
                <w:webHidden/>
              </w:rPr>
              <w:t>4</w:t>
            </w:r>
            <w:r>
              <w:rPr>
                <w:noProof/>
                <w:webHidden/>
              </w:rPr>
              <w:fldChar w:fldCharType="end"/>
            </w:r>
          </w:hyperlink>
        </w:p>
        <w:p w14:paraId="49A62470" w14:textId="733FA7CA" w:rsidR="00317805" w:rsidRDefault="00317805">
          <w:pPr>
            <w:pStyle w:val="TOC2"/>
            <w:tabs>
              <w:tab w:val="left" w:pos="1008"/>
            </w:tabs>
            <w:rPr>
              <w:rFonts w:asciiTheme="minorHAnsi" w:eastAsiaTheme="minorEastAsia" w:hAnsiTheme="minorHAnsi"/>
              <w:noProof/>
              <w:kern w:val="2"/>
              <w:szCs w:val="24"/>
              <w14:ligatures w14:val="standardContextual"/>
            </w:rPr>
          </w:pPr>
          <w:hyperlink w:anchor="_Toc195047557" w:history="1">
            <w:r w:rsidRPr="002518DB">
              <w:rPr>
                <w:rStyle w:val="Hyperlink"/>
                <w:noProof/>
              </w:rPr>
              <w:t>2.2</w:t>
            </w:r>
            <w:r>
              <w:rPr>
                <w:rFonts w:asciiTheme="minorHAnsi" w:eastAsiaTheme="minorEastAsia" w:hAnsiTheme="minorHAnsi"/>
                <w:noProof/>
                <w:kern w:val="2"/>
                <w:szCs w:val="24"/>
                <w14:ligatures w14:val="standardContextual"/>
              </w:rPr>
              <w:tab/>
            </w:r>
            <w:r w:rsidRPr="002518DB">
              <w:rPr>
                <w:rStyle w:val="Hyperlink"/>
                <w:noProof/>
              </w:rPr>
              <w:t>Tools</w:t>
            </w:r>
            <w:r>
              <w:rPr>
                <w:noProof/>
                <w:webHidden/>
              </w:rPr>
              <w:tab/>
            </w:r>
            <w:r>
              <w:rPr>
                <w:noProof/>
                <w:webHidden/>
              </w:rPr>
              <w:fldChar w:fldCharType="begin"/>
            </w:r>
            <w:r>
              <w:rPr>
                <w:noProof/>
                <w:webHidden/>
              </w:rPr>
              <w:instrText xml:space="preserve"> PAGEREF _Toc195047557 \h </w:instrText>
            </w:r>
            <w:r>
              <w:rPr>
                <w:noProof/>
                <w:webHidden/>
              </w:rPr>
            </w:r>
            <w:r>
              <w:rPr>
                <w:noProof/>
                <w:webHidden/>
              </w:rPr>
              <w:fldChar w:fldCharType="separate"/>
            </w:r>
            <w:r w:rsidR="00811E4E">
              <w:rPr>
                <w:noProof/>
                <w:webHidden/>
              </w:rPr>
              <w:t>4</w:t>
            </w:r>
            <w:r>
              <w:rPr>
                <w:noProof/>
                <w:webHidden/>
              </w:rPr>
              <w:fldChar w:fldCharType="end"/>
            </w:r>
          </w:hyperlink>
        </w:p>
        <w:p w14:paraId="05D0BE79" w14:textId="7B1F13A5"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58" w:history="1">
            <w:r w:rsidRPr="002518DB">
              <w:rPr>
                <w:rStyle w:val="Hyperlink"/>
                <w:noProof/>
              </w:rPr>
              <w:t>2.2.1</w:t>
            </w:r>
            <w:r>
              <w:rPr>
                <w:rFonts w:asciiTheme="minorHAnsi" w:eastAsiaTheme="minorEastAsia" w:hAnsiTheme="minorHAnsi"/>
                <w:noProof/>
                <w:kern w:val="2"/>
                <w:szCs w:val="24"/>
                <w14:ligatures w14:val="standardContextual"/>
              </w:rPr>
              <w:tab/>
            </w:r>
            <w:r w:rsidRPr="002518DB">
              <w:rPr>
                <w:rStyle w:val="Hyperlink"/>
                <w:noProof/>
              </w:rPr>
              <w:t>MADiE</w:t>
            </w:r>
            <w:r>
              <w:rPr>
                <w:noProof/>
                <w:webHidden/>
              </w:rPr>
              <w:tab/>
            </w:r>
            <w:r>
              <w:rPr>
                <w:noProof/>
                <w:webHidden/>
              </w:rPr>
              <w:fldChar w:fldCharType="begin"/>
            </w:r>
            <w:r>
              <w:rPr>
                <w:noProof/>
                <w:webHidden/>
              </w:rPr>
              <w:instrText xml:space="preserve"> PAGEREF _Toc195047558 \h </w:instrText>
            </w:r>
            <w:r>
              <w:rPr>
                <w:noProof/>
                <w:webHidden/>
              </w:rPr>
            </w:r>
            <w:r>
              <w:rPr>
                <w:noProof/>
                <w:webHidden/>
              </w:rPr>
              <w:fldChar w:fldCharType="separate"/>
            </w:r>
            <w:r w:rsidR="00811E4E">
              <w:rPr>
                <w:noProof/>
                <w:webHidden/>
              </w:rPr>
              <w:t>4</w:t>
            </w:r>
            <w:r>
              <w:rPr>
                <w:noProof/>
                <w:webHidden/>
              </w:rPr>
              <w:fldChar w:fldCharType="end"/>
            </w:r>
          </w:hyperlink>
        </w:p>
        <w:p w14:paraId="3427DD02" w14:textId="5BB5CFD7"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59" w:history="1">
            <w:r w:rsidRPr="002518DB">
              <w:rPr>
                <w:rStyle w:val="Hyperlink"/>
                <w:noProof/>
              </w:rPr>
              <w:t>2.2.2</w:t>
            </w:r>
            <w:r>
              <w:rPr>
                <w:rFonts w:asciiTheme="minorHAnsi" w:eastAsiaTheme="minorEastAsia" w:hAnsiTheme="minorHAnsi"/>
                <w:noProof/>
                <w:kern w:val="2"/>
                <w:szCs w:val="24"/>
                <w14:ligatures w14:val="standardContextual"/>
              </w:rPr>
              <w:tab/>
            </w:r>
            <w:r w:rsidRPr="002518DB">
              <w:rPr>
                <w:rStyle w:val="Hyperlink"/>
                <w:noProof/>
              </w:rPr>
              <w:t>Value Set Authority Center</w:t>
            </w:r>
            <w:r>
              <w:rPr>
                <w:noProof/>
                <w:webHidden/>
              </w:rPr>
              <w:tab/>
            </w:r>
            <w:r>
              <w:rPr>
                <w:noProof/>
                <w:webHidden/>
              </w:rPr>
              <w:fldChar w:fldCharType="begin"/>
            </w:r>
            <w:r>
              <w:rPr>
                <w:noProof/>
                <w:webHidden/>
              </w:rPr>
              <w:instrText xml:space="preserve"> PAGEREF _Toc195047559 \h </w:instrText>
            </w:r>
            <w:r>
              <w:rPr>
                <w:noProof/>
                <w:webHidden/>
              </w:rPr>
            </w:r>
            <w:r>
              <w:rPr>
                <w:noProof/>
                <w:webHidden/>
              </w:rPr>
              <w:fldChar w:fldCharType="separate"/>
            </w:r>
            <w:r w:rsidR="00811E4E">
              <w:rPr>
                <w:noProof/>
                <w:webHidden/>
              </w:rPr>
              <w:t>5</w:t>
            </w:r>
            <w:r>
              <w:rPr>
                <w:noProof/>
                <w:webHidden/>
              </w:rPr>
              <w:fldChar w:fldCharType="end"/>
            </w:r>
          </w:hyperlink>
        </w:p>
        <w:p w14:paraId="78566047" w14:textId="5AFBA34E" w:rsidR="00317805" w:rsidRDefault="00317805">
          <w:pPr>
            <w:pStyle w:val="TOC1"/>
            <w:rPr>
              <w:rFonts w:asciiTheme="minorHAnsi" w:eastAsiaTheme="minorEastAsia" w:hAnsiTheme="minorHAnsi"/>
              <w:b w:val="0"/>
              <w:noProof/>
              <w:kern w:val="2"/>
              <w:szCs w:val="24"/>
              <w14:ligatures w14:val="standardContextual"/>
            </w:rPr>
          </w:pPr>
          <w:hyperlink w:anchor="_Toc195047560" w:history="1">
            <w:r w:rsidRPr="002518DB">
              <w:rPr>
                <w:rStyle w:val="Hyperlink"/>
                <w:noProof/>
              </w:rPr>
              <w:t>3.</w:t>
            </w:r>
            <w:r>
              <w:rPr>
                <w:rFonts w:asciiTheme="minorHAnsi" w:eastAsiaTheme="minorEastAsia" w:hAnsiTheme="minorHAnsi"/>
                <w:b w:val="0"/>
                <w:noProof/>
                <w:kern w:val="2"/>
                <w:szCs w:val="24"/>
                <w14:ligatures w14:val="standardContextual"/>
              </w:rPr>
              <w:tab/>
            </w:r>
            <w:r w:rsidRPr="002518DB">
              <w:rPr>
                <w:rStyle w:val="Hyperlink"/>
                <w:noProof/>
              </w:rPr>
              <w:t>eCQM Package</w:t>
            </w:r>
            <w:r>
              <w:rPr>
                <w:noProof/>
                <w:webHidden/>
              </w:rPr>
              <w:tab/>
            </w:r>
            <w:r>
              <w:rPr>
                <w:noProof/>
                <w:webHidden/>
              </w:rPr>
              <w:fldChar w:fldCharType="begin"/>
            </w:r>
            <w:r>
              <w:rPr>
                <w:noProof/>
                <w:webHidden/>
              </w:rPr>
              <w:instrText xml:space="preserve"> PAGEREF _Toc195047560 \h </w:instrText>
            </w:r>
            <w:r>
              <w:rPr>
                <w:noProof/>
                <w:webHidden/>
              </w:rPr>
            </w:r>
            <w:r>
              <w:rPr>
                <w:noProof/>
                <w:webHidden/>
              </w:rPr>
              <w:fldChar w:fldCharType="separate"/>
            </w:r>
            <w:r w:rsidR="00811E4E">
              <w:rPr>
                <w:noProof/>
                <w:webHidden/>
              </w:rPr>
              <w:t>8</w:t>
            </w:r>
            <w:r>
              <w:rPr>
                <w:noProof/>
                <w:webHidden/>
              </w:rPr>
              <w:fldChar w:fldCharType="end"/>
            </w:r>
          </w:hyperlink>
        </w:p>
        <w:p w14:paraId="24B879BB" w14:textId="6C7D6058" w:rsidR="00317805" w:rsidRDefault="00317805">
          <w:pPr>
            <w:pStyle w:val="TOC2"/>
            <w:tabs>
              <w:tab w:val="left" w:pos="1008"/>
            </w:tabs>
            <w:rPr>
              <w:rFonts w:asciiTheme="minorHAnsi" w:eastAsiaTheme="minorEastAsia" w:hAnsiTheme="minorHAnsi"/>
              <w:noProof/>
              <w:kern w:val="2"/>
              <w:szCs w:val="24"/>
              <w14:ligatures w14:val="standardContextual"/>
            </w:rPr>
          </w:pPr>
          <w:hyperlink w:anchor="_Toc195047561" w:history="1">
            <w:r w:rsidRPr="002518DB">
              <w:rPr>
                <w:rStyle w:val="Hyperlink"/>
                <w:noProof/>
              </w:rPr>
              <w:t>3.1</w:t>
            </w:r>
            <w:r>
              <w:rPr>
                <w:rFonts w:asciiTheme="minorHAnsi" w:eastAsiaTheme="minorEastAsia" w:hAnsiTheme="minorHAnsi"/>
                <w:noProof/>
                <w:kern w:val="2"/>
                <w:szCs w:val="24"/>
                <w14:ligatures w14:val="standardContextual"/>
              </w:rPr>
              <w:tab/>
            </w:r>
            <w:r w:rsidRPr="002518DB">
              <w:rPr>
                <w:rStyle w:val="Hyperlink"/>
                <w:noProof/>
              </w:rPr>
              <w:t>eCQM Package Naming Conventions</w:t>
            </w:r>
            <w:r>
              <w:rPr>
                <w:noProof/>
                <w:webHidden/>
              </w:rPr>
              <w:tab/>
            </w:r>
            <w:r>
              <w:rPr>
                <w:noProof/>
                <w:webHidden/>
              </w:rPr>
              <w:fldChar w:fldCharType="begin"/>
            </w:r>
            <w:r>
              <w:rPr>
                <w:noProof/>
                <w:webHidden/>
              </w:rPr>
              <w:instrText xml:space="preserve"> PAGEREF _Toc195047561 \h </w:instrText>
            </w:r>
            <w:r>
              <w:rPr>
                <w:noProof/>
                <w:webHidden/>
              </w:rPr>
            </w:r>
            <w:r>
              <w:rPr>
                <w:noProof/>
                <w:webHidden/>
              </w:rPr>
              <w:fldChar w:fldCharType="separate"/>
            </w:r>
            <w:r w:rsidR="00811E4E">
              <w:rPr>
                <w:noProof/>
                <w:webHidden/>
              </w:rPr>
              <w:t>8</w:t>
            </w:r>
            <w:r>
              <w:rPr>
                <w:noProof/>
                <w:webHidden/>
              </w:rPr>
              <w:fldChar w:fldCharType="end"/>
            </w:r>
          </w:hyperlink>
        </w:p>
        <w:p w14:paraId="5422D12D" w14:textId="31EDF45B"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62" w:history="1">
            <w:r w:rsidRPr="002518DB">
              <w:rPr>
                <w:rStyle w:val="Hyperlink"/>
                <w:noProof/>
              </w:rPr>
              <w:t>3.1.1</w:t>
            </w:r>
            <w:r>
              <w:rPr>
                <w:rFonts w:asciiTheme="minorHAnsi" w:eastAsiaTheme="minorEastAsia" w:hAnsiTheme="minorHAnsi"/>
                <w:noProof/>
                <w:kern w:val="2"/>
                <w:szCs w:val="24"/>
                <w14:ligatures w14:val="standardContextual"/>
              </w:rPr>
              <w:tab/>
            </w:r>
            <w:r w:rsidRPr="002518DB">
              <w:rPr>
                <w:rStyle w:val="Hyperlink"/>
                <w:noProof/>
              </w:rPr>
              <w:t>CQL Library</w:t>
            </w:r>
            <w:r>
              <w:rPr>
                <w:noProof/>
                <w:webHidden/>
              </w:rPr>
              <w:tab/>
            </w:r>
            <w:r>
              <w:rPr>
                <w:noProof/>
                <w:webHidden/>
              </w:rPr>
              <w:fldChar w:fldCharType="begin"/>
            </w:r>
            <w:r>
              <w:rPr>
                <w:noProof/>
                <w:webHidden/>
              </w:rPr>
              <w:instrText xml:space="preserve"> PAGEREF _Toc195047562 \h </w:instrText>
            </w:r>
            <w:r>
              <w:rPr>
                <w:noProof/>
                <w:webHidden/>
              </w:rPr>
            </w:r>
            <w:r>
              <w:rPr>
                <w:noProof/>
                <w:webHidden/>
              </w:rPr>
              <w:fldChar w:fldCharType="separate"/>
            </w:r>
            <w:r w:rsidR="00811E4E">
              <w:rPr>
                <w:noProof/>
                <w:webHidden/>
              </w:rPr>
              <w:t>8</w:t>
            </w:r>
            <w:r>
              <w:rPr>
                <w:noProof/>
                <w:webHidden/>
              </w:rPr>
              <w:fldChar w:fldCharType="end"/>
            </w:r>
          </w:hyperlink>
        </w:p>
        <w:p w14:paraId="56BF87CF" w14:textId="4BBC70EE"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63" w:history="1">
            <w:r w:rsidRPr="002518DB">
              <w:rPr>
                <w:rStyle w:val="Hyperlink"/>
                <w:noProof/>
              </w:rPr>
              <w:t>3.1.2</w:t>
            </w:r>
            <w:r>
              <w:rPr>
                <w:rFonts w:asciiTheme="minorHAnsi" w:eastAsiaTheme="minorEastAsia" w:hAnsiTheme="minorHAnsi"/>
                <w:noProof/>
                <w:kern w:val="2"/>
                <w:szCs w:val="24"/>
                <w14:ligatures w14:val="standardContextual"/>
              </w:rPr>
              <w:tab/>
            </w:r>
            <w:r w:rsidRPr="002518DB">
              <w:rPr>
                <w:rStyle w:val="Hyperlink"/>
                <w:noProof/>
              </w:rPr>
              <w:t>Measure Packaging by Setting</w:t>
            </w:r>
            <w:r>
              <w:rPr>
                <w:noProof/>
                <w:webHidden/>
              </w:rPr>
              <w:tab/>
            </w:r>
            <w:r>
              <w:rPr>
                <w:noProof/>
                <w:webHidden/>
              </w:rPr>
              <w:fldChar w:fldCharType="begin"/>
            </w:r>
            <w:r>
              <w:rPr>
                <w:noProof/>
                <w:webHidden/>
              </w:rPr>
              <w:instrText xml:space="preserve"> PAGEREF _Toc195047563 \h </w:instrText>
            </w:r>
            <w:r>
              <w:rPr>
                <w:noProof/>
                <w:webHidden/>
              </w:rPr>
            </w:r>
            <w:r>
              <w:rPr>
                <w:noProof/>
                <w:webHidden/>
              </w:rPr>
              <w:fldChar w:fldCharType="separate"/>
            </w:r>
            <w:r w:rsidR="00811E4E">
              <w:rPr>
                <w:noProof/>
                <w:webHidden/>
              </w:rPr>
              <w:t>8</w:t>
            </w:r>
            <w:r>
              <w:rPr>
                <w:noProof/>
                <w:webHidden/>
              </w:rPr>
              <w:fldChar w:fldCharType="end"/>
            </w:r>
          </w:hyperlink>
        </w:p>
        <w:p w14:paraId="0CC9EF96" w14:textId="54C361D8"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64" w:history="1">
            <w:r w:rsidRPr="002518DB">
              <w:rPr>
                <w:rStyle w:val="Hyperlink"/>
                <w:noProof/>
              </w:rPr>
              <w:t>3.1.3</w:t>
            </w:r>
            <w:r>
              <w:rPr>
                <w:rFonts w:asciiTheme="minorHAnsi" w:eastAsiaTheme="minorEastAsia" w:hAnsiTheme="minorHAnsi"/>
                <w:noProof/>
                <w:kern w:val="2"/>
                <w:szCs w:val="24"/>
                <w14:ligatures w14:val="standardContextual"/>
              </w:rPr>
              <w:tab/>
            </w:r>
            <w:r w:rsidRPr="002518DB">
              <w:rPr>
                <w:rStyle w:val="Hyperlink"/>
                <w:noProof/>
              </w:rPr>
              <w:t>CMS eCQM ID</w:t>
            </w:r>
            <w:r>
              <w:rPr>
                <w:noProof/>
                <w:webHidden/>
              </w:rPr>
              <w:tab/>
            </w:r>
            <w:r>
              <w:rPr>
                <w:noProof/>
                <w:webHidden/>
              </w:rPr>
              <w:fldChar w:fldCharType="begin"/>
            </w:r>
            <w:r>
              <w:rPr>
                <w:noProof/>
                <w:webHidden/>
              </w:rPr>
              <w:instrText xml:space="preserve"> PAGEREF _Toc195047564 \h </w:instrText>
            </w:r>
            <w:r>
              <w:rPr>
                <w:noProof/>
                <w:webHidden/>
              </w:rPr>
            </w:r>
            <w:r>
              <w:rPr>
                <w:noProof/>
                <w:webHidden/>
              </w:rPr>
              <w:fldChar w:fldCharType="separate"/>
            </w:r>
            <w:r w:rsidR="00811E4E">
              <w:rPr>
                <w:noProof/>
                <w:webHidden/>
              </w:rPr>
              <w:t>9</w:t>
            </w:r>
            <w:r>
              <w:rPr>
                <w:noProof/>
                <w:webHidden/>
              </w:rPr>
              <w:fldChar w:fldCharType="end"/>
            </w:r>
          </w:hyperlink>
        </w:p>
        <w:p w14:paraId="39F909BC" w14:textId="5AC915A8"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65" w:history="1">
            <w:r w:rsidRPr="002518DB">
              <w:rPr>
                <w:rStyle w:val="Hyperlink"/>
                <w:noProof/>
              </w:rPr>
              <w:t>3.1.4</w:t>
            </w:r>
            <w:r>
              <w:rPr>
                <w:rFonts w:asciiTheme="minorHAnsi" w:eastAsiaTheme="minorEastAsia" w:hAnsiTheme="minorHAnsi"/>
                <w:noProof/>
                <w:kern w:val="2"/>
                <w:szCs w:val="24"/>
                <w14:ligatures w14:val="standardContextual"/>
              </w:rPr>
              <w:tab/>
            </w:r>
            <w:r w:rsidRPr="002518DB">
              <w:rPr>
                <w:rStyle w:val="Hyperlink"/>
                <w:noProof/>
              </w:rPr>
              <w:t>eCQM Zip File and Folder</w:t>
            </w:r>
            <w:r>
              <w:rPr>
                <w:noProof/>
                <w:webHidden/>
              </w:rPr>
              <w:tab/>
            </w:r>
            <w:r>
              <w:rPr>
                <w:noProof/>
                <w:webHidden/>
              </w:rPr>
              <w:fldChar w:fldCharType="begin"/>
            </w:r>
            <w:r>
              <w:rPr>
                <w:noProof/>
                <w:webHidden/>
              </w:rPr>
              <w:instrText xml:space="preserve"> PAGEREF _Toc195047565 \h </w:instrText>
            </w:r>
            <w:r>
              <w:rPr>
                <w:noProof/>
                <w:webHidden/>
              </w:rPr>
            </w:r>
            <w:r>
              <w:rPr>
                <w:noProof/>
                <w:webHidden/>
              </w:rPr>
              <w:fldChar w:fldCharType="separate"/>
            </w:r>
            <w:r w:rsidR="00811E4E">
              <w:rPr>
                <w:noProof/>
                <w:webHidden/>
              </w:rPr>
              <w:t>9</w:t>
            </w:r>
            <w:r>
              <w:rPr>
                <w:noProof/>
                <w:webHidden/>
              </w:rPr>
              <w:fldChar w:fldCharType="end"/>
            </w:r>
          </w:hyperlink>
        </w:p>
        <w:p w14:paraId="21F74CA3" w14:textId="05617AE2"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66" w:history="1">
            <w:r w:rsidRPr="002518DB">
              <w:rPr>
                <w:rStyle w:val="Hyperlink"/>
                <w:noProof/>
              </w:rPr>
              <w:t>3.1.5</w:t>
            </w:r>
            <w:r>
              <w:rPr>
                <w:rFonts w:asciiTheme="minorHAnsi" w:eastAsiaTheme="minorEastAsia" w:hAnsiTheme="minorHAnsi"/>
                <w:noProof/>
                <w:kern w:val="2"/>
                <w:szCs w:val="24"/>
                <w14:ligatures w14:val="standardContextual"/>
              </w:rPr>
              <w:tab/>
            </w:r>
            <w:r w:rsidRPr="002518DB">
              <w:rPr>
                <w:rStyle w:val="Hyperlink"/>
                <w:noProof/>
              </w:rPr>
              <w:t>Individual eCQM File Components</w:t>
            </w:r>
            <w:r>
              <w:rPr>
                <w:noProof/>
                <w:webHidden/>
              </w:rPr>
              <w:tab/>
            </w:r>
            <w:r>
              <w:rPr>
                <w:noProof/>
                <w:webHidden/>
              </w:rPr>
              <w:fldChar w:fldCharType="begin"/>
            </w:r>
            <w:r>
              <w:rPr>
                <w:noProof/>
                <w:webHidden/>
              </w:rPr>
              <w:instrText xml:space="preserve"> PAGEREF _Toc195047566 \h </w:instrText>
            </w:r>
            <w:r>
              <w:rPr>
                <w:noProof/>
                <w:webHidden/>
              </w:rPr>
            </w:r>
            <w:r>
              <w:rPr>
                <w:noProof/>
                <w:webHidden/>
              </w:rPr>
              <w:fldChar w:fldCharType="separate"/>
            </w:r>
            <w:r w:rsidR="00811E4E">
              <w:rPr>
                <w:noProof/>
                <w:webHidden/>
              </w:rPr>
              <w:t>9</w:t>
            </w:r>
            <w:r>
              <w:rPr>
                <w:noProof/>
                <w:webHidden/>
              </w:rPr>
              <w:fldChar w:fldCharType="end"/>
            </w:r>
          </w:hyperlink>
        </w:p>
        <w:p w14:paraId="2743CCCD" w14:textId="1D399EE7" w:rsidR="00317805" w:rsidRDefault="00317805">
          <w:pPr>
            <w:pStyle w:val="TOC2"/>
            <w:tabs>
              <w:tab w:val="left" w:pos="1008"/>
            </w:tabs>
            <w:rPr>
              <w:rFonts w:asciiTheme="minorHAnsi" w:eastAsiaTheme="minorEastAsia" w:hAnsiTheme="minorHAnsi"/>
              <w:noProof/>
              <w:kern w:val="2"/>
              <w:szCs w:val="24"/>
              <w14:ligatures w14:val="standardContextual"/>
            </w:rPr>
          </w:pPr>
          <w:hyperlink w:anchor="_Toc195047567" w:history="1">
            <w:r w:rsidRPr="002518DB">
              <w:rPr>
                <w:rStyle w:val="Hyperlink"/>
                <w:noProof/>
              </w:rPr>
              <w:t>3.2</w:t>
            </w:r>
            <w:r>
              <w:rPr>
                <w:rFonts w:asciiTheme="minorHAnsi" w:eastAsiaTheme="minorEastAsia" w:hAnsiTheme="minorHAnsi"/>
                <w:noProof/>
                <w:kern w:val="2"/>
                <w:szCs w:val="24"/>
                <w14:ligatures w14:val="standardContextual"/>
              </w:rPr>
              <w:tab/>
            </w:r>
            <w:r w:rsidRPr="002518DB">
              <w:rPr>
                <w:rStyle w:val="Hyperlink"/>
                <w:noProof/>
              </w:rPr>
              <w:t>Download, Extract, and Access eCQM Documents</w:t>
            </w:r>
            <w:r>
              <w:rPr>
                <w:noProof/>
                <w:webHidden/>
              </w:rPr>
              <w:tab/>
            </w:r>
            <w:r>
              <w:rPr>
                <w:noProof/>
                <w:webHidden/>
              </w:rPr>
              <w:fldChar w:fldCharType="begin"/>
            </w:r>
            <w:r>
              <w:rPr>
                <w:noProof/>
                <w:webHidden/>
              </w:rPr>
              <w:instrText xml:space="preserve"> PAGEREF _Toc195047567 \h </w:instrText>
            </w:r>
            <w:r>
              <w:rPr>
                <w:noProof/>
                <w:webHidden/>
              </w:rPr>
            </w:r>
            <w:r>
              <w:rPr>
                <w:noProof/>
                <w:webHidden/>
              </w:rPr>
              <w:fldChar w:fldCharType="separate"/>
            </w:r>
            <w:r w:rsidR="00811E4E">
              <w:rPr>
                <w:noProof/>
                <w:webHidden/>
              </w:rPr>
              <w:t>10</w:t>
            </w:r>
            <w:r>
              <w:rPr>
                <w:noProof/>
                <w:webHidden/>
              </w:rPr>
              <w:fldChar w:fldCharType="end"/>
            </w:r>
          </w:hyperlink>
        </w:p>
        <w:p w14:paraId="6F14A82A" w14:textId="61B95264" w:rsidR="00317805" w:rsidRDefault="00317805">
          <w:pPr>
            <w:pStyle w:val="TOC1"/>
            <w:rPr>
              <w:rFonts w:asciiTheme="minorHAnsi" w:eastAsiaTheme="minorEastAsia" w:hAnsiTheme="minorHAnsi"/>
              <w:b w:val="0"/>
              <w:noProof/>
              <w:kern w:val="2"/>
              <w:szCs w:val="24"/>
              <w14:ligatures w14:val="standardContextual"/>
            </w:rPr>
          </w:pPr>
          <w:hyperlink w:anchor="_Toc195047568" w:history="1">
            <w:r w:rsidRPr="002518DB">
              <w:rPr>
                <w:rStyle w:val="Hyperlink"/>
                <w:noProof/>
              </w:rPr>
              <w:t>4.</w:t>
            </w:r>
            <w:r>
              <w:rPr>
                <w:rFonts w:asciiTheme="minorHAnsi" w:eastAsiaTheme="minorEastAsia" w:hAnsiTheme="minorHAnsi"/>
                <w:b w:val="0"/>
                <w:noProof/>
                <w:kern w:val="2"/>
                <w:szCs w:val="24"/>
                <w14:ligatures w14:val="standardContextual"/>
              </w:rPr>
              <w:tab/>
            </w:r>
            <w:r w:rsidRPr="002518DB">
              <w:rPr>
                <w:rStyle w:val="Hyperlink"/>
                <w:noProof/>
              </w:rPr>
              <w:t>Understanding an eCQM Human-Readable HTML File</w:t>
            </w:r>
            <w:r>
              <w:rPr>
                <w:noProof/>
                <w:webHidden/>
              </w:rPr>
              <w:tab/>
            </w:r>
            <w:r>
              <w:rPr>
                <w:noProof/>
                <w:webHidden/>
              </w:rPr>
              <w:fldChar w:fldCharType="begin"/>
            </w:r>
            <w:r>
              <w:rPr>
                <w:noProof/>
                <w:webHidden/>
              </w:rPr>
              <w:instrText xml:space="preserve"> PAGEREF _Toc195047568 \h </w:instrText>
            </w:r>
            <w:r>
              <w:rPr>
                <w:noProof/>
                <w:webHidden/>
              </w:rPr>
            </w:r>
            <w:r>
              <w:rPr>
                <w:noProof/>
                <w:webHidden/>
              </w:rPr>
              <w:fldChar w:fldCharType="separate"/>
            </w:r>
            <w:r w:rsidR="00811E4E">
              <w:rPr>
                <w:noProof/>
                <w:webHidden/>
              </w:rPr>
              <w:t>11</w:t>
            </w:r>
            <w:r>
              <w:rPr>
                <w:noProof/>
                <w:webHidden/>
              </w:rPr>
              <w:fldChar w:fldCharType="end"/>
            </w:r>
          </w:hyperlink>
        </w:p>
        <w:p w14:paraId="06844F58" w14:textId="5551E5FE" w:rsidR="00317805" w:rsidRDefault="00317805">
          <w:pPr>
            <w:pStyle w:val="TOC2"/>
            <w:tabs>
              <w:tab w:val="left" w:pos="1008"/>
            </w:tabs>
            <w:rPr>
              <w:rFonts w:asciiTheme="minorHAnsi" w:eastAsiaTheme="minorEastAsia" w:hAnsiTheme="minorHAnsi"/>
              <w:noProof/>
              <w:kern w:val="2"/>
              <w:szCs w:val="24"/>
              <w14:ligatures w14:val="standardContextual"/>
            </w:rPr>
          </w:pPr>
          <w:hyperlink w:anchor="_Toc195047569" w:history="1">
            <w:r w:rsidRPr="002518DB">
              <w:rPr>
                <w:rStyle w:val="Hyperlink"/>
                <w:noProof/>
              </w:rPr>
              <w:t>4.1</w:t>
            </w:r>
            <w:r>
              <w:rPr>
                <w:rFonts w:asciiTheme="minorHAnsi" w:eastAsiaTheme="minorEastAsia" w:hAnsiTheme="minorHAnsi"/>
                <w:noProof/>
                <w:kern w:val="2"/>
                <w:szCs w:val="24"/>
                <w14:ligatures w14:val="standardContextual"/>
              </w:rPr>
              <w:tab/>
            </w:r>
            <w:r w:rsidRPr="002518DB">
              <w:rPr>
                <w:rStyle w:val="Hyperlink"/>
                <w:noProof/>
              </w:rPr>
              <w:t>Header</w:t>
            </w:r>
            <w:r>
              <w:rPr>
                <w:noProof/>
                <w:webHidden/>
              </w:rPr>
              <w:tab/>
            </w:r>
            <w:r>
              <w:rPr>
                <w:noProof/>
                <w:webHidden/>
              </w:rPr>
              <w:fldChar w:fldCharType="begin"/>
            </w:r>
            <w:r>
              <w:rPr>
                <w:noProof/>
                <w:webHidden/>
              </w:rPr>
              <w:instrText xml:space="preserve"> PAGEREF _Toc195047569 \h </w:instrText>
            </w:r>
            <w:r>
              <w:rPr>
                <w:noProof/>
                <w:webHidden/>
              </w:rPr>
            </w:r>
            <w:r>
              <w:rPr>
                <w:noProof/>
                <w:webHidden/>
              </w:rPr>
              <w:fldChar w:fldCharType="separate"/>
            </w:r>
            <w:r w:rsidR="00811E4E">
              <w:rPr>
                <w:noProof/>
                <w:webHidden/>
              </w:rPr>
              <w:t>11</w:t>
            </w:r>
            <w:r>
              <w:rPr>
                <w:noProof/>
                <w:webHidden/>
              </w:rPr>
              <w:fldChar w:fldCharType="end"/>
            </w:r>
          </w:hyperlink>
        </w:p>
        <w:p w14:paraId="1CE48EA8" w14:textId="5A11748D" w:rsidR="00317805" w:rsidRDefault="00317805">
          <w:pPr>
            <w:pStyle w:val="TOC2"/>
            <w:tabs>
              <w:tab w:val="left" w:pos="1008"/>
            </w:tabs>
            <w:rPr>
              <w:rFonts w:asciiTheme="minorHAnsi" w:eastAsiaTheme="minorEastAsia" w:hAnsiTheme="minorHAnsi"/>
              <w:noProof/>
              <w:kern w:val="2"/>
              <w:szCs w:val="24"/>
              <w14:ligatures w14:val="standardContextual"/>
            </w:rPr>
          </w:pPr>
          <w:hyperlink w:anchor="_Toc195047570" w:history="1">
            <w:r w:rsidRPr="002518DB">
              <w:rPr>
                <w:rStyle w:val="Hyperlink"/>
                <w:noProof/>
              </w:rPr>
              <w:t>4.2</w:t>
            </w:r>
            <w:r>
              <w:rPr>
                <w:rFonts w:asciiTheme="minorHAnsi" w:eastAsiaTheme="minorEastAsia" w:hAnsiTheme="minorHAnsi"/>
                <w:noProof/>
                <w:kern w:val="2"/>
                <w:szCs w:val="24"/>
                <w14:ligatures w14:val="standardContextual"/>
              </w:rPr>
              <w:tab/>
            </w:r>
            <w:r w:rsidRPr="002518DB">
              <w:rPr>
                <w:rStyle w:val="Hyperlink"/>
                <w:noProof/>
              </w:rPr>
              <w:t>Body</w:t>
            </w:r>
            <w:r>
              <w:rPr>
                <w:noProof/>
                <w:webHidden/>
              </w:rPr>
              <w:tab/>
            </w:r>
            <w:r>
              <w:rPr>
                <w:noProof/>
                <w:webHidden/>
              </w:rPr>
              <w:fldChar w:fldCharType="begin"/>
            </w:r>
            <w:r>
              <w:rPr>
                <w:noProof/>
                <w:webHidden/>
              </w:rPr>
              <w:instrText xml:space="preserve"> PAGEREF _Toc195047570 \h </w:instrText>
            </w:r>
            <w:r>
              <w:rPr>
                <w:noProof/>
                <w:webHidden/>
              </w:rPr>
            </w:r>
            <w:r>
              <w:rPr>
                <w:noProof/>
                <w:webHidden/>
              </w:rPr>
              <w:fldChar w:fldCharType="separate"/>
            </w:r>
            <w:r w:rsidR="00811E4E">
              <w:rPr>
                <w:noProof/>
                <w:webHidden/>
              </w:rPr>
              <w:t>11</w:t>
            </w:r>
            <w:r>
              <w:rPr>
                <w:noProof/>
                <w:webHidden/>
              </w:rPr>
              <w:fldChar w:fldCharType="end"/>
            </w:r>
          </w:hyperlink>
        </w:p>
        <w:p w14:paraId="0741728A" w14:textId="28B3B278"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71" w:history="1">
            <w:r w:rsidRPr="002518DB">
              <w:rPr>
                <w:rStyle w:val="Hyperlink"/>
                <w:noProof/>
              </w:rPr>
              <w:t>4.2.1</w:t>
            </w:r>
            <w:r>
              <w:rPr>
                <w:rFonts w:asciiTheme="minorHAnsi" w:eastAsiaTheme="minorEastAsia" w:hAnsiTheme="minorHAnsi"/>
                <w:noProof/>
                <w:kern w:val="2"/>
                <w:szCs w:val="24"/>
                <w14:ligatures w14:val="standardContextual"/>
              </w:rPr>
              <w:tab/>
            </w:r>
            <w:r w:rsidRPr="002518DB">
              <w:rPr>
                <w:rStyle w:val="Hyperlink"/>
                <w:noProof/>
              </w:rPr>
              <w:t>Population Criteria and Definitions</w:t>
            </w:r>
            <w:r>
              <w:rPr>
                <w:noProof/>
                <w:webHidden/>
              </w:rPr>
              <w:tab/>
            </w:r>
            <w:r>
              <w:rPr>
                <w:noProof/>
                <w:webHidden/>
              </w:rPr>
              <w:fldChar w:fldCharType="begin"/>
            </w:r>
            <w:r>
              <w:rPr>
                <w:noProof/>
                <w:webHidden/>
              </w:rPr>
              <w:instrText xml:space="preserve"> PAGEREF _Toc195047571 \h </w:instrText>
            </w:r>
            <w:r>
              <w:rPr>
                <w:noProof/>
                <w:webHidden/>
              </w:rPr>
            </w:r>
            <w:r>
              <w:rPr>
                <w:noProof/>
                <w:webHidden/>
              </w:rPr>
              <w:fldChar w:fldCharType="separate"/>
            </w:r>
            <w:r w:rsidR="00811E4E">
              <w:rPr>
                <w:noProof/>
                <w:webHidden/>
              </w:rPr>
              <w:t>12</w:t>
            </w:r>
            <w:r>
              <w:rPr>
                <w:noProof/>
                <w:webHidden/>
              </w:rPr>
              <w:fldChar w:fldCharType="end"/>
            </w:r>
          </w:hyperlink>
        </w:p>
        <w:p w14:paraId="74D3D1C0" w14:textId="7292C37B"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72" w:history="1">
            <w:r w:rsidRPr="002518DB">
              <w:rPr>
                <w:rStyle w:val="Hyperlink"/>
                <w:noProof/>
              </w:rPr>
              <w:t>4.2.2</w:t>
            </w:r>
            <w:r>
              <w:rPr>
                <w:rFonts w:asciiTheme="minorHAnsi" w:eastAsiaTheme="minorEastAsia" w:hAnsiTheme="minorHAnsi"/>
                <w:noProof/>
                <w:kern w:val="2"/>
                <w:szCs w:val="24"/>
                <w14:ligatures w14:val="standardContextual"/>
              </w:rPr>
              <w:tab/>
            </w:r>
            <w:r w:rsidRPr="002518DB">
              <w:rPr>
                <w:rStyle w:val="Hyperlink"/>
                <w:noProof/>
              </w:rPr>
              <w:t>Functions</w:t>
            </w:r>
            <w:r>
              <w:rPr>
                <w:noProof/>
                <w:webHidden/>
              </w:rPr>
              <w:tab/>
            </w:r>
            <w:r>
              <w:rPr>
                <w:noProof/>
                <w:webHidden/>
              </w:rPr>
              <w:fldChar w:fldCharType="begin"/>
            </w:r>
            <w:r>
              <w:rPr>
                <w:noProof/>
                <w:webHidden/>
              </w:rPr>
              <w:instrText xml:space="preserve"> PAGEREF _Toc195047572 \h </w:instrText>
            </w:r>
            <w:r>
              <w:rPr>
                <w:noProof/>
                <w:webHidden/>
              </w:rPr>
            </w:r>
            <w:r>
              <w:rPr>
                <w:noProof/>
                <w:webHidden/>
              </w:rPr>
              <w:fldChar w:fldCharType="separate"/>
            </w:r>
            <w:r w:rsidR="00811E4E">
              <w:rPr>
                <w:noProof/>
                <w:webHidden/>
              </w:rPr>
              <w:t>16</w:t>
            </w:r>
            <w:r>
              <w:rPr>
                <w:noProof/>
                <w:webHidden/>
              </w:rPr>
              <w:fldChar w:fldCharType="end"/>
            </w:r>
          </w:hyperlink>
        </w:p>
        <w:p w14:paraId="7D22A6BC" w14:textId="6BC9AB17"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73" w:history="1">
            <w:r w:rsidRPr="002518DB">
              <w:rPr>
                <w:rStyle w:val="Hyperlink"/>
                <w:noProof/>
              </w:rPr>
              <w:t>4.2.3</w:t>
            </w:r>
            <w:r>
              <w:rPr>
                <w:rFonts w:asciiTheme="minorHAnsi" w:eastAsiaTheme="minorEastAsia" w:hAnsiTheme="minorHAnsi"/>
                <w:noProof/>
                <w:kern w:val="2"/>
                <w:szCs w:val="24"/>
                <w14:ligatures w14:val="standardContextual"/>
              </w:rPr>
              <w:tab/>
            </w:r>
            <w:r w:rsidRPr="002518DB">
              <w:rPr>
                <w:rStyle w:val="Hyperlink"/>
                <w:noProof/>
              </w:rPr>
              <w:t xml:space="preserve">Terminology and Data Criteria (QDM Data </w:t>
            </w:r>
            <w:r w:rsidRPr="002518DB">
              <w:rPr>
                <w:rStyle w:val="Hyperlink"/>
                <w:noProof/>
              </w:rPr>
              <w:t>E</w:t>
            </w:r>
            <w:r w:rsidRPr="002518DB">
              <w:rPr>
                <w:rStyle w:val="Hyperlink"/>
                <w:noProof/>
              </w:rPr>
              <w:t>lements)</w:t>
            </w:r>
            <w:r>
              <w:rPr>
                <w:noProof/>
                <w:webHidden/>
              </w:rPr>
              <w:tab/>
            </w:r>
            <w:r>
              <w:rPr>
                <w:noProof/>
                <w:webHidden/>
              </w:rPr>
              <w:fldChar w:fldCharType="begin"/>
            </w:r>
            <w:r>
              <w:rPr>
                <w:noProof/>
                <w:webHidden/>
              </w:rPr>
              <w:instrText xml:space="preserve"> PAGEREF _Toc195047573 \h </w:instrText>
            </w:r>
            <w:r>
              <w:rPr>
                <w:noProof/>
                <w:webHidden/>
              </w:rPr>
            </w:r>
            <w:r>
              <w:rPr>
                <w:noProof/>
                <w:webHidden/>
              </w:rPr>
              <w:fldChar w:fldCharType="separate"/>
            </w:r>
            <w:r w:rsidR="00811E4E">
              <w:rPr>
                <w:noProof/>
                <w:webHidden/>
              </w:rPr>
              <w:t>17</w:t>
            </w:r>
            <w:r>
              <w:rPr>
                <w:noProof/>
                <w:webHidden/>
              </w:rPr>
              <w:fldChar w:fldCharType="end"/>
            </w:r>
          </w:hyperlink>
        </w:p>
        <w:p w14:paraId="35638165" w14:textId="771FF4D7"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74" w:history="1">
            <w:r w:rsidRPr="002518DB">
              <w:rPr>
                <w:rStyle w:val="Hyperlink"/>
                <w:noProof/>
              </w:rPr>
              <w:t>4.2.4</w:t>
            </w:r>
            <w:r>
              <w:rPr>
                <w:rFonts w:asciiTheme="minorHAnsi" w:eastAsiaTheme="minorEastAsia" w:hAnsiTheme="minorHAnsi"/>
                <w:noProof/>
                <w:kern w:val="2"/>
                <w:szCs w:val="24"/>
                <w14:ligatures w14:val="standardContextual"/>
              </w:rPr>
              <w:tab/>
            </w:r>
            <w:r w:rsidRPr="002518DB">
              <w:rPr>
                <w:rStyle w:val="Hyperlink"/>
                <w:noProof/>
              </w:rPr>
              <w:t>Supplemental Data Elements</w:t>
            </w:r>
            <w:r>
              <w:rPr>
                <w:noProof/>
                <w:webHidden/>
              </w:rPr>
              <w:tab/>
            </w:r>
            <w:r>
              <w:rPr>
                <w:noProof/>
                <w:webHidden/>
              </w:rPr>
              <w:fldChar w:fldCharType="begin"/>
            </w:r>
            <w:r>
              <w:rPr>
                <w:noProof/>
                <w:webHidden/>
              </w:rPr>
              <w:instrText xml:space="preserve"> PAGEREF _Toc195047574 \h </w:instrText>
            </w:r>
            <w:r>
              <w:rPr>
                <w:noProof/>
                <w:webHidden/>
              </w:rPr>
            </w:r>
            <w:r>
              <w:rPr>
                <w:noProof/>
                <w:webHidden/>
              </w:rPr>
              <w:fldChar w:fldCharType="separate"/>
            </w:r>
            <w:r w:rsidR="00811E4E">
              <w:rPr>
                <w:noProof/>
                <w:webHidden/>
              </w:rPr>
              <w:t>18</w:t>
            </w:r>
            <w:r>
              <w:rPr>
                <w:noProof/>
                <w:webHidden/>
              </w:rPr>
              <w:fldChar w:fldCharType="end"/>
            </w:r>
          </w:hyperlink>
        </w:p>
        <w:p w14:paraId="4567C659" w14:textId="58985C7B"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75" w:history="1">
            <w:r w:rsidRPr="002518DB">
              <w:rPr>
                <w:rStyle w:val="Hyperlink"/>
                <w:noProof/>
              </w:rPr>
              <w:t>4.2.5</w:t>
            </w:r>
            <w:r>
              <w:rPr>
                <w:rFonts w:asciiTheme="minorHAnsi" w:eastAsiaTheme="minorEastAsia" w:hAnsiTheme="minorHAnsi"/>
                <w:noProof/>
                <w:kern w:val="2"/>
                <w:szCs w:val="24"/>
                <w14:ligatures w14:val="standardContextual"/>
              </w:rPr>
              <w:tab/>
            </w:r>
            <w:r w:rsidRPr="002518DB">
              <w:rPr>
                <w:rStyle w:val="Hyperlink"/>
                <w:noProof/>
              </w:rPr>
              <w:t>Reporting Stratification</w:t>
            </w:r>
            <w:r>
              <w:rPr>
                <w:noProof/>
                <w:webHidden/>
              </w:rPr>
              <w:tab/>
            </w:r>
            <w:r>
              <w:rPr>
                <w:noProof/>
                <w:webHidden/>
              </w:rPr>
              <w:fldChar w:fldCharType="begin"/>
            </w:r>
            <w:r>
              <w:rPr>
                <w:noProof/>
                <w:webHidden/>
              </w:rPr>
              <w:instrText xml:space="preserve"> PAGEREF _Toc195047575 \h </w:instrText>
            </w:r>
            <w:r>
              <w:rPr>
                <w:noProof/>
                <w:webHidden/>
              </w:rPr>
            </w:r>
            <w:r>
              <w:rPr>
                <w:noProof/>
                <w:webHidden/>
              </w:rPr>
              <w:fldChar w:fldCharType="separate"/>
            </w:r>
            <w:r w:rsidR="00811E4E">
              <w:rPr>
                <w:noProof/>
                <w:webHidden/>
              </w:rPr>
              <w:t>19</w:t>
            </w:r>
            <w:r>
              <w:rPr>
                <w:noProof/>
                <w:webHidden/>
              </w:rPr>
              <w:fldChar w:fldCharType="end"/>
            </w:r>
          </w:hyperlink>
        </w:p>
        <w:p w14:paraId="39312930" w14:textId="4CDC4645"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76" w:history="1">
            <w:r w:rsidRPr="002518DB">
              <w:rPr>
                <w:rStyle w:val="Hyperlink"/>
                <w:noProof/>
              </w:rPr>
              <w:t>4.2.6</w:t>
            </w:r>
            <w:r>
              <w:rPr>
                <w:rFonts w:asciiTheme="minorHAnsi" w:eastAsiaTheme="minorEastAsia" w:hAnsiTheme="minorHAnsi"/>
                <w:noProof/>
                <w:kern w:val="2"/>
                <w:szCs w:val="24"/>
                <w14:ligatures w14:val="standardContextual"/>
              </w:rPr>
              <w:tab/>
            </w:r>
            <w:r w:rsidRPr="002518DB">
              <w:rPr>
                <w:rStyle w:val="Hyperlink"/>
                <w:noProof/>
              </w:rPr>
              <w:t>Risk Adjustment Variables</w:t>
            </w:r>
            <w:r>
              <w:rPr>
                <w:noProof/>
                <w:webHidden/>
              </w:rPr>
              <w:tab/>
            </w:r>
            <w:r>
              <w:rPr>
                <w:noProof/>
                <w:webHidden/>
              </w:rPr>
              <w:fldChar w:fldCharType="begin"/>
            </w:r>
            <w:r>
              <w:rPr>
                <w:noProof/>
                <w:webHidden/>
              </w:rPr>
              <w:instrText xml:space="preserve"> PAGEREF _Toc195047576 \h </w:instrText>
            </w:r>
            <w:r>
              <w:rPr>
                <w:noProof/>
                <w:webHidden/>
              </w:rPr>
            </w:r>
            <w:r>
              <w:rPr>
                <w:noProof/>
                <w:webHidden/>
              </w:rPr>
              <w:fldChar w:fldCharType="separate"/>
            </w:r>
            <w:r w:rsidR="00811E4E">
              <w:rPr>
                <w:noProof/>
                <w:webHidden/>
              </w:rPr>
              <w:t>20</w:t>
            </w:r>
            <w:r>
              <w:rPr>
                <w:noProof/>
                <w:webHidden/>
              </w:rPr>
              <w:fldChar w:fldCharType="end"/>
            </w:r>
          </w:hyperlink>
        </w:p>
        <w:p w14:paraId="2E05DCA6" w14:textId="1676DACB" w:rsidR="00317805" w:rsidRDefault="00317805">
          <w:pPr>
            <w:pStyle w:val="TOC3"/>
            <w:tabs>
              <w:tab w:val="left" w:pos="1728"/>
            </w:tabs>
            <w:rPr>
              <w:rFonts w:asciiTheme="minorHAnsi" w:eastAsiaTheme="minorEastAsia" w:hAnsiTheme="minorHAnsi"/>
              <w:noProof/>
              <w:kern w:val="2"/>
              <w:szCs w:val="24"/>
              <w14:ligatures w14:val="standardContextual"/>
            </w:rPr>
          </w:pPr>
          <w:hyperlink w:anchor="_Toc195047577" w:history="1">
            <w:r w:rsidRPr="002518DB">
              <w:rPr>
                <w:rStyle w:val="Hyperlink"/>
                <w:noProof/>
              </w:rPr>
              <w:t>4.2.7</w:t>
            </w:r>
            <w:r>
              <w:rPr>
                <w:rFonts w:asciiTheme="minorHAnsi" w:eastAsiaTheme="minorEastAsia" w:hAnsiTheme="minorHAnsi"/>
                <w:noProof/>
                <w:kern w:val="2"/>
                <w:szCs w:val="24"/>
                <w14:ligatures w14:val="standardContextual"/>
              </w:rPr>
              <w:tab/>
            </w:r>
            <w:r w:rsidRPr="002518DB">
              <w:rPr>
                <w:rStyle w:val="Hyperlink"/>
                <w:noProof/>
              </w:rPr>
              <w:t>Measure Observations</w:t>
            </w:r>
            <w:r>
              <w:rPr>
                <w:noProof/>
                <w:webHidden/>
              </w:rPr>
              <w:tab/>
            </w:r>
            <w:r>
              <w:rPr>
                <w:noProof/>
                <w:webHidden/>
              </w:rPr>
              <w:fldChar w:fldCharType="begin"/>
            </w:r>
            <w:r>
              <w:rPr>
                <w:noProof/>
                <w:webHidden/>
              </w:rPr>
              <w:instrText xml:space="preserve"> PAGEREF _Toc195047577 \h </w:instrText>
            </w:r>
            <w:r>
              <w:rPr>
                <w:noProof/>
                <w:webHidden/>
              </w:rPr>
            </w:r>
            <w:r>
              <w:rPr>
                <w:noProof/>
                <w:webHidden/>
              </w:rPr>
              <w:fldChar w:fldCharType="separate"/>
            </w:r>
            <w:r w:rsidR="00811E4E">
              <w:rPr>
                <w:noProof/>
                <w:webHidden/>
              </w:rPr>
              <w:t>20</w:t>
            </w:r>
            <w:r>
              <w:rPr>
                <w:noProof/>
                <w:webHidden/>
              </w:rPr>
              <w:fldChar w:fldCharType="end"/>
            </w:r>
          </w:hyperlink>
        </w:p>
        <w:p w14:paraId="31EE8759" w14:textId="68BC67F4" w:rsidR="00317805" w:rsidRDefault="00317805" w:rsidP="00317805">
          <w:pPr>
            <w:pStyle w:val="TOC1"/>
            <w:keepNext/>
            <w:keepLines/>
            <w:rPr>
              <w:rFonts w:asciiTheme="minorHAnsi" w:eastAsiaTheme="minorEastAsia" w:hAnsiTheme="minorHAnsi"/>
              <w:b w:val="0"/>
              <w:noProof/>
              <w:kern w:val="2"/>
              <w:szCs w:val="24"/>
              <w14:ligatures w14:val="standardContextual"/>
            </w:rPr>
          </w:pPr>
          <w:hyperlink w:anchor="_Toc195047578" w:history="1">
            <w:r w:rsidRPr="002518DB">
              <w:rPr>
                <w:rStyle w:val="Hyperlink"/>
                <w:noProof/>
              </w:rPr>
              <w:t>5.</w:t>
            </w:r>
            <w:r>
              <w:rPr>
                <w:rFonts w:asciiTheme="minorHAnsi" w:eastAsiaTheme="minorEastAsia" w:hAnsiTheme="minorHAnsi"/>
                <w:b w:val="0"/>
                <w:noProof/>
                <w:kern w:val="2"/>
                <w:szCs w:val="24"/>
                <w14:ligatures w14:val="standardContextual"/>
              </w:rPr>
              <w:tab/>
            </w:r>
            <w:r w:rsidRPr="002518DB">
              <w:rPr>
                <w:rStyle w:val="Hyperlink"/>
                <w:noProof/>
              </w:rPr>
              <w:t>Connect for Assistance</w:t>
            </w:r>
            <w:r>
              <w:rPr>
                <w:noProof/>
                <w:webHidden/>
              </w:rPr>
              <w:tab/>
            </w:r>
            <w:r>
              <w:rPr>
                <w:noProof/>
                <w:webHidden/>
              </w:rPr>
              <w:fldChar w:fldCharType="begin"/>
            </w:r>
            <w:r>
              <w:rPr>
                <w:noProof/>
                <w:webHidden/>
              </w:rPr>
              <w:instrText xml:space="preserve"> PAGEREF _Toc195047578 \h </w:instrText>
            </w:r>
            <w:r>
              <w:rPr>
                <w:noProof/>
                <w:webHidden/>
              </w:rPr>
            </w:r>
            <w:r>
              <w:rPr>
                <w:noProof/>
                <w:webHidden/>
              </w:rPr>
              <w:fldChar w:fldCharType="separate"/>
            </w:r>
            <w:r w:rsidR="00811E4E">
              <w:rPr>
                <w:noProof/>
                <w:webHidden/>
              </w:rPr>
              <w:t>21</w:t>
            </w:r>
            <w:r>
              <w:rPr>
                <w:noProof/>
                <w:webHidden/>
              </w:rPr>
              <w:fldChar w:fldCharType="end"/>
            </w:r>
          </w:hyperlink>
        </w:p>
        <w:p w14:paraId="26CB4045" w14:textId="0369CBF3" w:rsidR="00317805" w:rsidRDefault="00317805" w:rsidP="00317805">
          <w:pPr>
            <w:pStyle w:val="TOC8"/>
            <w:keepNext/>
            <w:keepLines/>
            <w:rPr>
              <w:rFonts w:asciiTheme="minorHAnsi" w:eastAsiaTheme="minorEastAsia" w:hAnsiTheme="minorHAnsi"/>
              <w:b w:val="0"/>
              <w:noProof/>
              <w:kern w:val="2"/>
              <w:szCs w:val="24"/>
              <w14:ligatures w14:val="standardContextual"/>
            </w:rPr>
          </w:pPr>
          <w:hyperlink w:anchor="_Toc195047579" w:history="1">
            <w:r w:rsidRPr="002518DB">
              <w:rPr>
                <w:rStyle w:val="Hyperlink"/>
                <w:noProof/>
              </w:rPr>
              <w:t>Version History</w:t>
            </w:r>
            <w:r>
              <w:rPr>
                <w:noProof/>
                <w:webHidden/>
              </w:rPr>
              <w:tab/>
            </w:r>
            <w:r>
              <w:rPr>
                <w:noProof/>
                <w:webHidden/>
              </w:rPr>
              <w:fldChar w:fldCharType="begin"/>
            </w:r>
            <w:r>
              <w:rPr>
                <w:noProof/>
                <w:webHidden/>
              </w:rPr>
              <w:instrText xml:space="preserve"> PAGEREF _Toc195047579 \h </w:instrText>
            </w:r>
            <w:r>
              <w:rPr>
                <w:noProof/>
                <w:webHidden/>
              </w:rPr>
            </w:r>
            <w:r>
              <w:rPr>
                <w:noProof/>
                <w:webHidden/>
              </w:rPr>
              <w:fldChar w:fldCharType="separate"/>
            </w:r>
            <w:r w:rsidR="00811E4E">
              <w:rPr>
                <w:noProof/>
                <w:webHidden/>
              </w:rPr>
              <w:t>22</w:t>
            </w:r>
            <w:r>
              <w:rPr>
                <w:noProof/>
                <w:webHidden/>
              </w:rPr>
              <w:fldChar w:fldCharType="end"/>
            </w:r>
          </w:hyperlink>
        </w:p>
        <w:p w14:paraId="5E6D4FDC" w14:textId="0213E2C0" w:rsidR="00317805" w:rsidRDefault="00317805">
          <w:pPr>
            <w:pStyle w:val="TOC8"/>
            <w:rPr>
              <w:rFonts w:asciiTheme="minorHAnsi" w:eastAsiaTheme="minorEastAsia" w:hAnsiTheme="minorHAnsi"/>
              <w:b w:val="0"/>
              <w:noProof/>
              <w:kern w:val="2"/>
              <w:szCs w:val="24"/>
              <w14:ligatures w14:val="standardContextual"/>
            </w:rPr>
          </w:pPr>
          <w:hyperlink w:anchor="_Toc195047580" w:history="1">
            <w:r w:rsidRPr="002518DB">
              <w:rPr>
                <w:rStyle w:val="Hyperlink"/>
                <w:noProof/>
              </w:rPr>
              <w:t xml:space="preserve">Appendix A. Sample eCQM </w:t>
            </w:r>
            <w:r w:rsidRPr="002518DB">
              <w:rPr>
                <w:rStyle w:val="Hyperlink"/>
                <w:noProof/>
              </w:rPr>
              <w:t>H</w:t>
            </w:r>
            <w:r w:rsidRPr="002518DB">
              <w:rPr>
                <w:rStyle w:val="Hyperlink"/>
                <w:noProof/>
              </w:rPr>
              <w:t>eader</w:t>
            </w:r>
            <w:r>
              <w:rPr>
                <w:noProof/>
                <w:webHidden/>
              </w:rPr>
              <w:tab/>
            </w:r>
            <w:r>
              <w:rPr>
                <w:noProof/>
                <w:webHidden/>
              </w:rPr>
              <w:fldChar w:fldCharType="begin"/>
            </w:r>
            <w:r>
              <w:rPr>
                <w:noProof/>
                <w:webHidden/>
              </w:rPr>
              <w:instrText xml:space="preserve"> PAGEREF _Toc195047580 \h </w:instrText>
            </w:r>
            <w:r>
              <w:rPr>
                <w:noProof/>
                <w:webHidden/>
              </w:rPr>
            </w:r>
            <w:r>
              <w:rPr>
                <w:noProof/>
                <w:webHidden/>
              </w:rPr>
              <w:fldChar w:fldCharType="separate"/>
            </w:r>
            <w:r w:rsidR="00811E4E">
              <w:rPr>
                <w:noProof/>
                <w:webHidden/>
              </w:rPr>
              <w:t>23</w:t>
            </w:r>
            <w:r>
              <w:rPr>
                <w:noProof/>
                <w:webHidden/>
              </w:rPr>
              <w:fldChar w:fldCharType="end"/>
            </w:r>
          </w:hyperlink>
        </w:p>
        <w:p w14:paraId="229D9EFD" w14:textId="0CF7DC3E" w:rsidR="00317805" w:rsidRDefault="00317805">
          <w:pPr>
            <w:pStyle w:val="TOC8"/>
            <w:rPr>
              <w:rFonts w:asciiTheme="minorHAnsi" w:eastAsiaTheme="minorEastAsia" w:hAnsiTheme="minorHAnsi"/>
              <w:b w:val="0"/>
              <w:noProof/>
              <w:kern w:val="2"/>
              <w:szCs w:val="24"/>
              <w14:ligatures w14:val="standardContextual"/>
            </w:rPr>
          </w:pPr>
          <w:hyperlink w:anchor="_Toc195047581" w:history="1">
            <w:r w:rsidRPr="002518DB">
              <w:rPr>
                <w:rStyle w:val="Hyperlink"/>
                <w:noProof/>
              </w:rPr>
              <w:t>Acronyms</w:t>
            </w:r>
            <w:r>
              <w:rPr>
                <w:rStyle w:val="Hyperlink"/>
                <w:noProof/>
              </w:rPr>
              <w:tab/>
            </w:r>
            <w:r>
              <w:rPr>
                <w:noProof/>
                <w:webHidden/>
              </w:rPr>
              <w:tab/>
            </w:r>
            <w:r>
              <w:rPr>
                <w:noProof/>
                <w:webHidden/>
              </w:rPr>
              <w:fldChar w:fldCharType="begin"/>
            </w:r>
            <w:r>
              <w:rPr>
                <w:noProof/>
                <w:webHidden/>
              </w:rPr>
              <w:instrText xml:space="preserve"> PAGEREF _Toc195047581 \h </w:instrText>
            </w:r>
            <w:r>
              <w:rPr>
                <w:noProof/>
                <w:webHidden/>
              </w:rPr>
            </w:r>
            <w:r>
              <w:rPr>
                <w:noProof/>
                <w:webHidden/>
              </w:rPr>
              <w:fldChar w:fldCharType="separate"/>
            </w:r>
            <w:r w:rsidR="00811E4E">
              <w:rPr>
                <w:noProof/>
                <w:webHidden/>
              </w:rPr>
              <w:t>32</w:t>
            </w:r>
            <w:r>
              <w:rPr>
                <w:noProof/>
                <w:webHidden/>
              </w:rPr>
              <w:fldChar w:fldCharType="end"/>
            </w:r>
          </w:hyperlink>
        </w:p>
        <w:p w14:paraId="3211D687" w14:textId="491FAFFB" w:rsidR="00E03612" w:rsidRPr="0047141D" w:rsidRDefault="007F4BD6" w:rsidP="004C08CC">
          <w:pPr>
            <w:pStyle w:val="TOC8"/>
          </w:pPr>
          <w:r>
            <w:rPr>
              <w:b w:val="0"/>
              <w:bCs/>
              <w:noProof/>
            </w:rPr>
            <w:fldChar w:fldCharType="end"/>
          </w:r>
        </w:p>
      </w:sdtContent>
    </w:sdt>
    <w:bookmarkStart w:id="2" w:name="_heading=h.1hmsyys" w:colFirst="0" w:colLast="0" w:displacedByCustomXml="prev"/>
    <w:bookmarkEnd w:id="2" w:displacedByCustomXml="prev"/>
    <w:bookmarkStart w:id="3" w:name="_Toc499106663" w:displacedByCustomXml="prev"/>
    <w:bookmarkStart w:id="4" w:name="_Toc498325024" w:displacedByCustomXml="prev"/>
    <w:bookmarkStart w:id="5" w:name="_Toc498235584" w:displacedByCustomXml="prev"/>
    <w:bookmarkStart w:id="6" w:name="_Toc497634056" w:displacedByCustomXml="prev"/>
    <w:p w14:paraId="5AD8233F" w14:textId="77777777" w:rsidR="00D67C8C" w:rsidRDefault="00D67C8C"/>
    <w:p w14:paraId="0000005C" w14:textId="77777777" w:rsidR="00052CBD" w:rsidRDefault="00052CBD">
      <w:pPr>
        <w:sectPr w:rsidR="00052CBD" w:rsidSect="002865A5">
          <w:headerReference w:type="even" r:id="rId20"/>
          <w:headerReference w:type="default" r:id="rId21"/>
          <w:headerReference w:type="first" r:id="rId22"/>
          <w:footerReference w:type="first" r:id="rId23"/>
          <w:pgSz w:w="12240" w:h="15840"/>
          <w:pgMar w:top="1440" w:right="1440" w:bottom="1440" w:left="1440" w:header="504" w:footer="504" w:gutter="0"/>
          <w:pgNumType w:fmt="lowerRoman"/>
          <w:cols w:space="720"/>
          <w:titlePg/>
        </w:sectPr>
      </w:pPr>
    </w:p>
    <w:p w14:paraId="77A105F1" w14:textId="613D5EB7" w:rsidR="00161739" w:rsidRDefault="0063026B" w:rsidP="0063026B">
      <w:pPr>
        <w:pStyle w:val="H1-Num"/>
      </w:pPr>
      <w:bookmarkStart w:id="7" w:name="_heading=h.1mrcu09" w:colFirst="0" w:colLast="0"/>
      <w:bookmarkStart w:id="8" w:name="_Toc184039764"/>
      <w:bookmarkStart w:id="9" w:name="_Toc510936693"/>
      <w:bookmarkStart w:id="10" w:name="_Toc510936873"/>
      <w:bookmarkStart w:id="11" w:name="_Toc510948564"/>
      <w:bookmarkStart w:id="12" w:name="_Toc159575133"/>
      <w:bookmarkStart w:id="13" w:name="_Toc190852948"/>
      <w:bookmarkStart w:id="14" w:name="_Toc195047550"/>
      <w:bookmarkEnd w:id="7"/>
      <w:bookmarkEnd w:id="6"/>
      <w:bookmarkEnd w:id="5"/>
      <w:bookmarkEnd w:id="4"/>
      <w:bookmarkEnd w:id="3"/>
      <w:r>
        <w:lastRenderedPageBreak/>
        <w:t>1.</w:t>
      </w:r>
      <w:r>
        <w:tab/>
      </w:r>
      <w:r w:rsidR="00161739">
        <w:t>Introduction</w:t>
      </w:r>
      <w:bookmarkEnd w:id="8"/>
      <w:bookmarkEnd w:id="9"/>
      <w:bookmarkEnd w:id="10"/>
      <w:bookmarkEnd w:id="11"/>
      <w:bookmarkEnd w:id="12"/>
      <w:bookmarkEnd w:id="13"/>
      <w:bookmarkEnd w:id="14"/>
    </w:p>
    <w:p w14:paraId="776DE130" w14:textId="77777777" w:rsidR="00161739" w:rsidRDefault="00161739" w:rsidP="0063026B">
      <w:pPr>
        <w:pStyle w:val="ParagraphContinued"/>
      </w:pPr>
      <w:r w:rsidRPr="001141A7">
        <w:rPr>
          <w:highlight w:val="white"/>
        </w:rPr>
        <w:t xml:space="preserve">An electronic clinical quality measure (eCQM) </w:t>
      </w:r>
      <w:r>
        <w:rPr>
          <w:highlight w:val="white"/>
        </w:rPr>
        <w:t xml:space="preserve">is a measure specified in a standard format that </w:t>
      </w:r>
      <w:r w:rsidRPr="001141A7">
        <w:rPr>
          <w:highlight w:val="white"/>
        </w:rPr>
        <w:t xml:space="preserve">uses data </w:t>
      </w:r>
      <w:r>
        <w:rPr>
          <w:highlight w:val="white"/>
        </w:rPr>
        <w:t xml:space="preserve">electronically extracted </w:t>
      </w:r>
      <w:r w:rsidRPr="001141A7">
        <w:rPr>
          <w:highlight w:val="white"/>
        </w:rPr>
        <w:t>from electronic health records (</w:t>
      </w:r>
      <w:r w:rsidRPr="005E58B5">
        <w:rPr>
          <w:szCs w:val="24"/>
          <w:shd w:val="clear" w:color="auto" w:fill="FFFFFF"/>
        </w:rPr>
        <w:t>EHRs</w:t>
      </w:r>
      <w:r w:rsidRPr="001141A7">
        <w:rPr>
          <w:highlight w:val="white"/>
        </w:rPr>
        <w:t xml:space="preserve">) and/or health information technology (IT) systems to measure health care </w:t>
      </w:r>
      <w:r w:rsidRPr="005E58B5">
        <w:rPr>
          <w:szCs w:val="24"/>
          <w:shd w:val="clear" w:color="auto" w:fill="FFFFFF"/>
        </w:rPr>
        <w:t>quality</w:t>
      </w:r>
      <w:r w:rsidRPr="001141A7">
        <w:rPr>
          <w:highlight w:val="white"/>
        </w:rPr>
        <w:t xml:space="preserve">. Ideally, the data is captured in structured form during the process of patient care. The </w:t>
      </w:r>
      <w:r>
        <w:t>Centers for Medicare &amp; Medicaid Services (CMS), which uses eCQMs in quality reporting and incentive programs, is working to reduce the burden of collecting and reporting health care quality performance data by drawing on the capabilities of health IT systems and EHRs.</w:t>
      </w:r>
    </w:p>
    <w:p w14:paraId="4D64EB58" w14:textId="40764D6C" w:rsidR="00161739" w:rsidRDefault="0063026B" w:rsidP="0063026B">
      <w:pPr>
        <w:pStyle w:val="H2-Num"/>
      </w:pPr>
      <w:bookmarkStart w:id="15" w:name="_Toc184039765"/>
      <w:bookmarkStart w:id="16" w:name="_Toc159575134"/>
      <w:bookmarkStart w:id="17" w:name="_Toc190852949"/>
      <w:bookmarkStart w:id="18" w:name="_Toc195047551"/>
      <w:r>
        <w:t>1.1</w:t>
      </w:r>
      <w:r>
        <w:tab/>
      </w:r>
      <w:r w:rsidR="00161739">
        <w:t>Using This Guide</w:t>
      </w:r>
      <w:bookmarkEnd w:id="15"/>
      <w:bookmarkEnd w:id="16"/>
      <w:bookmarkEnd w:id="17"/>
      <w:bookmarkEnd w:id="18"/>
    </w:p>
    <w:p w14:paraId="33A56104" w14:textId="11ED1C0A" w:rsidR="00161739" w:rsidRDefault="00962AC3" w:rsidP="0063026B">
      <w:pPr>
        <w:pStyle w:val="ParagraphContinued"/>
      </w:pPr>
      <w:r>
        <w:t>This</w:t>
      </w:r>
      <w:r w:rsidRPr="00962AC3">
        <w:t xml:space="preserve"> </w:t>
      </w:r>
      <w:r>
        <w:t>g</w:t>
      </w:r>
      <w:r w:rsidRPr="00962AC3">
        <w:t xml:space="preserve">uide </w:t>
      </w:r>
      <w:r w:rsidR="0071607D">
        <w:t>assists</w:t>
      </w:r>
      <w:r w:rsidRPr="00962AC3">
        <w:t xml:space="preserve"> quality analysts, eCQM implementers, and </w:t>
      </w:r>
      <w:r w:rsidR="00A62721">
        <w:t>h</w:t>
      </w:r>
      <w:r w:rsidRPr="00962AC3">
        <w:t>ealth IT vendors—along with measure entities such as clinicians and hospitals—</w:t>
      </w:r>
      <w:r w:rsidR="0071607D">
        <w:t xml:space="preserve">to </w:t>
      </w:r>
      <w:r w:rsidRPr="00962AC3">
        <w:t>understand eCQMs and their associated documentation.</w:t>
      </w:r>
      <w:r w:rsidR="00C108AF">
        <w:t xml:space="preserve"> </w:t>
      </w:r>
      <w:r w:rsidR="00161739">
        <w:t>The Guide provides background on eCQM packages and an overview of the human-readable format of eCQMs.</w:t>
      </w:r>
      <w:r w:rsidR="00161739">
        <w:rPr>
          <w:rStyle w:val="FootnoteReference"/>
        </w:rPr>
        <w:footnoteReference w:id="2"/>
      </w:r>
      <w:r w:rsidR="00161739">
        <w:t xml:space="preserve"> P</w:t>
      </w:r>
      <w:r w:rsidR="00161739" w:rsidRPr="00CC3A03">
        <w:t xml:space="preserve">lease note that </w:t>
      </w:r>
      <w:r w:rsidR="00B27B2C">
        <w:t>the</w:t>
      </w:r>
      <w:r w:rsidR="00B27B2C" w:rsidRPr="00CC3A03">
        <w:t xml:space="preserve"> </w:t>
      </w:r>
      <w:r w:rsidR="00161739" w:rsidRPr="00CC3A03">
        <w:t xml:space="preserve">eCQM examples provided throughout this </w:t>
      </w:r>
      <w:r w:rsidR="00161739">
        <w:t>Guide</w:t>
      </w:r>
      <w:r w:rsidR="00161739" w:rsidRPr="00CC3A03">
        <w:t xml:space="preserve"> draw from the eCQM specifications posted for</w:t>
      </w:r>
      <w:r w:rsidR="00161739">
        <w:t xml:space="preserve"> the</w:t>
      </w:r>
      <w:r w:rsidR="00161739" w:rsidRPr="00CC3A03">
        <w:t xml:space="preserve"> </w:t>
      </w:r>
      <w:r w:rsidR="00B27B2C" w:rsidRPr="00CC3A03">
        <w:t>202</w:t>
      </w:r>
      <w:r w:rsidR="00B27B2C">
        <w:t>6</w:t>
      </w:r>
      <w:r w:rsidR="00B27B2C" w:rsidRPr="00CC3A03">
        <w:t xml:space="preserve"> </w:t>
      </w:r>
      <w:r w:rsidR="00161739">
        <w:t>reporting/performance</w:t>
      </w:r>
      <w:r w:rsidR="00161739" w:rsidRPr="00CC3A03">
        <w:t xml:space="preserve"> period.</w:t>
      </w:r>
      <w:r w:rsidR="00161739">
        <w:t xml:space="preserve"> </w:t>
      </w:r>
    </w:p>
    <w:p w14:paraId="6A87AC52" w14:textId="77777777" w:rsidR="00161739" w:rsidRDefault="00161739" w:rsidP="0063026B">
      <w:pPr>
        <w:pStyle w:val="Paragraph"/>
      </w:pPr>
      <w:r>
        <w:t xml:space="preserve">For information on how to develop an eCQM, please refer to the Blueprint content on the </w:t>
      </w:r>
      <w:hyperlink r:id="rId24">
        <w:r>
          <w:rPr>
            <w:color w:val="0563C1"/>
            <w:u w:val="single"/>
          </w:rPr>
          <w:t>CMS Measures Management System (MMS) Hub</w:t>
        </w:r>
      </w:hyperlink>
      <w:r>
        <w:t xml:space="preserve"> and </w:t>
      </w:r>
      <w:bookmarkStart w:id="19" w:name="_Hlk194421035"/>
      <w:r>
        <w:t xml:space="preserve">the supplemental materials on the </w:t>
      </w:r>
      <w:hyperlink r:id="rId25" w:history="1">
        <w:r w:rsidRPr="00D404CB">
          <w:rPr>
            <w:rStyle w:val="Hyperlink"/>
          </w:rPr>
          <w:t>MMS Resources and Templates</w:t>
        </w:r>
      </w:hyperlink>
      <w:r>
        <w:t xml:space="preserve"> page</w:t>
      </w:r>
      <w:bookmarkEnd w:id="19"/>
      <w:r>
        <w:t xml:space="preserve">. For more information on implementing an eCQM, please refer to the eCQM Logic and Implementation Guidance document on the Electronic Clinical Quality Improvement (eCQI) Resource Center’s </w:t>
      </w:r>
      <w:hyperlink r:id="rId26" w:history="1">
        <w:r w:rsidRPr="008E228E">
          <w:rPr>
            <w:rStyle w:val="Hyperlink"/>
          </w:rPr>
          <w:t>Eligible Clinician eCQMs</w:t>
        </w:r>
      </w:hyperlink>
      <w:r>
        <w:t xml:space="preserve">, </w:t>
      </w:r>
      <w:hyperlink r:id="rId27" w:history="1">
        <w:r w:rsidRPr="006B5140">
          <w:rPr>
            <w:rStyle w:val="Hyperlink"/>
          </w:rPr>
          <w:t>Hospital - Inpatient eCQMs</w:t>
        </w:r>
      </w:hyperlink>
      <w:r>
        <w:t xml:space="preserve">, or </w:t>
      </w:r>
      <w:hyperlink r:id="rId28" w:history="1">
        <w:r w:rsidRPr="008E228E">
          <w:rPr>
            <w:rStyle w:val="Hyperlink"/>
          </w:rPr>
          <w:t xml:space="preserve">Hospital </w:t>
        </w:r>
        <w:r>
          <w:rPr>
            <w:rStyle w:val="Hyperlink"/>
          </w:rPr>
          <w:t>-</w:t>
        </w:r>
        <w:r w:rsidRPr="008E228E">
          <w:rPr>
            <w:rStyle w:val="Hyperlink"/>
          </w:rPr>
          <w:t xml:space="preserve"> Outpatient eCQMs</w:t>
        </w:r>
      </w:hyperlink>
      <w:r>
        <w:t xml:space="preserve"> Resources tables. For more information on understanding harmonization efforts across the eCQMs, please refer to the Quality Data Model (QDM)-based Clinical Quality Language (CQL) Style Guide on the </w:t>
      </w:r>
      <w:hyperlink r:id="rId29">
        <w:r>
          <w:rPr>
            <w:color w:val="0563C1"/>
            <w:u w:val="single"/>
          </w:rPr>
          <w:t>eCQI Resource Center CQL Tools &amp; Resources</w:t>
        </w:r>
      </w:hyperlink>
      <w:r w:rsidRPr="001141A7">
        <w:rPr>
          <w:color w:val="0563C1"/>
        </w:rPr>
        <w:t xml:space="preserve"> </w:t>
      </w:r>
      <w:r w:rsidRPr="001141A7">
        <w:rPr>
          <w:color w:val="000000"/>
        </w:rPr>
        <w:t>page</w:t>
      </w:r>
      <w:r>
        <w:t>.</w:t>
      </w:r>
    </w:p>
    <w:p w14:paraId="71EAA5C5" w14:textId="77777777" w:rsidR="00161739" w:rsidRDefault="00161739" w:rsidP="00161739">
      <w:pPr>
        <w:sectPr w:rsidR="00161739" w:rsidSect="00161739">
          <w:headerReference w:type="even" r:id="rId30"/>
          <w:headerReference w:type="default" r:id="rId31"/>
          <w:headerReference w:type="first" r:id="rId32"/>
          <w:footerReference w:type="first" r:id="rId33"/>
          <w:pgSz w:w="12240" w:h="15840"/>
          <w:pgMar w:top="1440" w:right="1440" w:bottom="1440" w:left="1440" w:header="504" w:footer="504" w:gutter="0"/>
          <w:pgNumType w:start="1"/>
          <w:cols w:space="720"/>
          <w:titlePg/>
        </w:sectPr>
      </w:pPr>
    </w:p>
    <w:p w14:paraId="51E66A8E" w14:textId="0EF2E416" w:rsidR="00161739" w:rsidRDefault="0063026B" w:rsidP="0063026B">
      <w:pPr>
        <w:pStyle w:val="H1-Num"/>
      </w:pPr>
      <w:bookmarkStart w:id="20" w:name="_Toc511982798"/>
      <w:bookmarkStart w:id="21" w:name="_Toc511984697"/>
      <w:bookmarkStart w:id="22" w:name="_Toc511984846"/>
      <w:bookmarkStart w:id="23" w:name="_Toc511984995"/>
      <w:bookmarkStart w:id="24" w:name="_Toc511985144"/>
      <w:bookmarkStart w:id="25" w:name="_Toc511985294"/>
      <w:bookmarkStart w:id="26" w:name="_Toc511991080"/>
      <w:bookmarkStart w:id="27" w:name="_Toc511998055"/>
      <w:bookmarkStart w:id="28" w:name="_Toc511998217"/>
      <w:bookmarkStart w:id="29" w:name="_Toc512003188"/>
      <w:bookmarkStart w:id="30" w:name="_Toc511982799"/>
      <w:bookmarkStart w:id="31" w:name="_Toc511984698"/>
      <w:bookmarkStart w:id="32" w:name="_Toc511984847"/>
      <w:bookmarkStart w:id="33" w:name="_Toc511984996"/>
      <w:bookmarkStart w:id="34" w:name="_Toc511985145"/>
      <w:bookmarkStart w:id="35" w:name="_Toc511985295"/>
      <w:bookmarkStart w:id="36" w:name="_Toc511991081"/>
      <w:bookmarkStart w:id="37" w:name="_Toc511998056"/>
      <w:bookmarkStart w:id="38" w:name="_Toc511998218"/>
      <w:bookmarkStart w:id="39" w:name="_Toc512003189"/>
      <w:bookmarkStart w:id="40" w:name="_Toc511982800"/>
      <w:bookmarkStart w:id="41" w:name="_Toc511984699"/>
      <w:bookmarkStart w:id="42" w:name="_Toc511984848"/>
      <w:bookmarkStart w:id="43" w:name="_Toc511984997"/>
      <w:bookmarkStart w:id="44" w:name="_Toc511985146"/>
      <w:bookmarkStart w:id="45" w:name="_Toc511985296"/>
      <w:bookmarkStart w:id="46" w:name="_Toc511991082"/>
      <w:bookmarkStart w:id="47" w:name="_Toc511998057"/>
      <w:bookmarkStart w:id="48" w:name="_Toc511998219"/>
      <w:bookmarkStart w:id="49" w:name="_Toc512003190"/>
      <w:bookmarkStart w:id="50" w:name="_Toc511982802"/>
      <w:bookmarkStart w:id="51" w:name="_Toc511984701"/>
      <w:bookmarkStart w:id="52" w:name="_Toc511984850"/>
      <w:bookmarkStart w:id="53" w:name="_Toc511984999"/>
      <w:bookmarkStart w:id="54" w:name="_Toc511985148"/>
      <w:bookmarkStart w:id="55" w:name="_Toc511985298"/>
      <w:bookmarkStart w:id="56" w:name="_Toc511991084"/>
      <w:bookmarkStart w:id="57" w:name="_Toc511998059"/>
      <w:bookmarkStart w:id="58" w:name="_Toc511998221"/>
      <w:bookmarkStart w:id="59" w:name="_Toc512003192"/>
      <w:bookmarkStart w:id="60" w:name="_Toc511824881"/>
      <w:bookmarkStart w:id="61" w:name="_Toc511856699"/>
      <w:bookmarkStart w:id="62" w:name="_Toc511856828"/>
      <w:bookmarkStart w:id="63" w:name="_Toc511856960"/>
      <w:bookmarkStart w:id="64" w:name="_Toc511982805"/>
      <w:bookmarkStart w:id="65" w:name="_Toc511984704"/>
      <w:bookmarkStart w:id="66" w:name="_Toc511984853"/>
      <w:bookmarkStart w:id="67" w:name="_Toc511985002"/>
      <w:bookmarkStart w:id="68" w:name="_Toc511985151"/>
      <w:bookmarkStart w:id="69" w:name="_Toc511985301"/>
      <w:bookmarkStart w:id="70" w:name="_Toc511991087"/>
      <w:bookmarkStart w:id="71" w:name="_Toc511998062"/>
      <w:bookmarkStart w:id="72" w:name="_Toc511998224"/>
      <w:bookmarkStart w:id="73" w:name="_Toc512003195"/>
      <w:bookmarkStart w:id="74" w:name="_Toc511982808"/>
      <w:bookmarkStart w:id="75" w:name="_Toc511984707"/>
      <w:bookmarkStart w:id="76" w:name="_Toc511984856"/>
      <w:bookmarkStart w:id="77" w:name="_Toc511985005"/>
      <w:bookmarkStart w:id="78" w:name="_Toc511985154"/>
      <w:bookmarkStart w:id="79" w:name="_Toc511985304"/>
      <w:bookmarkStart w:id="80" w:name="_Toc511991090"/>
      <w:bookmarkStart w:id="81" w:name="_Toc511998065"/>
      <w:bookmarkStart w:id="82" w:name="_Toc511998227"/>
      <w:bookmarkStart w:id="83" w:name="_Toc512003198"/>
      <w:bookmarkStart w:id="84" w:name="_Toc184039766"/>
      <w:bookmarkStart w:id="85" w:name="_Toc159575135"/>
      <w:bookmarkStart w:id="86" w:name="_Toc190852950"/>
      <w:bookmarkStart w:id="87" w:name="_Toc195047552"/>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r>
        <w:lastRenderedPageBreak/>
        <w:t>2.</w:t>
      </w:r>
      <w:r>
        <w:tab/>
      </w:r>
      <w:r w:rsidR="00161739">
        <w:t>eCQM Building Blocks—Standards and Tools</w:t>
      </w:r>
      <w:bookmarkEnd w:id="84"/>
      <w:bookmarkEnd w:id="85"/>
      <w:bookmarkEnd w:id="86"/>
      <w:bookmarkEnd w:id="87"/>
    </w:p>
    <w:p w14:paraId="0F92AA52" w14:textId="2124B137" w:rsidR="00161739" w:rsidRDefault="0063026B" w:rsidP="0063026B">
      <w:pPr>
        <w:pStyle w:val="H2-Num"/>
      </w:pPr>
      <w:bookmarkStart w:id="88" w:name="_Toc184039767"/>
      <w:bookmarkStart w:id="89" w:name="_Toc159575136"/>
      <w:bookmarkStart w:id="90" w:name="_Toc190852951"/>
      <w:bookmarkStart w:id="91" w:name="_Toc195047553"/>
      <w:r>
        <w:t>2.1</w:t>
      </w:r>
      <w:r>
        <w:tab/>
      </w:r>
      <w:r w:rsidR="00161739">
        <w:t>Standards</w:t>
      </w:r>
      <w:bookmarkEnd w:id="88"/>
      <w:bookmarkEnd w:id="89"/>
      <w:bookmarkEnd w:id="90"/>
      <w:bookmarkEnd w:id="91"/>
    </w:p>
    <w:p w14:paraId="089CD260" w14:textId="77777777" w:rsidR="00161739" w:rsidRDefault="00161739" w:rsidP="0063026B">
      <w:pPr>
        <w:pStyle w:val="ParagraphContinued"/>
      </w:pPr>
      <w:r>
        <w:t xml:space="preserve">Measure developers use several standards to identify data, define the data elements used in eCQMs, and express the timing and relationships between them. Visit the </w:t>
      </w:r>
      <w:hyperlink r:id="rId34">
        <w:r>
          <w:rPr>
            <w:color w:val="0563C1"/>
            <w:u w:val="single"/>
          </w:rPr>
          <w:t>eCQI Resource Center</w:t>
        </w:r>
      </w:hyperlink>
      <w:r>
        <w:t xml:space="preserve"> to learn more about standards. </w:t>
      </w:r>
    </w:p>
    <w:p w14:paraId="033F6467" w14:textId="20F88A84" w:rsidR="00161739" w:rsidRDefault="0063026B" w:rsidP="0063026B">
      <w:pPr>
        <w:pStyle w:val="H3-Num"/>
      </w:pPr>
      <w:bookmarkStart w:id="92" w:name="_Toc92113454"/>
      <w:bookmarkStart w:id="93" w:name="_Toc92113455"/>
      <w:bookmarkStart w:id="94" w:name="_Health_Quality_Measure"/>
      <w:bookmarkStart w:id="95" w:name="_Toc184039768"/>
      <w:bookmarkStart w:id="96" w:name="_Toc159575137"/>
      <w:bookmarkStart w:id="97" w:name="_Toc190852952"/>
      <w:bookmarkStart w:id="98" w:name="_Toc195047554"/>
      <w:bookmarkEnd w:id="92"/>
      <w:bookmarkEnd w:id="93"/>
      <w:bookmarkEnd w:id="94"/>
      <w:r>
        <w:t>2.1.1</w:t>
      </w:r>
      <w:r>
        <w:tab/>
      </w:r>
      <w:r w:rsidR="00161739">
        <w:t>Health Quality Measure Format</w:t>
      </w:r>
      <w:bookmarkEnd w:id="95"/>
      <w:bookmarkEnd w:id="96"/>
      <w:bookmarkEnd w:id="97"/>
      <w:bookmarkEnd w:id="98"/>
    </w:p>
    <w:p w14:paraId="31FB6762" w14:textId="13D5B46B" w:rsidR="00161739" w:rsidRDefault="00161739" w:rsidP="0063026B">
      <w:pPr>
        <w:pStyle w:val="ParagraphContinued"/>
      </w:pPr>
      <w:r>
        <w:t>Health Quality Measure Format (HQMF) is a Health Level Seven International</w:t>
      </w:r>
      <w:r>
        <w:rPr>
          <w:vertAlign w:val="superscript"/>
        </w:rPr>
        <w:t>®</w:t>
      </w:r>
      <w:r>
        <w:t xml:space="preserve"> (HL7) </w:t>
      </w:r>
      <w:r w:rsidRPr="001141A7">
        <w:rPr>
          <w:highlight w:val="white"/>
        </w:rPr>
        <w:t>standard format for documenting the content and structure of an eCQM.</w:t>
      </w:r>
      <w:r w:rsidRPr="001141A7">
        <w:rPr>
          <w:vertAlign w:val="superscript"/>
        </w:rPr>
        <w:footnoteReference w:id="3"/>
      </w:r>
      <w:r w:rsidRPr="001141A7">
        <w:rPr>
          <w:highlight w:val="white"/>
        </w:rPr>
        <w:t xml:space="preserve"> Intended to represent eCQMs used in a health care setting, HQMF is an </w:t>
      </w:r>
      <w:r w:rsidRPr="00F26C5E">
        <w:t>Extensible Markup Language (XML)</w:t>
      </w:r>
      <w:r w:rsidRPr="001141A7">
        <w:rPr>
          <w:highlight w:val="white"/>
        </w:rPr>
        <w:t xml:space="preserve"> document describing how to compute an eCQM.</w:t>
      </w:r>
      <w:r>
        <w:t xml:space="preserve"> The HQMF provides consistency and unambiguous interpretation through standardization of an </w:t>
      </w:r>
      <w:proofErr w:type="spellStart"/>
      <w:r>
        <w:t>eCQM’s</w:t>
      </w:r>
      <w:proofErr w:type="spellEnd"/>
      <w:r>
        <w:t xml:space="preserve"> structure, metadata, definitions, and logic. More information on the </w:t>
      </w:r>
      <w:hyperlink r:id="rId35">
        <w:r>
          <w:rPr>
            <w:color w:val="0563C1"/>
            <w:u w:val="single"/>
          </w:rPr>
          <w:t>HQMF</w:t>
        </w:r>
      </w:hyperlink>
      <w:r>
        <w:t xml:space="preserve"> is available on the eCQI Resource Center.</w:t>
      </w:r>
    </w:p>
    <w:p w14:paraId="14B9FBA4" w14:textId="337BE6C3" w:rsidR="00161739" w:rsidRDefault="0063026B" w:rsidP="0063026B">
      <w:pPr>
        <w:pStyle w:val="H3-Num"/>
      </w:pPr>
      <w:bookmarkStart w:id="99" w:name="_Toc184039769"/>
      <w:bookmarkStart w:id="100" w:name="_Toc159575138"/>
      <w:bookmarkStart w:id="101" w:name="_Toc190852953"/>
      <w:bookmarkStart w:id="102" w:name="_Toc195047555"/>
      <w:r>
        <w:t>2.1.2</w:t>
      </w:r>
      <w:r>
        <w:tab/>
      </w:r>
      <w:r w:rsidR="00161739">
        <w:t>Quality Data Model</w:t>
      </w:r>
      <w:bookmarkEnd w:id="99"/>
      <w:bookmarkEnd w:id="100"/>
      <w:bookmarkEnd w:id="101"/>
      <w:bookmarkEnd w:id="102"/>
    </w:p>
    <w:p w14:paraId="3DF76F50" w14:textId="6BA5A5B3" w:rsidR="00161739" w:rsidRDefault="00161739" w:rsidP="0063026B">
      <w:pPr>
        <w:pStyle w:val="ParagraphContinued"/>
      </w:pPr>
      <w:r>
        <w:t xml:space="preserve">The QDM is the information model measure developers use to define the data necessary to describe the eCQM components, such as the numerator and denominator for a proportion measure. To create an eCQM, developers must define data elements consistently based on the QDM. </w:t>
      </w:r>
      <w:hyperlink r:id="rId36" w:history="1">
        <w:r w:rsidRPr="0024058A">
          <w:rPr>
            <w:rStyle w:val="Hyperlink"/>
          </w:rPr>
          <w:t xml:space="preserve">The Blueprint </w:t>
        </w:r>
        <w:r>
          <w:rPr>
            <w:rStyle w:val="Hyperlink"/>
          </w:rPr>
          <w:t>content</w:t>
        </w:r>
        <w:r w:rsidRPr="0024058A">
          <w:rPr>
            <w:rStyle w:val="Hyperlink"/>
          </w:rPr>
          <w:t xml:space="preserve"> on the CMS MMS Hub</w:t>
        </w:r>
      </w:hyperlink>
      <w:r w:rsidRPr="0024058A">
        <w:t xml:space="preserve"> outlines this process</w:t>
      </w:r>
      <w:r>
        <w:t xml:space="preserve">. The eCQI Resource Center provides more information about the </w:t>
      </w:r>
      <w:hyperlink r:id="rId37">
        <w:r>
          <w:rPr>
            <w:color w:val="0563C1"/>
            <w:u w:val="single"/>
          </w:rPr>
          <w:t>QDM</w:t>
        </w:r>
      </w:hyperlink>
      <w:r>
        <w:t>. The next subsection provides a brief overview of some of the key elements of the QDM that can help in reading and interpreting eCQMs.</w:t>
      </w:r>
    </w:p>
    <w:p w14:paraId="58761465" w14:textId="2532DA1A" w:rsidR="00161739" w:rsidRDefault="0063026B" w:rsidP="0063026B">
      <w:pPr>
        <w:pStyle w:val="H4-Num"/>
      </w:pPr>
      <w:bookmarkStart w:id="103" w:name="_Toc184039770"/>
      <w:bookmarkStart w:id="104" w:name="_Toc159575139"/>
      <w:r>
        <w:t>2.1.2.1</w:t>
      </w:r>
      <w:r>
        <w:tab/>
      </w:r>
      <w:r w:rsidR="00161739">
        <w:t>QDM Data Element</w:t>
      </w:r>
      <w:bookmarkEnd w:id="103"/>
      <w:bookmarkEnd w:id="104"/>
    </w:p>
    <w:p w14:paraId="44F959B5" w14:textId="77777777" w:rsidR="00161739" w:rsidRDefault="00161739" w:rsidP="0063026B">
      <w:pPr>
        <w:pStyle w:val="ParagraphContinued"/>
      </w:pPr>
      <w:r>
        <w:t>The QDM uses a specific structure to define a data element. Figure 2.1 shows the structure of a QDM data element:</w:t>
      </w:r>
    </w:p>
    <w:p w14:paraId="2CF347A0" w14:textId="77777777" w:rsidR="00161739" w:rsidRDefault="00161739" w:rsidP="0063026B">
      <w:pPr>
        <w:pStyle w:val="ListNumber"/>
      </w:pPr>
      <w:r w:rsidRPr="001141A7">
        <w:t>QDM category is the class or group of information a quality measure can address</w:t>
      </w:r>
      <w:r>
        <w:rPr>
          <w:szCs w:val="24"/>
        </w:rPr>
        <w:t xml:space="preserve">, </w:t>
      </w:r>
      <w:r w:rsidRPr="001141A7">
        <w:t>for example, Diagnosis, Medication, Procedure, or Laboratory Test</w:t>
      </w:r>
      <w:r>
        <w:rPr>
          <w:szCs w:val="24"/>
        </w:rPr>
        <w:t>.</w:t>
      </w:r>
    </w:p>
    <w:p w14:paraId="0C0F9AEC" w14:textId="7A7858C8" w:rsidR="00161739" w:rsidRDefault="00161739" w:rsidP="0063026B">
      <w:pPr>
        <w:pStyle w:val="ListNumber"/>
      </w:pPr>
      <w:r w:rsidRPr="001141A7">
        <w:t xml:space="preserve">QDM datatype </w:t>
      </w:r>
      <w:r w:rsidRPr="00BD3D85">
        <w:rPr>
          <w:szCs w:val="24"/>
        </w:rPr>
        <w:t>provides</w:t>
      </w:r>
      <w:r w:rsidRPr="001141A7">
        <w:t xml:space="preserve"> the context</w:t>
      </w:r>
      <w:r w:rsidRPr="00BD3D85">
        <w:rPr>
          <w:szCs w:val="24"/>
        </w:rPr>
        <w:t>, or status, desired</w:t>
      </w:r>
      <w:r w:rsidRPr="001141A7">
        <w:t xml:space="preserve"> with respect</w:t>
      </w:r>
      <w:r w:rsidRPr="00BD3D85">
        <w:rPr>
          <w:szCs w:val="24"/>
        </w:rPr>
        <w:t xml:space="preserve"> to the QDM category. For </w:t>
      </w:r>
      <w:r w:rsidRPr="001141A7">
        <w:t xml:space="preserve">example, </w:t>
      </w:r>
      <w:r w:rsidRPr="00BD3D85">
        <w:rPr>
          <w:szCs w:val="24"/>
        </w:rPr>
        <w:t xml:space="preserve">a request for a laboratory test, </w:t>
      </w:r>
      <w:r>
        <w:rPr>
          <w:szCs w:val="24"/>
        </w:rPr>
        <w:t>“</w:t>
      </w:r>
      <w:r w:rsidRPr="00BD3D85">
        <w:rPr>
          <w:szCs w:val="24"/>
        </w:rPr>
        <w:t>Laboratory Test, Order</w:t>
      </w:r>
      <w:r>
        <w:rPr>
          <w:szCs w:val="24"/>
        </w:rPr>
        <w:t>” is</w:t>
      </w:r>
      <w:r w:rsidRPr="00BD3D85">
        <w:rPr>
          <w:szCs w:val="24"/>
        </w:rPr>
        <w:t xml:space="preserve"> distinguished from a completed test, </w:t>
      </w:r>
      <w:r>
        <w:rPr>
          <w:szCs w:val="24"/>
        </w:rPr>
        <w:t>“</w:t>
      </w:r>
      <w:r w:rsidRPr="001141A7">
        <w:t>Laboratory Test, Performed</w:t>
      </w:r>
      <w:r>
        <w:t>.</w:t>
      </w:r>
      <w:r>
        <w:rPr>
          <w:szCs w:val="24"/>
        </w:rPr>
        <w:t>”</w:t>
      </w:r>
    </w:p>
    <w:p w14:paraId="4DB70263" w14:textId="77777777" w:rsidR="00161739" w:rsidRDefault="00161739" w:rsidP="0063026B">
      <w:pPr>
        <w:pStyle w:val="ListNumber"/>
      </w:pPr>
      <w:r w:rsidRPr="001141A7">
        <w:t xml:space="preserve">QDM attributes represent information about a QDM data element (or metadata) that must exist in data retrieved from the EHR or health IT </w:t>
      </w:r>
      <w:r>
        <w:rPr>
          <w:szCs w:val="24"/>
        </w:rPr>
        <w:t xml:space="preserve">systems </w:t>
      </w:r>
      <w:r w:rsidRPr="001141A7">
        <w:t>to calculate the eCQM results.</w:t>
      </w:r>
      <w:r>
        <w:t xml:space="preserve"> </w:t>
      </w:r>
    </w:p>
    <w:p w14:paraId="00E361B7" w14:textId="77777777" w:rsidR="00161739" w:rsidRDefault="00161739" w:rsidP="0063026B">
      <w:pPr>
        <w:pStyle w:val="ListBullet2"/>
      </w:pPr>
      <w:r w:rsidRPr="001141A7">
        <w:t>Attributes</w:t>
      </w:r>
      <w:r w:rsidRPr="001141A7">
        <w:rPr>
          <w:i/>
        </w:rPr>
        <w:t xml:space="preserve"> </w:t>
      </w:r>
      <w:r w:rsidRPr="001141A7">
        <w:t>include concepts such as start and stop times, results, and locations. Each QDM datatype has a specific set of attributes acceptable for use in an eCQM.</w:t>
      </w:r>
    </w:p>
    <w:p w14:paraId="2E28637A" w14:textId="77777777" w:rsidR="00161739" w:rsidRDefault="00161739" w:rsidP="0063026B">
      <w:pPr>
        <w:pStyle w:val="ListNumber"/>
      </w:pPr>
      <w:r>
        <w:t xml:space="preserve">Combining the QDM datatype with a value set or direct reference code (DRC) makes a QDM data element </w:t>
      </w:r>
      <w:r w:rsidRPr="00BD3D85">
        <w:t>(for example, [“Laboratory Test, Performed”: “HIV Lab Tests”])</w:t>
      </w:r>
      <w:r>
        <w:rPr>
          <w:i/>
        </w:rPr>
        <w:t>.</w:t>
      </w:r>
      <w:r>
        <w:t xml:space="preserve"> </w:t>
      </w:r>
      <w:bookmarkStart w:id="105" w:name="_Toc159577871"/>
    </w:p>
    <w:p w14:paraId="5E7D096D" w14:textId="77777777" w:rsidR="00161739" w:rsidRDefault="00161739" w:rsidP="00161739">
      <w:pPr>
        <w:pBdr>
          <w:top w:val="nil"/>
          <w:left w:val="nil"/>
          <w:bottom w:val="nil"/>
          <w:right w:val="nil"/>
          <w:between w:val="nil"/>
        </w:pBdr>
        <w:spacing w:before="100" w:after="0"/>
        <w:jc w:val="center"/>
        <w:rPr>
          <w:rFonts w:ascii="Arial Narrow" w:eastAsia="Arial Narrow" w:hAnsi="Arial Narrow"/>
          <w:b/>
          <w:color w:val="000000"/>
        </w:rPr>
      </w:pPr>
      <w:bookmarkStart w:id="106" w:name="_heading=h.lnxbz9" w:colFirst="0" w:colLast="0"/>
      <w:bookmarkEnd w:id="106"/>
    </w:p>
    <w:p w14:paraId="7DDF7239" w14:textId="2BF4CFDA" w:rsidR="00161739" w:rsidRDefault="00161739" w:rsidP="00161739">
      <w:pPr>
        <w:pStyle w:val="FigureTitle"/>
      </w:pPr>
      <w:bookmarkStart w:id="107" w:name="_Toc195047207"/>
      <w:r w:rsidRPr="001141A7">
        <w:rPr>
          <w:color w:val="000000"/>
        </w:rPr>
        <w:lastRenderedPageBreak/>
        <w:t xml:space="preserve">Figure 2.1. QDM </w:t>
      </w:r>
      <w:r>
        <w:rPr>
          <w:color w:val="000000"/>
        </w:rPr>
        <w:t xml:space="preserve">Data Element </w:t>
      </w:r>
      <w:r w:rsidRPr="001141A7">
        <w:rPr>
          <w:color w:val="000000"/>
        </w:rPr>
        <w:t>Structure</w:t>
      </w:r>
      <w:r>
        <w:rPr>
          <w:color w:val="000000"/>
        </w:rPr>
        <w:t xml:space="preserve">: </w:t>
      </w:r>
      <w:r w:rsidRPr="00C372BB">
        <w:t>Building a Q</w:t>
      </w:r>
      <w:r>
        <w:t>DM</w:t>
      </w:r>
      <w:r w:rsidRPr="00C372BB">
        <w:t xml:space="preserve"> Data Element Using QDM Categories, </w:t>
      </w:r>
      <w:r w:rsidR="00D74AE0">
        <w:t>Datatype (Context</w:t>
      </w:r>
      <w:r w:rsidRPr="00C372BB">
        <w:t xml:space="preserve">), </w:t>
      </w:r>
      <w:r>
        <w:t xml:space="preserve">Attributes, and </w:t>
      </w:r>
      <w:r w:rsidRPr="00C372BB">
        <w:t>Value Sets or Direct Reference Codes</w:t>
      </w:r>
      <w:r w:rsidRPr="001141A7">
        <w:rPr>
          <w:color w:val="000000"/>
          <w:vertAlign w:val="superscript"/>
        </w:rPr>
        <w:footnoteReference w:id="4"/>
      </w:r>
      <w:bookmarkEnd w:id="105"/>
      <w:bookmarkEnd w:id="107"/>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648"/>
      </w:tblGrid>
      <w:tr w:rsidR="00161739" w14:paraId="7D2455D8" w14:textId="77777777" w:rsidTr="00161739">
        <w:tc>
          <w:tcPr>
            <w:tcW w:w="5000" w:type="pct"/>
            <w:shd w:val="clear" w:color="auto" w:fill="auto"/>
          </w:tcPr>
          <w:p w14:paraId="7E14C05B" w14:textId="087753DE" w:rsidR="00161739" w:rsidRPr="002267A4" w:rsidRDefault="00A610C8" w:rsidP="00161739">
            <w:pPr>
              <w:pStyle w:val="NoSpacing"/>
            </w:pPr>
            <w:r>
              <w:rPr>
                <w:noProof/>
              </w:rPr>
              <w:drawing>
                <wp:inline distT="0" distB="0" distL="0" distR="0" wp14:anchorId="3C8094CC" wp14:editId="2050A9A1">
                  <wp:extent cx="5939790" cy="3339465"/>
                  <wp:effectExtent l="0" t="0" r="3810" b="0"/>
                  <wp:docPr id="10518369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39790" cy="3339465"/>
                          </a:xfrm>
                          <a:prstGeom prst="rect">
                            <a:avLst/>
                          </a:prstGeom>
                          <a:noFill/>
                          <a:ln>
                            <a:noFill/>
                          </a:ln>
                        </pic:spPr>
                      </pic:pic>
                    </a:graphicData>
                  </a:graphic>
                </wp:inline>
              </w:drawing>
            </w:r>
          </w:p>
        </w:tc>
      </w:tr>
    </w:tbl>
    <w:p w14:paraId="7DAF053F" w14:textId="77777777" w:rsidR="00161739" w:rsidRPr="001141A7" w:rsidRDefault="00161739" w:rsidP="00CD5783">
      <w:pPr>
        <w:pStyle w:val="ParagraphContinued"/>
        <w:rPr>
          <w:color w:val="0563C1"/>
          <w:u w:val="single"/>
        </w:rPr>
      </w:pPr>
      <w:r>
        <w:t>For complete technical details about the QDM, such as definitions of all QDM datatypes and</w:t>
      </w:r>
      <w:r w:rsidRPr="001141A7">
        <w:t xml:space="preserve"> </w:t>
      </w:r>
      <w:r>
        <w:t>attributes</w:t>
      </w:r>
      <w:r>
        <w:rPr>
          <w:i/>
        </w:rPr>
        <w:t>,</w:t>
      </w:r>
      <w:r>
        <w:t xml:space="preserve"> please refer to the </w:t>
      </w:r>
      <w:hyperlink r:id="rId39">
        <w:r>
          <w:rPr>
            <w:color w:val="0563C1"/>
            <w:u w:val="single"/>
          </w:rPr>
          <w:t>QDM version 5.6</w:t>
        </w:r>
      </w:hyperlink>
      <w:r>
        <w:t xml:space="preserve"> specification. For information on versions to use in each reporting/performance period, please visit the </w:t>
      </w:r>
      <w:hyperlink r:id="rId40">
        <w:r>
          <w:rPr>
            <w:color w:val="0563C1"/>
            <w:u w:val="single"/>
          </w:rPr>
          <w:t>eCQI Resource Center eCQM Standards and Tools Versions</w:t>
        </w:r>
      </w:hyperlink>
      <w:r w:rsidRPr="001141A7">
        <w:rPr>
          <w:color w:val="000000"/>
        </w:rPr>
        <w:t xml:space="preserve"> page</w:t>
      </w:r>
      <w:r>
        <w:t>.</w:t>
      </w:r>
      <w:r w:rsidRPr="001141A7">
        <w:rPr>
          <w:color w:val="0563C1"/>
          <w:u w:val="single"/>
        </w:rPr>
        <w:t xml:space="preserve"> </w:t>
      </w:r>
    </w:p>
    <w:p w14:paraId="3E694E9B" w14:textId="1BD00FB6" w:rsidR="00161739" w:rsidRPr="001141A7" w:rsidRDefault="00161739" w:rsidP="00CD5783">
      <w:pPr>
        <w:pStyle w:val="Paragraph"/>
      </w:pPr>
      <w:r w:rsidRPr="001141A7">
        <w:t xml:space="preserve">An eCQM specified with CQL logic expressions </w:t>
      </w:r>
      <w:r w:rsidRPr="006F5C7B">
        <w:t>lists</w:t>
      </w:r>
      <w:r w:rsidRPr="001141A7">
        <w:t xml:space="preserve"> the QDM </w:t>
      </w:r>
      <w:r w:rsidRPr="006F5C7B">
        <w:t>data elements in the Data Criteria</w:t>
      </w:r>
      <w:r>
        <w:t xml:space="preserve"> (QDM Data Elements)</w:t>
      </w:r>
      <w:r w:rsidRPr="006F5C7B">
        <w:t xml:space="preserve"> section</w:t>
      </w:r>
      <w:r w:rsidRPr="001141A7">
        <w:t xml:space="preserve"> and </w:t>
      </w:r>
      <w:r w:rsidRPr="006F5C7B">
        <w:t>their respective</w:t>
      </w:r>
      <w:r w:rsidRPr="001141A7">
        <w:t xml:space="preserve"> value </w:t>
      </w:r>
      <w:r w:rsidRPr="006F5C7B">
        <w:t xml:space="preserve">sets </w:t>
      </w:r>
      <w:r w:rsidRPr="001141A7">
        <w:t xml:space="preserve">or </w:t>
      </w:r>
      <w:r w:rsidRPr="006F5C7B">
        <w:t xml:space="preserve">DRCs in the Terminology section. Value sets or DRCs used for </w:t>
      </w:r>
      <w:r w:rsidRPr="001141A7">
        <w:t xml:space="preserve">QDM attributes </w:t>
      </w:r>
      <w:r w:rsidRPr="006F5C7B">
        <w:t>appear only in the Terminology</w:t>
      </w:r>
      <w:r w:rsidRPr="001141A7">
        <w:t xml:space="preserve"> section of the eCQM</w:t>
      </w:r>
      <w:r>
        <w:t>.</w:t>
      </w:r>
      <w:r w:rsidRPr="001141A7">
        <w:t xml:space="preserve"> </w:t>
      </w:r>
      <w:r w:rsidRPr="006F5C7B">
        <w:rPr>
          <w:color w:val="000000"/>
        </w:rPr>
        <w:t xml:space="preserve">Note </w:t>
      </w:r>
      <w:r>
        <w:t>the human-readable Hyper</w:t>
      </w:r>
      <w:r w:rsidR="00743284">
        <w:t>t</w:t>
      </w:r>
      <w:r>
        <w:t>ext Markup Language (HTML)</w:t>
      </w:r>
      <w:r w:rsidRPr="006F5C7B">
        <w:rPr>
          <w:color w:val="000000"/>
        </w:rPr>
        <w:t xml:space="preserve"> file includes both the </w:t>
      </w:r>
      <w:proofErr w:type="spellStart"/>
      <w:r w:rsidRPr="006F5C7B">
        <w:rPr>
          <w:color w:val="000000"/>
        </w:rPr>
        <w:t>eCQM</w:t>
      </w:r>
      <w:r>
        <w:rPr>
          <w:color w:val="000000"/>
        </w:rPr>
        <w:t>’</w:t>
      </w:r>
      <w:r w:rsidRPr="006F5C7B">
        <w:rPr>
          <w:color w:val="000000"/>
        </w:rPr>
        <w:t>s</w:t>
      </w:r>
      <w:proofErr w:type="spellEnd"/>
      <w:r w:rsidRPr="006F5C7B">
        <w:rPr>
          <w:color w:val="000000"/>
        </w:rPr>
        <w:t xml:space="preserve"> QDM data elements and the attributes</w:t>
      </w:r>
      <w:r>
        <w:rPr>
          <w:color w:val="000000"/>
        </w:rPr>
        <w:t>.</w:t>
      </w:r>
      <w:r w:rsidRPr="006F5C7B">
        <w:rPr>
          <w:color w:val="000000"/>
        </w:rPr>
        <w:t xml:space="preserve"> </w:t>
      </w:r>
      <w:r>
        <w:rPr>
          <w:color w:val="000000"/>
        </w:rPr>
        <w:t>H</w:t>
      </w:r>
      <w:r w:rsidRPr="006F5C7B">
        <w:rPr>
          <w:color w:val="000000"/>
        </w:rPr>
        <w:t>owever, the</w:t>
      </w:r>
      <w:r>
        <w:rPr>
          <w:color w:val="000000"/>
        </w:rPr>
        <w:t xml:space="preserve"> </w:t>
      </w:r>
      <w:r w:rsidRPr="006F5C7B">
        <w:rPr>
          <w:color w:val="000000"/>
        </w:rPr>
        <w:t xml:space="preserve">HQMF </w:t>
      </w:r>
      <w:r>
        <w:rPr>
          <w:color w:val="000000"/>
        </w:rPr>
        <w:t>XML</w:t>
      </w:r>
      <w:r w:rsidRPr="006F5C7B">
        <w:rPr>
          <w:color w:val="000000"/>
        </w:rPr>
        <w:t xml:space="preserve"> file shows only the QDM data elements without the attributes</w:t>
      </w:r>
      <w:r>
        <w:rPr>
          <w:rFonts w:eastAsia="Arial"/>
          <w:color w:val="000000"/>
          <w:szCs w:val="24"/>
        </w:rPr>
        <w:t>.</w:t>
      </w:r>
      <w:r w:rsidRPr="006F5C7B">
        <w:rPr>
          <w:color w:val="000000"/>
        </w:rPr>
        <w:t xml:space="preserve"> </w:t>
      </w:r>
      <w:r>
        <w:rPr>
          <w:color w:val="000000"/>
        </w:rPr>
        <w:t>The HTML</w:t>
      </w:r>
      <w:r w:rsidRPr="006F5C7B">
        <w:rPr>
          <w:color w:val="000000"/>
        </w:rPr>
        <w:t xml:space="preserve"> and </w:t>
      </w:r>
      <w:r>
        <w:rPr>
          <w:color w:val="000000"/>
        </w:rPr>
        <w:t>CQL</w:t>
      </w:r>
      <w:r w:rsidRPr="006F5C7B">
        <w:rPr>
          <w:color w:val="000000"/>
        </w:rPr>
        <w:t xml:space="preserve"> files include both the QDM data elements and their respective attributes</w:t>
      </w:r>
      <w:r>
        <w:rPr>
          <w:color w:val="000000"/>
        </w:rPr>
        <w:t>.</w:t>
      </w:r>
      <w:r>
        <w:t xml:space="preserve"> Figure </w:t>
      </w:r>
      <w:r w:rsidRPr="001141A7">
        <w:t>2.2 shows how measure developers use QDM components with a CQL-based eCQM.</w:t>
      </w:r>
    </w:p>
    <w:p w14:paraId="68F956D0" w14:textId="28FC1DFB" w:rsidR="00161739" w:rsidRDefault="00161739" w:rsidP="00161739">
      <w:pPr>
        <w:pStyle w:val="FigureTitle"/>
      </w:pPr>
      <w:bookmarkStart w:id="108" w:name="_heading=h.35nkun2" w:colFirst="0" w:colLast="0"/>
      <w:bookmarkStart w:id="109" w:name="_Ref5782019"/>
      <w:bookmarkStart w:id="110" w:name="_Toc159577872"/>
      <w:bookmarkStart w:id="111" w:name="_Toc195047208"/>
      <w:bookmarkEnd w:id="108"/>
      <w:r w:rsidRPr="001141A7">
        <w:lastRenderedPageBreak/>
        <w:t xml:space="preserve">Figure </w:t>
      </w:r>
      <w:bookmarkEnd w:id="109"/>
      <w:r w:rsidRPr="001141A7">
        <w:t>2.2. Description of a Laboratory Test</w:t>
      </w:r>
      <w:r w:rsidRPr="001141A7">
        <w:rPr>
          <w:vertAlign w:val="superscript"/>
        </w:rPr>
        <w:footnoteReference w:id="5"/>
      </w:r>
      <w:bookmarkEnd w:id="110"/>
      <w:bookmarkEnd w:id="111"/>
    </w:p>
    <w:p w14:paraId="3DA2FD04" w14:textId="388C0C88" w:rsidR="00FA030F" w:rsidRPr="00FA030F" w:rsidRDefault="00766A08" w:rsidP="00FA030F">
      <w:pPr>
        <w:pStyle w:val="ExhibitSource"/>
      </w:pPr>
      <w:r w:rsidRPr="00766A08">
        <w:rPr>
          <w:noProof/>
        </w:rPr>
        <w:drawing>
          <wp:inline distT="0" distB="0" distL="0" distR="0" wp14:anchorId="6FC99C43" wp14:editId="1F869E96">
            <wp:extent cx="5943600" cy="3315335"/>
            <wp:effectExtent l="0" t="0" r="0" b="0"/>
            <wp:docPr id="784583333" name="Picture 1" descr="A close-up of a tes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4583333" name="Picture 1" descr="A close-up of a test&#10;&#10;AI-generated content may be incorrect."/>
                    <pic:cNvPicPr/>
                  </pic:nvPicPr>
                  <pic:blipFill>
                    <a:blip r:embed="rId41"/>
                    <a:stretch>
                      <a:fillRect/>
                    </a:stretch>
                  </pic:blipFill>
                  <pic:spPr>
                    <a:xfrm>
                      <a:off x="0" y="0"/>
                      <a:ext cx="5943600" cy="3315335"/>
                    </a:xfrm>
                    <a:prstGeom prst="rect">
                      <a:avLst/>
                    </a:prstGeom>
                  </pic:spPr>
                </pic:pic>
              </a:graphicData>
            </a:graphic>
          </wp:inline>
        </w:drawing>
      </w:r>
    </w:p>
    <w:p w14:paraId="408466D8" w14:textId="733C36B4" w:rsidR="00161739" w:rsidRDefault="00766A08" w:rsidP="00766A08">
      <w:pPr>
        <w:pStyle w:val="H3-Num"/>
      </w:pPr>
      <w:bookmarkStart w:id="112" w:name="_Toc184039771"/>
      <w:bookmarkStart w:id="113" w:name="_Toc159575140"/>
      <w:bookmarkStart w:id="114" w:name="_Toc190852954"/>
      <w:bookmarkStart w:id="115" w:name="_Toc195047556"/>
      <w:r>
        <w:t>2.</w:t>
      </w:r>
      <w:r w:rsidR="00CD5783">
        <w:t>1.3</w:t>
      </w:r>
      <w:r w:rsidR="00CD5783">
        <w:tab/>
      </w:r>
      <w:r w:rsidR="00161739" w:rsidRPr="001141A7">
        <w:t>CQL</w:t>
      </w:r>
      <w:bookmarkEnd w:id="112"/>
      <w:bookmarkEnd w:id="113"/>
      <w:bookmarkEnd w:id="114"/>
      <w:bookmarkEnd w:id="115"/>
    </w:p>
    <w:p w14:paraId="326A3AEB" w14:textId="17DC8F21" w:rsidR="00161739" w:rsidRDefault="00161739" w:rsidP="00CD5783">
      <w:pPr>
        <w:pStyle w:val="ParagraphContinued"/>
      </w:pPr>
      <w:r>
        <w:t>CQL is an HL7 normative standard</w:t>
      </w:r>
      <w:r>
        <w:rPr>
          <w:vertAlign w:val="superscript"/>
        </w:rPr>
        <w:footnoteReference w:id="6"/>
      </w:r>
      <w:r>
        <w:t xml:space="preserve"> defining a high-level, clinically focused language used to specify eCQM criteria and clinical decision support rules. The language is understandable to humans but structured enough for implementers to process electronically, streamlining the implementation of eCQMs. CQL provides a common expression standard for eCQMs and clinical decision support. More information on </w:t>
      </w:r>
      <w:hyperlink r:id="rId42">
        <w:r>
          <w:rPr>
            <w:color w:val="0563C1"/>
            <w:u w:val="single"/>
          </w:rPr>
          <w:t>CQL</w:t>
        </w:r>
      </w:hyperlink>
      <w:r>
        <w:t xml:space="preserve"> is available on the eCQI Resource Center.</w:t>
      </w:r>
    </w:p>
    <w:p w14:paraId="30632A08" w14:textId="2C269929" w:rsidR="00161739" w:rsidRDefault="00CD5783" w:rsidP="00CD5783">
      <w:pPr>
        <w:pStyle w:val="H2-Num"/>
      </w:pPr>
      <w:bookmarkStart w:id="116" w:name="_heading=h.44sinio" w:colFirst="0" w:colLast="0"/>
      <w:bookmarkStart w:id="117" w:name="_heading=h.2jxsxqh" w:colFirst="0" w:colLast="0"/>
      <w:bookmarkStart w:id="118" w:name="_heading=h.z337ya" w:colFirst="0" w:colLast="0"/>
      <w:bookmarkStart w:id="119" w:name="_heading=h.3j2qqm3" w:colFirst="0" w:colLast="0"/>
      <w:bookmarkStart w:id="120" w:name="_heading=h.1y810tw" w:colFirst="0" w:colLast="0"/>
      <w:bookmarkStart w:id="121" w:name="_Toc184039777"/>
      <w:bookmarkStart w:id="122" w:name="_Toc159575141"/>
      <w:bookmarkStart w:id="123" w:name="_Toc190852955"/>
      <w:bookmarkStart w:id="124" w:name="_Toc195047557"/>
      <w:bookmarkEnd w:id="116"/>
      <w:bookmarkEnd w:id="117"/>
      <w:bookmarkEnd w:id="118"/>
      <w:bookmarkEnd w:id="119"/>
      <w:bookmarkEnd w:id="120"/>
      <w:r>
        <w:t>2.2</w:t>
      </w:r>
      <w:r>
        <w:tab/>
      </w:r>
      <w:r w:rsidR="00161739">
        <w:t>Tools</w:t>
      </w:r>
      <w:bookmarkEnd w:id="121"/>
      <w:bookmarkEnd w:id="122"/>
      <w:bookmarkEnd w:id="123"/>
      <w:bookmarkEnd w:id="124"/>
    </w:p>
    <w:p w14:paraId="67503485" w14:textId="44B7B5E2" w:rsidR="00161739" w:rsidRDefault="00CD5783" w:rsidP="00CD5783">
      <w:pPr>
        <w:pStyle w:val="H3-Num"/>
      </w:pPr>
      <w:bookmarkStart w:id="125" w:name="_Measure_Authoring_Tool"/>
      <w:bookmarkStart w:id="126" w:name="_Toc184039778"/>
      <w:bookmarkStart w:id="127" w:name="_Toc190852956"/>
      <w:bookmarkStart w:id="128" w:name="_Toc195047558"/>
      <w:bookmarkEnd w:id="125"/>
      <w:r>
        <w:t>2.2.1</w:t>
      </w:r>
      <w:r>
        <w:tab/>
      </w:r>
      <w:r w:rsidR="00161739">
        <w:t>MADiE</w:t>
      </w:r>
      <w:bookmarkEnd w:id="126"/>
      <w:bookmarkEnd w:id="127"/>
      <w:bookmarkEnd w:id="128"/>
    </w:p>
    <w:p w14:paraId="0AFBB454" w14:textId="75F2D967" w:rsidR="00161739" w:rsidRPr="001141A7" w:rsidRDefault="00623207" w:rsidP="00CD5783">
      <w:pPr>
        <w:pStyle w:val="ParagraphContinued"/>
        <w:rPr>
          <w:color w:val="0563C1"/>
          <w:u w:val="single"/>
        </w:rPr>
      </w:pPr>
      <w:r>
        <w:t xml:space="preserve">The </w:t>
      </w:r>
      <w:r w:rsidR="00B27B2C" w:rsidRPr="00B27B2C">
        <w:t>Measure Authoring Development Integrated Environment (MADiE)</w:t>
      </w:r>
      <w:r w:rsidR="00161739">
        <w:t xml:space="preserve"> is a software tool that provides integrated measure authoring and testing functionalities. MADiE supports editing and testing of</w:t>
      </w:r>
      <w:r w:rsidR="00B10CEC">
        <w:t xml:space="preserve"> eCQMs</w:t>
      </w:r>
      <w:r w:rsidR="00161739">
        <w:t xml:space="preserve">. As of June 2024, all eCQM authoring and testing occurs in the MADiE tool. To learn how to use the MADiE tool, please refer to the MADiE User Guide on the </w:t>
      </w:r>
      <w:hyperlink r:id="rId43" w:history="1">
        <w:r w:rsidR="00161739" w:rsidRPr="00495895">
          <w:rPr>
            <w:rStyle w:val="Hyperlink"/>
          </w:rPr>
          <w:t>MADiE Training &amp; Resources page</w:t>
        </w:r>
      </w:hyperlink>
      <w:r w:rsidR="00161739" w:rsidRPr="00495895">
        <w:t>.</w:t>
      </w:r>
      <w:r w:rsidR="00161739">
        <w:rPr>
          <w:color w:val="0563C1"/>
          <w:u w:val="single"/>
        </w:rPr>
        <w:t xml:space="preserve"> </w:t>
      </w:r>
    </w:p>
    <w:p w14:paraId="75419E1B" w14:textId="16EF5DFD" w:rsidR="00161739" w:rsidRDefault="00161739" w:rsidP="00CD5783">
      <w:pPr>
        <w:pStyle w:val="Paragraph"/>
      </w:pPr>
      <w:r>
        <w:lastRenderedPageBreak/>
        <w:t>eCQM package files for reporting/performance years</w:t>
      </w:r>
      <w:r w:rsidR="00713FEE">
        <w:t xml:space="preserve"> prior to the 2026 reporting/performance year</w:t>
      </w:r>
      <w:r>
        <w:t xml:space="preserve"> were published through</w:t>
      </w:r>
      <w:r w:rsidRPr="00423271">
        <w:t xml:space="preserve"> </w:t>
      </w:r>
      <w:r>
        <w:t xml:space="preserve">the </w:t>
      </w:r>
      <w:r w:rsidRPr="00423271">
        <w:t>now-decommissioned Measure Authoring Tool</w:t>
      </w:r>
      <w:r w:rsidR="00713FEE">
        <w:t>. These files</w:t>
      </w:r>
      <w:r>
        <w:t xml:space="preserve"> use different naming conventions than those used for the eCQM package files published through MADiE. This guide uses MADiE naming conventions.</w:t>
      </w:r>
    </w:p>
    <w:p w14:paraId="715B565C" w14:textId="21980BBF" w:rsidR="00161739" w:rsidRDefault="00CD5783" w:rsidP="00CD5783">
      <w:pPr>
        <w:pStyle w:val="H3-Num"/>
      </w:pPr>
      <w:bookmarkStart w:id="129" w:name="_Toc184039779"/>
      <w:bookmarkStart w:id="130" w:name="_Ref513042292"/>
      <w:bookmarkStart w:id="131" w:name="_Toc159575144"/>
      <w:bookmarkStart w:id="132" w:name="_Toc190852957"/>
      <w:bookmarkStart w:id="133" w:name="_Toc195047559"/>
      <w:r>
        <w:t>2.2.2</w:t>
      </w:r>
      <w:r>
        <w:tab/>
      </w:r>
      <w:r w:rsidR="00161739">
        <w:t>Value Set Authority Center</w:t>
      </w:r>
      <w:bookmarkEnd w:id="129"/>
      <w:bookmarkEnd w:id="130"/>
      <w:bookmarkEnd w:id="131"/>
      <w:bookmarkEnd w:id="132"/>
      <w:bookmarkEnd w:id="133"/>
    </w:p>
    <w:p w14:paraId="580CFEA2" w14:textId="77F56DBA" w:rsidR="00161739" w:rsidRDefault="00161739" w:rsidP="00CD5783">
      <w:pPr>
        <w:pStyle w:val="ParagraphContinued"/>
      </w:pPr>
      <w:r>
        <w:t xml:space="preserve">The </w:t>
      </w:r>
      <w:hyperlink r:id="rId44">
        <w:r>
          <w:rPr>
            <w:color w:val="0563C1"/>
            <w:u w:val="single"/>
          </w:rPr>
          <w:t>Value Set Authority Center (VSAC)</w:t>
        </w:r>
      </w:hyperlink>
      <w:r>
        <w:t xml:space="preserve"> is </w:t>
      </w:r>
      <w:r w:rsidR="004660AD">
        <w:t xml:space="preserve">the </w:t>
      </w:r>
      <w:r>
        <w:t>repository for the official versions of value sets and DRCs included in eCQMs. Value sets are lists of codes and corresponding terms drawn from standard clinical vocabularies, defining clinical and administrative concepts, such as diagnoses, clinical visits, and patient characteristics. Examples of standard clinical vocabularies used to create value sets are Current Procedural Terminology (</w:t>
      </w:r>
      <w:hyperlink r:id="rId45" w:history="1">
        <w:r>
          <w:rPr>
            <w:color w:val="0563C1"/>
            <w:u w:val="single"/>
          </w:rPr>
          <w:t>CPT</w:t>
        </w:r>
      </w:hyperlink>
      <w:r>
        <w:t>), International Classification of Diseases, Tenth Revision, Clinical Modification</w:t>
      </w:r>
      <w:r>
        <w:rPr>
          <w:color w:val="0563C1"/>
        </w:rPr>
        <w:t xml:space="preserve"> </w:t>
      </w:r>
      <w:r>
        <w:t>(</w:t>
      </w:r>
      <w:hyperlink r:id="rId46" w:history="1">
        <w:r>
          <w:rPr>
            <w:color w:val="0563C1"/>
            <w:u w:val="single"/>
          </w:rPr>
          <w:t>ICD-10-CM</w:t>
        </w:r>
      </w:hyperlink>
      <w:r>
        <w:t>), Systemized Nomenclature of Medicine – Clinical Terms (</w:t>
      </w:r>
      <w:hyperlink r:id="rId47">
        <w:r>
          <w:rPr>
            <w:color w:val="0563C1"/>
            <w:u w:val="single"/>
          </w:rPr>
          <w:t>SNOMED CT</w:t>
        </w:r>
      </w:hyperlink>
      <w:r>
        <w:t>), and Logical Observation Identifiers Names and Codes® (</w:t>
      </w:r>
      <w:hyperlink r:id="rId48">
        <w:r>
          <w:rPr>
            <w:color w:val="0563C1"/>
            <w:u w:val="single"/>
          </w:rPr>
          <w:t>LOINC</w:t>
        </w:r>
      </w:hyperlink>
      <w:r>
        <w:t xml:space="preserve">). The National Library of Medicine maintains the VSAC, provides downloadable access to the value sets, and updates versions of the terminology code systems used in CMS quality programs at least once each year. Access to eCQM value sets in VSAC requires a free </w:t>
      </w:r>
      <w:hyperlink r:id="rId49">
        <w:r>
          <w:rPr>
            <w:color w:val="0563C1"/>
            <w:u w:val="single"/>
          </w:rPr>
          <w:t>Unified Medical Language System</w:t>
        </w:r>
      </w:hyperlink>
      <w:hyperlink r:id="rId50">
        <w:r>
          <w:rPr>
            <w:color w:val="0563C1"/>
            <w:u w:val="single"/>
            <w:vertAlign w:val="superscript"/>
          </w:rPr>
          <w:t>®</w:t>
        </w:r>
      </w:hyperlink>
      <w:hyperlink r:id="rId51">
        <w:r>
          <w:rPr>
            <w:color w:val="0563C1"/>
            <w:u w:val="single"/>
          </w:rPr>
          <w:t xml:space="preserve"> license</w:t>
        </w:r>
      </w:hyperlink>
      <w:r>
        <w:t>.</w:t>
      </w:r>
    </w:p>
    <w:p w14:paraId="05916665" w14:textId="09CF2C74" w:rsidR="00161739" w:rsidRDefault="00CD5783" w:rsidP="00CD5783">
      <w:pPr>
        <w:pStyle w:val="H4-Num"/>
      </w:pPr>
      <w:bookmarkStart w:id="134" w:name="_Toc184039780"/>
      <w:bookmarkStart w:id="135" w:name="_Toc159575145"/>
      <w:r>
        <w:t>2.2.2.1</w:t>
      </w:r>
      <w:r>
        <w:tab/>
      </w:r>
      <w:r w:rsidR="00161739">
        <w:t>Value Sets</w:t>
      </w:r>
      <w:bookmarkEnd w:id="134"/>
      <w:bookmarkEnd w:id="135"/>
    </w:p>
    <w:p w14:paraId="3611E67E" w14:textId="1B512CB0" w:rsidR="00161739" w:rsidRDefault="00161739" w:rsidP="00CD5783">
      <w:pPr>
        <w:pStyle w:val="ParagraphContinued"/>
      </w:pPr>
      <w:r>
        <w:t xml:space="preserve">A value </w:t>
      </w:r>
      <w:r w:rsidRPr="001141A7">
        <w:t xml:space="preserve">set </w:t>
      </w:r>
      <w:r>
        <w:t xml:space="preserve">is a specific </w:t>
      </w:r>
      <w:r w:rsidRPr="001141A7">
        <w:t xml:space="preserve">set </w:t>
      </w:r>
      <w:r>
        <w:t>of codes and their descriptors that define a clinical or administrative concept. Value sets contain the codes expected to appear (or be available via cross-code system mapping) in the clinical record or administrative data.</w:t>
      </w:r>
      <w:r>
        <w:rPr>
          <w:rStyle w:val="FootnoteReference"/>
        </w:rPr>
        <w:footnoteReference w:id="7"/>
      </w:r>
      <w:r>
        <w:t xml:space="preserve"> Each value </w:t>
      </w:r>
      <w:r w:rsidRPr="001141A7">
        <w:t>set has</w:t>
      </w:r>
      <w:r>
        <w:t xml:space="preserve"> an assigned numeric object identifier (OID). In the human-readable HTML document, value sets have both a name (</w:t>
      </w:r>
      <w:proofErr w:type="spellStart"/>
      <w:r>
        <w:rPr>
          <w:i/>
        </w:rPr>
        <w:t>value_set_name</w:t>
      </w:r>
      <w:proofErr w:type="spellEnd"/>
      <w:r>
        <w:t>) and an identifier</w:t>
      </w:r>
      <w:r>
        <w:rPr>
          <w:i/>
        </w:rPr>
        <w:t xml:space="preserve"> </w:t>
      </w:r>
      <w:r>
        <w:t>(</w:t>
      </w:r>
      <w:proofErr w:type="spellStart"/>
      <w:r>
        <w:rPr>
          <w:i/>
        </w:rPr>
        <w:t>value_set_OID</w:t>
      </w:r>
      <w:proofErr w:type="spellEnd"/>
      <w:r>
        <w:t>)</w:t>
      </w:r>
      <w:r>
        <w:rPr>
          <w:i/>
        </w:rPr>
        <w:t>.</w:t>
      </w:r>
      <w:r w:rsidR="001B671F">
        <w:rPr>
          <w:i/>
        </w:rPr>
        <w:t xml:space="preserve"> </w:t>
      </w:r>
      <w:r>
        <w:t>The following example depicts the use of a value set within CQL:</w:t>
      </w:r>
    </w:p>
    <w:p w14:paraId="67C43348" w14:textId="77777777" w:rsidR="00161739" w:rsidRPr="00FF7203" w:rsidRDefault="00161739" w:rsidP="00CD5783">
      <w:pPr>
        <w:pStyle w:val="Paragraph"/>
        <w:ind w:left="1440"/>
        <w:rPr>
          <w:rFonts w:ascii="Verdana" w:hAnsi="Verdana" w:cs="Courier New"/>
          <w:sz w:val="18"/>
          <w:szCs w:val="18"/>
        </w:rPr>
      </w:pPr>
      <w:r w:rsidRPr="00FF7203">
        <w:rPr>
          <w:rFonts w:ascii="Verdana" w:hAnsi="Verdana" w:cs="Courier New"/>
          <w:sz w:val="18"/>
          <w:szCs w:val="18"/>
        </w:rPr>
        <w:t>exists ["Diagnosis": "Diabetes"]</w:t>
      </w:r>
    </w:p>
    <w:p w14:paraId="6CF0443E" w14:textId="342A52FE" w:rsidR="00161739" w:rsidRPr="001141A7" w:rsidRDefault="00161739" w:rsidP="005967FA">
      <w:pPr>
        <w:pStyle w:val="ParagraphContinued"/>
        <w:spacing w:before="240" w:after="240"/>
        <w:contextualSpacing/>
      </w:pPr>
      <w:bookmarkStart w:id="136" w:name="_heading=h.2bn6wsx" w:colFirst="0" w:colLast="0"/>
      <w:bookmarkEnd w:id="136"/>
      <w:r w:rsidRPr="001141A7">
        <w:rPr>
          <w:color w:val="000000"/>
        </w:rPr>
        <w:t xml:space="preserve">Here, Diabetes is the </w:t>
      </w:r>
      <w:proofErr w:type="spellStart"/>
      <w:r>
        <w:rPr>
          <w:i/>
        </w:rPr>
        <w:t>value_set_name</w:t>
      </w:r>
      <w:proofErr w:type="spellEnd"/>
      <w:r>
        <w:rPr>
          <w:i/>
        </w:rPr>
        <w:t xml:space="preserve">, </w:t>
      </w:r>
      <w:r>
        <w:t xml:space="preserve">and the </w:t>
      </w:r>
      <w:proofErr w:type="spellStart"/>
      <w:r>
        <w:rPr>
          <w:i/>
        </w:rPr>
        <w:t>value_set_OID</w:t>
      </w:r>
      <w:proofErr w:type="spellEnd"/>
      <w:r>
        <w:t xml:space="preserve"> is</w:t>
      </w:r>
      <w:r w:rsidRPr="001141A7">
        <w:rPr>
          <w:i/>
        </w:rPr>
        <w:t xml:space="preserve"> </w:t>
      </w:r>
      <w:bookmarkStart w:id="137" w:name="_Hlk121307368"/>
      <w:r w:rsidRPr="001141A7">
        <w:t>2.16.840.1.113883.3.464.1003.103.12.1001</w:t>
      </w:r>
      <w:bookmarkEnd w:id="137"/>
      <w:r w:rsidRPr="001141A7">
        <w:t>. This value set is an example of a grouping value set</w:t>
      </w:r>
      <w:r w:rsidR="00713FEE">
        <w:t>, meaning</w:t>
      </w:r>
      <w:r w:rsidRPr="001141A7">
        <w:t xml:space="preserve"> that</w:t>
      </w:r>
      <w:r w:rsidR="00713FEE">
        <w:t xml:space="preserve"> it</w:t>
      </w:r>
      <w:r w:rsidRPr="001141A7">
        <w:t xml:space="preserve"> </w:t>
      </w:r>
      <w:r>
        <w:t>contains</w:t>
      </w:r>
      <w:r w:rsidRPr="001141A7">
        <w:t xml:space="preserve"> several other</w:t>
      </w:r>
      <w:r w:rsidR="00713FEE">
        <w:t>, related</w:t>
      </w:r>
      <w:r w:rsidRPr="001141A7">
        <w:t xml:space="preserve"> value sets</w:t>
      </w:r>
      <w:r>
        <w:t xml:space="preserve"> </w:t>
      </w:r>
      <w:r w:rsidR="00713FEE">
        <w:t xml:space="preserve">that use different </w:t>
      </w:r>
      <w:r>
        <w:t>code systems</w:t>
      </w:r>
      <w:r w:rsidRPr="001141A7">
        <w:t>. Measure developers create, manage, and distribute value sets used in eCQMs in the VSAC.</w:t>
      </w:r>
    </w:p>
    <w:p w14:paraId="5876FEB9" w14:textId="77777777" w:rsidR="00161739" w:rsidRDefault="00161739" w:rsidP="00CD5783">
      <w:pPr>
        <w:pStyle w:val="Paragraph"/>
      </w:pPr>
      <w:r w:rsidRPr="001141A7">
        <w:t xml:space="preserve">The VSAC provides several options for downloading value set information. </w:t>
      </w:r>
    </w:p>
    <w:p w14:paraId="6816F751" w14:textId="77777777" w:rsidR="00161739" w:rsidRDefault="00161739" w:rsidP="00CD5783">
      <w:pPr>
        <w:pStyle w:val="ListBullet"/>
        <w:rPr>
          <w:color w:val="000000"/>
        </w:rPr>
      </w:pPr>
      <w:r w:rsidRPr="001141A7">
        <w:t xml:space="preserve">The VSAC </w:t>
      </w:r>
      <w:r>
        <w:t>Download tab</w:t>
      </w:r>
      <w:r w:rsidRPr="007F6DD2">
        <w:t xml:space="preserve"> include</w:t>
      </w:r>
      <w:r>
        <w:t>s</w:t>
      </w:r>
      <w:r w:rsidRPr="007F6DD2">
        <w:t xml:space="preserve"> three </w:t>
      </w:r>
      <w:r>
        <w:t xml:space="preserve">download </w:t>
      </w:r>
      <w:r w:rsidRPr="007F6DD2">
        <w:t>options</w:t>
      </w:r>
      <w:r>
        <w:t xml:space="preserve"> for each reporting/performance period:</w:t>
      </w:r>
      <w:r w:rsidRPr="007F6DD2">
        <w:t xml:space="preserve"> Sorted</w:t>
      </w:r>
      <w:r w:rsidRPr="001141A7">
        <w:t xml:space="preserve"> by </w:t>
      </w:r>
      <w:r w:rsidRPr="007F6DD2">
        <w:t xml:space="preserve">CMS ID, Sorted by Value Set Name, </w:t>
      </w:r>
      <w:r w:rsidRPr="001141A7">
        <w:t xml:space="preserve">and </w:t>
      </w:r>
      <w:r w:rsidRPr="007F6DD2">
        <w:t xml:space="preserve">Sorted by </w:t>
      </w:r>
      <w:r w:rsidRPr="001141A7">
        <w:t xml:space="preserve">QDM </w:t>
      </w:r>
      <w:r w:rsidRPr="007F6DD2">
        <w:t>Category.</w:t>
      </w:r>
      <w:r w:rsidRPr="001141A7">
        <w:t xml:space="preserve"> These workbooks provide additional detail </w:t>
      </w:r>
      <w:r>
        <w:t>about each</w:t>
      </w:r>
      <w:r w:rsidRPr="001141A7">
        <w:t xml:space="preserve"> value set, including code system OIDs and versions. Please note</w:t>
      </w:r>
      <w:r>
        <w:t xml:space="preserve"> that in files sorted by CMS ID and value set name, column F (QDM Category) is blank </w:t>
      </w:r>
      <w:r w:rsidRPr="001141A7">
        <w:t xml:space="preserve">for value sets used </w:t>
      </w:r>
      <w:r>
        <w:t>only for</w:t>
      </w:r>
      <w:r w:rsidRPr="001141A7">
        <w:t xml:space="preserve"> QDM attributes, </w:t>
      </w:r>
      <w:r>
        <w:t>because an attribute may be used by</w:t>
      </w:r>
      <w:r w:rsidRPr="001141A7">
        <w:t xml:space="preserve"> more than one QDM category</w:t>
      </w:r>
      <w:r>
        <w:t>. The download sorted by QDM category does not contain any value sets used only for QDM</w:t>
      </w:r>
      <w:r w:rsidRPr="001141A7">
        <w:t xml:space="preserve"> attributes. </w:t>
      </w:r>
    </w:p>
    <w:p w14:paraId="541ABEC8" w14:textId="77777777" w:rsidR="00161739" w:rsidRPr="002F61DF" w:rsidRDefault="00161739" w:rsidP="00CD5783">
      <w:pPr>
        <w:pStyle w:val="ListBullet"/>
      </w:pPr>
      <w:r w:rsidRPr="000A7323">
        <w:lastRenderedPageBreak/>
        <w:t xml:space="preserve">The Search Value Sets tab in </w:t>
      </w:r>
      <w:r w:rsidRPr="001141A7">
        <w:rPr>
          <w:color w:val="1A1A1A"/>
        </w:rPr>
        <w:t xml:space="preserve">the </w:t>
      </w:r>
      <w:r w:rsidRPr="000A7323">
        <w:t>VSAC is an additional method for browsing and down</w:t>
      </w:r>
      <w:r w:rsidRPr="000A7323">
        <w:t xml:space="preserve">loading eCQM value sets that are filtered by program. On this tab, users can download </w:t>
      </w:r>
      <w:r w:rsidRPr="001141A7">
        <w:rPr>
          <w:color w:val="1A1A1A"/>
        </w:rPr>
        <w:t xml:space="preserve">Excel spreadsheets containing metadata and contents. </w:t>
      </w:r>
    </w:p>
    <w:p w14:paraId="2115EF20" w14:textId="77777777" w:rsidR="00161739" w:rsidRDefault="00161739" w:rsidP="007754C4">
      <w:pPr>
        <w:pStyle w:val="ListBullet"/>
        <w:spacing w:after="240"/>
      </w:pPr>
      <w:r>
        <w:t>U</w:t>
      </w:r>
      <w:r w:rsidRPr="000A7323">
        <w:t>sers can retrieve eCQM value sets programmatically with the VSAC Sharing Value Sets Application Programming Interface</w:t>
      </w:r>
      <w:r>
        <w:t xml:space="preserve"> (</w:t>
      </w:r>
      <w:hyperlink r:id="rId52">
        <w:r w:rsidRPr="000A7323">
          <w:rPr>
            <w:color w:val="0563C1"/>
            <w:u w:val="single"/>
          </w:rPr>
          <w:t>VSAC SVS API</w:t>
        </w:r>
      </w:hyperlink>
      <w:r w:rsidRPr="00E4044E">
        <w:t>)</w:t>
      </w:r>
      <w:r w:rsidRPr="000A7323">
        <w:t xml:space="preserve"> using the release parameter and correct release name corresponding with the desired eCQM publication date listed on the </w:t>
      </w:r>
      <w:hyperlink r:id="rId53">
        <w:r w:rsidRPr="000A7323">
          <w:rPr>
            <w:color w:val="0563C1"/>
            <w:u w:val="single"/>
          </w:rPr>
          <w:t>VSAC Download</w:t>
        </w:r>
      </w:hyperlink>
      <w:r>
        <w:rPr>
          <w:color w:val="0563C1"/>
          <w:u w:val="single"/>
        </w:rPr>
        <w:t xml:space="preserve"> tab</w:t>
      </w:r>
      <w:r w:rsidRPr="000A7323">
        <w:t>.</w:t>
      </w:r>
    </w:p>
    <w:p w14:paraId="10A319EE" w14:textId="0B602F84" w:rsidR="00360A23" w:rsidRPr="000A7323" w:rsidRDefault="00360A23" w:rsidP="00C603B4">
      <w:pPr>
        <w:pStyle w:val="ListBullet"/>
        <w:numPr>
          <w:ilvl w:val="0"/>
          <w:numId w:val="0"/>
        </w:numPr>
      </w:pPr>
      <w:r>
        <w:t>For more information ab</w:t>
      </w:r>
      <w:r>
        <w:t xml:space="preserve">out value sets, please reference the </w:t>
      </w:r>
      <w:hyperlink r:id="rId54" w:history="1">
        <w:r w:rsidRPr="00360A23">
          <w:rPr>
            <w:rStyle w:val="Hyperlink"/>
          </w:rPr>
          <w:t>eCQI Resource Center.</w:t>
        </w:r>
      </w:hyperlink>
      <w:r>
        <w:t xml:space="preserve"> </w:t>
      </w:r>
    </w:p>
    <w:p w14:paraId="61836AC0" w14:textId="46DEBE05" w:rsidR="00161739" w:rsidRDefault="00CD5783" w:rsidP="00CD5783">
      <w:pPr>
        <w:pStyle w:val="H4-Num"/>
      </w:pPr>
      <w:bookmarkStart w:id="138" w:name="_Toc184039781"/>
      <w:bookmarkStart w:id="139" w:name="_Toc159575146"/>
      <w:r>
        <w:t>2.2.2.2</w:t>
      </w:r>
      <w:r>
        <w:tab/>
      </w:r>
      <w:r w:rsidR="00161739">
        <w:t>Direct Reference Codes</w:t>
      </w:r>
      <w:bookmarkEnd w:id="138"/>
      <w:bookmarkEnd w:id="139"/>
    </w:p>
    <w:p w14:paraId="09A33693" w14:textId="46BDFCAF" w:rsidR="00161739" w:rsidRDefault="00161739" w:rsidP="00CD5783">
      <w:pPr>
        <w:pStyle w:val="ParagraphContinued"/>
      </w:pPr>
      <w:r>
        <w:t>If a single code—rather than a collection of codes in a value set—can define a clinical or administrative concept, the eCQM expression embeds the code directly into the CQL logic statements. This method of expression is called a direct reference code, or DRC. The Terminology section of the HQMF lists DRCs and the OIDs of the code systems from which the codes derive (for example, SNOMED CT or LOINC). As Figure 2.3</w:t>
      </w:r>
      <w:r w:rsidRPr="00C73AE0">
        <w:t xml:space="preserve"> </w:t>
      </w:r>
      <w:r>
        <w:t xml:space="preserve">shows, the Terminology section for </w:t>
      </w:r>
      <w:hyperlink r:id="rId55" w:history="1">
        <w:r w:rsidRPr="00B22681">
          <w:rPr>
            <w:rStyle w:val="Hyperlink"/>
          </w:rPr>
          <w:t>CMS154v1</w:t>
        </w:r>
        <w:r w:rsidR="00B22681">
          <w:rPr>
            <w:rStyle w:val="Hyperlink"/>
          </w:rPr>
          <w:t>4</w:t>
        </w:r>
        <w:r w:rsidRPr="00B22681">
          <w:rPr>
            <w:rStyle w:val="Hyperlink"/>
          </w:rPr>
          <w:t>, Appropriate Treatment for Upper Respiratory Infection (URI)</w:t>
        </w:r>
      </w:hyperlink>
      <w:r>
        <w:t>,</w:t>
      </w:r>
      <w:r>
        <w:rPr>
          <w:i/>
        </w:rPr>
        <w:t xml:space="preserve"> </w:t>
      </w:r>
      <w:r>
        <w:t xml:space="preserve">contains five DRCs. </w:t>
      </w:r>
    </w:p>
    <w:p w14:paraId="55714B51" w14:textId="5A598DFD" w:rsidR="00161739" w:rsidRDefault="00161739" w:rsidP="00D428E5">
      <w:pPr>
        <w:pStyle w:val="FigureTitle"/>
        <w:rPr>
          <w:rFonts w:cs="Arial Narrow"/>
          <w:szCs w:val="24"/>
        </w:rPr>
      </w:pPr>
      <w:bookmarkStart w:id="140" w:name="_heading=h.3as4poj" w:colFirst="0" w:colLast="0"/>
      <w:bookmarkStart w:id="141" w:name="_Toc159577873"/>
      <w:bookmarkStart w:id="142" w:name="_Toc195047209"/>
      <w:bookmarkEnd w:id="140"/>
      <w:r w:rsidRPr="001141A7">
        <w:t xml:space="preserve">Figure 2.3. Direct Reference Codes in </w:t>
      </w:r>
      <w:bookmarkEnd w:id="141"/>
      <w:r>
        <w:rPr>
          <w:rFonts w:cs="Arial Narrow"/>
          <w:szCs w:val="24"/>
        </w:rPr>
        <w:t>CMS154v1</w:t>
      </w:r>
      <w:bookmarkEnd w:id="142"/>
      <w:r w:rsidR="00A31FAA">
        <w:rPr>
          <w:rFonts w:cs="Arial Narrow"/>
          <w:szCs w:val="24"/>
        </w:rPr>
        <w:t>4</w:t>
      </w:r>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D428E5" w14:paraId="6714E0EE" w14:textId="77777777" w:rsidTr="00BA3DF1">
        <w:tc>
          <w:tcPr>
            <w:tcW w:w="5000" w:type="pct"/>
            <w:shd w:val="clear" w:color="auto" w:fill="auto"/>
          </w:tcPr>
          <w:p w14:paraId="7E21B924" w14:textId="2F446E86" w:rsidR="00B22681" w:rsidRPr="00B22681" w:rsidRDefault="00B22681" w:rsidP="00B22681">
            <w:pPr>
              <w:pStyle w:val="FigureHeader"/>
              <w:ind w:left="0"/>
              <w:rPr>
                <w:u w:val="single"/>
              </w:rPr>
            </w:pPr>
            <w:r w:rsidRPr="00B22681">
              <w:rPr>
                <w:u w:val="single"/>
              </w:rPr>
              <w:t>Terminology</w:t>
            </w:r>
          </w:p>
          <w:p w14:paraId="0AC6FBD1" w14:textId="157D2C85" w:rsidR="00D428E5" w:rsidRPr="00C153F2" w:rsidRDefault="00D428E5" w:rsidP="00B22681">
            <w:pPr>
              <w:pStyle w:val="Figure"/>
              <w:numPr>
                <w:ilvl w:val="0"/>
                <w:numId w:val="52"/>
              </w:numPr>
              <w:ind w:left="720"/>
              <w:rPr>
                <w:sz w:val="17"/>
                <w:szCs w:val="17"/>
              </w:rPr>
            </w:pPr>
            <w:r w:rsidRPr="00C153F2">
              <w:rPr>
                <w:sz w:val="17"/>
                <w:szCs w:val="17"/>
              </w:rPr>
              <w:t>code "Discharge to healthcare facility for hospice care (procedure)" ("SNOMEDCT Code (428371000124100)")</w:t>
            </w:r>
          </w:p>
          <w:p w14:paraId="0EB73215" w14:textId="77777777" w:rsidR="00D428E5" w:rsidRPr="00C153F2" w:rsidRDefault="00D428E5" w:rsidP="00B22681">
            <w:pPr>
              <w:pStyle w:val="Figure"/>
              <w:numPr>
                <w:ilvl w:val="0"/>
                <w:numId w:val="52"/>
              </w:numPr>
              <w:ind w:left="720"/>
              <w:rPr>
                <w:sz w:val="17"/>
                <w:szCs w:val="17"/>
              </w:rPr>
            </w:pPr>
            <w:r w:rsidRPr="00C153F2">
              <w:rPr>
                <w:sz w:val="17"/>
                <w:szCs w:val="17"/>
              </w:rPr>
              <w:t>code "Discharge to home for hospice care (procedure)" ("SNOMEDCT Code (428361000124107)")</w:t>
            </w:r>
          </w:p>
          <w:p w14:paraId="2509091A" w14:textId="77777777" w:rsidR="00D428E5" w:rsidRPr="00C153F2" w:rsidRDefault="00D428E5" w:rsidP="00B22681">
            <w:pPr>
              <w:pStyle w:val="Figure"/>
              <w:numPr>
                <w:ilvl w:val="0"/>
                <w:numId w:val="52"/>
              </w:numPr>
              <w:ind w:left="720"/>
              <w:rPr>
                <w:sz w:val="17"/>
                <w:szCs w:val="17"/>
              </w:rPr>
            </w:pPr>
            <w:r w:rsidRPr="00C153F2">
              <w:rPr>
                <w:sz w:val="17"/>
                <w:szCs w:val="17"/>
              </w:rPr>
              <w:t>code "Hospice care [Minimum Data Set]" ("LOINC Code (45755-6)")</w:t>
            </w:r>
          </w:p>
          <w:p w14:paraId="66AEEA22" w14:textId="77777777" w:rsidR="00D428E5" w:rsidRPr="00C153F2" w:rsidRDefault="00D428E5" w:rsidP="00B22681">
            <w:pPr>
              <w:pStyle w:val="Figure"/>
              <w:numPr>
                <w:ilvl w:val="0"/>
                <w:numId w:val="52"/>
              </w:numPr>
              <w:ind w:left="720"/>
              <w:rPr>
                <w:sz w:val="17"/>
                <w:szCs w:val="17"/>
              </w:rPr>
            </w:pPr>
            <w:r w:rsidRPr="00C153F2">
              <w:rPr>
                <w:sz w:val="17"/>
                <w:szCs w:val="17"/>
              </w:rPr>
              <w:t>code "Unlisted preventive medicine service" ("CPT Code (99429)")</w:t>
            </w:r>
          </w:p>
          <w:p w14:paraId="5EF13897" w14:textId="74E17359" w:rsidR="00D428E5" w:rsidRPr="00161739" w:rsidRDefault="00D428E5" w:rsidP="00B22681">
            <w:pPr>
              <w:pStyle w:val="Figure"/>
              <w:numPr>
                <w:ilvl w:val="0"/>
                <w:numId w:val="52"/>
              </w:numPr>
              <w:ind w:left="720"/>
            </w:pPr>
            <w:r w:rsidRPr="00C153F2">
              <w:rPr>
                <w:sz w:val="17"/>
                <w:szCs w:val="17"/>
              </w:rPr>
              <w:t>code "Yes (qualifier value)" ("SNOMEDCT Code (373066001)")</w:t>
            </w:r>
          </w:p>
        </w:tc>
      </w:tr>
    </w:tbl>
    <w:p w14:paraId="0F54AA57" w14:textId="77777777" w:rsidR="00161739" w:rsidRDefault="00161739" w:rsidP="00CD5783">
      <w:pPr>
        <w:pStyle w:val="ParagraphContinued"/>
        <w:rPr>
          <w:u w:val="single"/>
        </w:rPr>
      </w:pPr>
      <w:r>
        <w:t xml:space="preserve">Note that the value set workbooks available on the Download tab of the VSAC, discussed in Section 2.2.2.1, do not include the DRCs used in measures. To obtain a separate listing of DRCs, users must select “Direct Reference Codes Specified within eCQM HQMF files Published </w:t>
      </w:r>
      <w:r>
        <w:rPr>
          <w:i/>
        </w:rPr>
        <w:t>Month DD, YYYY</w:t>
      </w:r>
      <w:r>
        <w:t xml:space="preserve">” on the </w:t>
      </w:r>
      <w:hyperlink r:id="rId56">
        <w:r>
          <w:rPr>
            <w:color w:val="0563C1"/>
            <w:u w:val="single"/>
          </w:rPr>
          <w:t>Download tab of the VSAC</w:t>
        </w:r>
      </w:hyperlink>
      <w:r>
        <w:t xml:space="preserve"> under each reporting/performance period dropdown.</w:t>
      </w:r>
    </w:p>
    <w:p w14:paraId="3E1783A7" w14:textId="6C75F7A7" w:rsidR="00161739" w:rsidRDefault="00CD5783" w:rsidP="00CD5783">
      <w:pPr>
        <w:pStyle w:val="H4-Num"/>
      </w:pPr>
      <w:bookmarkStart w:id="143" w:name="_Toc184039782"/>
      <w:bookmarkStart w:id="144" w:name="_Toc159575147"/>
      <w:r>
        <w:t>2.2.2.3</w:t>
      </w:r>
      <w:r>
        <w:tab/>
      </w:r>
      <w:r w:rsidR="00161739">
        <w:t>Versioning Value Sets</w:t>
      </w:r>
      <w:bookmarkEnd w:id="143"/>
      <w:bookmarkEnd w:id="144"/>
    </w:p>
    <w:p w14:paraId="2722726A" w14:textId="01894F80" w:rsidR="00161739" w:rsidRDefault="00161739" w:rsidP="00CD5783">
      <w:pPr>
        <w:pStyle w:val="ParagraphContinued"/>
      </w:pPr>
      <w:r>
        <w:t>Value set stewards and measure developers update the</w:t>
      </w:r>
      <w:r w:rsidR="00B7585E">
        <w:t>ir value sets in</w:t>
      </w:r>
      <w:r>
        <w:t xml:space="preserve"> VSAC regularly. All value set versions contained in the VSAC have a publication date (format: YYYYMMDD) as shown in these examples:</w:t>
      </w:r>
    </w:p>
    <w:p w14:paraId="6F8C10B1" w14:textId="14543E84" w:rsidR="00161739" w:rsidRDefault="00161739" w:rsidP="00CD5783">
      <w:pPr>
        <w:pStyle w:val="ListBullet"/>
      </w:pPr>
      <w:r w:rsidRPr="001141A7">
        <w:t>202</w:t>
      </w:r>
      <w:r w:rsidR="00520FE8">
        <w:t>5</w:t>
      </w:r>
      <w:r w:rsidRPr="001141A7">
        <w:t>050</w:t>
      </w:r>
      <w:r w:rsidR="007754C4">
        <w:t>7</w:t>
      </w:r>
    </w:p>
    <w:p w14:paraId="6B693B60" w14:textId="35556542" w:rsidR="00161739" w:rsidRDefault="00161739" w:rsidP="00CD5783">
      <w:pPr>
        <w:pStyle w:val="ListBullet"/>
      </w:pPr>
      <w:r w:rsidRPr="001141A7">
        <w:t>202</w:t>
      </w:r>
      <w:r w:rsidR="00520FE8">
        <w:t>5</w:t>
      </w:r>
      <w:r w:rsidRPr="001141A7">
        <w:t>050</w:t>
      </w:r>
      <w:r w:rsidR="007754C4">
        <w:t>8</w:t>
      </w:r>
    </w:p>
    <w:p w14:paraId="3F17D36D" w14:textId="77777777" w:rsidR="00161739" w:rsidRDefault="00161739" w:rsidP="00CD5783">
      <w:pPr>
        <w:pStyle w:val="ParagraphContinued"/>
      </w:pPr>
      <w:r>
        <w:t>Users can view this version identification system by reviewing the eCQM on the VSAC website</w:t>
      </w:r>
      <w:r w:rsidRPr="001141A7">
        <w:rPr>
          <w:sz w:val="23"/>
          <w:vertAlign w:val="superscript"/>
        </w:rPr>
        <w:t xml:space="preserve"> </w:t>
      </w:r>
      <w:r>
        <w:t>or on the exported Excel spreadsheet. They can also view the value set definition versions in Search Value Sets of the Value Set Details tab in VSAC.</w:t>
      </w:r>
    </w:p>
    <w:p w14:paraId="2149CD92" w14:textId="20BB5A5B" w:rsidR="001C2D38" w:rsidRDefault="00161739" w:rsidP="00CD5783">
      <w:pPr>
        <w:pStyle w:val="Paragraph"/>
        <w:sectPr w:rsidR="001C2D38" w:rsidSect="00161739">
          <w:headerReference w:type="even" r:id="rId57"/>
          <w:headerReference w:type="default" r:id="rId58"/>
          <w:headerReference w:type="first" r:id="rId59"/>
          <w:footerReference w:type="first" r:id="rId60"/>
          <w:pgSz w:w="12240" w:h="15840"/>
          <w:pgMar w:top="1440" w:right="1440" w:bottom="1440" w:left="1440" w:header="504" w:footer="504" w:gutter="0"/>
          <w:cols w:space="720"/>
          <w:titlePg/>
        </w:sectPr>
      </w:pPr>
      <w:r>
        <w:lastRenderedPageBreak/>
        <w:t xml:space="preserve">Value set stewards and measure developers maintain value sets by </w:t>
      </w:r>
      <w:r w:rsidR="00B7585E">
        <w:t xml:space="preserve">reviewing, </w:t>
      </w:r>
      <w:r>
        <w:t>removing or adding codes. If measure developers modify value sets while the purpose and intent remain the same, the value set version will change within the VSAC, but the OID will not. When measure developers modify value sets, and the purpose and intent of the value set change, the measure developer will assign a new OID to the value set.</w:t>
      </w:r>
    </w:p>
    <w:p w14:paraId="5783947A" w14:textId="28AB3AC1" w:rsidR="00161739" w:rsidRDefault="00565600" w:rsidP="00565600">
      <w:pPr>
        <w:pStyle w:val="H1-Num"/>
      </w:pPr>
      <w:bookmarkStart w:id="145" w:name="_Toc184039783"/>
      <w:bookmarkStart w:id="146" w:name="_Toc159575148"/>
      <w:bookmarkStart w:id="147" w:name="_Toc190852958"/>
      <w:bookmarkStart w:id="148" w:name="_Toc195047560"/>
      <w:r>
        <w:lastRenderedPageBreak/>
        <w:t>3.</w:t>
      </w:r>
      <w:r>
        <w:tab/>
      </w:r>
      <w:r w:rsidR="00161739">
        <w:t>eCQM Package</w:t>
      </w:r>
      <w:bookmarkEnd w:id="145"/>
      <w:bookmarkEnd w:id="146"/>
      <w:bookmarkEnd w:id="147"/>
      <w:bookmarkEnd w:id="148"/>
    </w:p>
    <w:p w14:paraId="6DE40387" w14:textId="0F74C739" w:rsidR="00161739" w:rsidRDefault="00565600" w:rsidP="00565600">
      <w:pPr>
        <w:pStyle w:val="H2-Num"/>
      </w:pPr>
      <w:bookmarkStart w:id="149" w:name="_Toc184039784"/>
      <w:bookmarkStart w:id="150" w:name="_Toc159575149"/>
      <w:bookmarkStart w:id="151" w:name="_Toc190852959"/>
      <w:bookmarkStart w:id="152" w:name="_Toc195047561"/>
      <w:r>
        <w:t>3.1</w:t>
      </w:r>
      <w:r>
        <w:tab/>
      </w:r>
      <w:r w:rsidR="00161739">
        <w:t xml:space="preserve">eCQM </w:t>
      </w:r>
      <w:bookmarkEnd w:id="149"/>
      <w:bookmarkEnd w:id="150"/>
      <w:bookmarkEnd w:id="151"/>
      <w:bookmarkEnd w:id="152"/>
      <w:r w:rsidR="001E51AF">
        <w:t xml:space="preserve">Export </w:t>
      </w:r>
      <w:r w:rsidR="005D435A">
        <w:t>File Types</w:t>
      </w:r>
    </w:p>
    <w:p w14:paraId="5F6851DE" w14:textId="77777777" w:rsidR="00161739" w:rsidRDefault="00161739" w:rsidP="00565600">
      <w:pPr>
        <w:pStyle w:val="ParagraphContinued"/>
      </w:pPr>
      <w:r>
        <w:t>Measure developers create an eCQM in MADiE and export it as an eCQM package. Each eCQM package contains the following components:</w:t>
      </w:r>
    </w:p>
    <w:p w14:paraId="4019AD5B" w14:textId="77777777" w:rsidR="00161739" w:rsidRDefault="00161739" w:rsidP="00565600">
      <w:pPr>
        <w:pStyle w:val="ListBullet"/>
      </w:pPr>
      <w:r w:rsidRPr="00565600">
        <w:rPr>
          <w:rStyle w:val="RunIn"/>
        </w:rPr>
        <w:t xml:space="preserve">Human-readable HTML file (.html): </w:t>
      </w:r>
      <w:r w:rsidRPr="001141A7">
        <w:t xml:space="preserve">File </w:t>
      </w:r>
      <w:r>
        <w:rPr>
          <w:szCs w:val="24"/>
        </w:rPr>
        <w:t>providing</w:t>
      </w:r>
      <w:r w:rsidRPr="001141A7">
        <w:t xml:space="preserve"> the eCQM content in a human‐readable format directly in a web browser.</w:t>
      </w:r>
    </w:p>
    <w:p w14:paraId="341C51A1" w14:textId="77777777" w:rsidR="00161739" w:rsidRPr="008341FD" w:rsidRDefault="00161739" w:rsidP="00565600">
      <w:pPr>
        <w:pStyle w:val="ListBullet"/>
      </w:pPr>
      <w:r w:rsidRPr="00565600">
        <w:rPr>
          <w:rStyle w:val="RunIn"/>
        </w:rPr>
        <w:t xml:space="preserve">HQMF XML file (.xml): </w:t>
      </w:r>
      <w:r w:rsidRPr="001141A7">
        <w:t xml:space="preserve">File </w:t>
      </w:r>
      <w:r>
        <w:rPr>
          <w:szCs w:val="24"/>
        </w:rPr>
        <w:t>providing</w:t>
      </w:r>
      <w:r w:rsidRPr="001141A7">
        <w:t xml:space="preserve"> the description of the eCQM data and population criteria </w:t>
      </w:r>
      <w:r>
        <w:rPr>
          <w:szCs w:val="24"/>
        </w:rPr>
        <w:t>that</w:t>
      </w:r>
      <w:r w:rsidRPr="001141A7">
        <w:t xml:space="preserve"> is intended for machine processing. The format of this document includes a header and a body. The header provides metadata about the eCQM. The body contains key eCQM sections such as </w:t>
      </w:r>
      <w:r w:rsidRPr="008341FD">
        <w:rPr>
          <w:szCs w:val="24"/>
        </w:rPr>
        <w:t xml:space="preserve">population criteria, </w:t>
      </w:r>
      <w:hyperlink w:anchor="_heading=h.3ygebqi">
        <w:r w:rsidRPr="008341FD">
          <w:rPr>
            <w:szCs w:val="24"/>
          </w:rPr>
          <w:t>data criteria</w:t>
        </w:r>
      </w:hyperlink>
      <w:r w:rsidRPr="008341FD">
        <w:rPr>
          <w:szCs w:val="24"/>
        </w:rPr>
        <w:t>, supplemental data elements, terminology, functions, and risk adjustment variables. The HQMF points to the CQL library</w:t>
      </w:r>
      <w:r w:rsidRPr="008341FD">
        <w:t xml:space="preserve"> and associated Expression Logical Model (ELM) files.</w:t>
      </w:r>
    </w:p>
    <w:p w14:paraId="3D745199" w14:textId="77777777" w:rsidR="00161739" w:rsidRDefault="00161739" w:rsidP="00565600">
      <w:pPr>
        <w:pStyle w:val="ListBullet"/>
      </w:pPr>
      <w:r w:rsidRPr="00565600">
        <w:rPr>
          <w:rStyle w:val="RunIn"/>
        </w:rPr>
        <w:t>CQL file (.</w:t>
      </w:r>
      <w:proofErr w:type="spellStart"/>
      <w:r w:rsidRPr="00565600">
        <w:rPr>
          <w:rStyle w:val="RunIn"/>
        </w:rPr>
        <w:t>cql</w:t>
      </w:r>
      <w:proofErr w:type="spellEnd"/>
      <w:r w:rsidRPr="00565600">
        <w:rPr>
          <w:rStyle w:val="RunIn"/>
        </w:rPr>
        <w:t xml:space="preserve">): </w:t>
      </w:r>
      <w:r w:rsidRPr="001141A7">
        <w:t xml:space="preserve">File </w:t>
      </w:r>
      <w:r>
        <w:rPr>
          <w:szCs w:val="24"/>
        </w:rPr>
        <w:t>providing</w:t>
      </w:r>
      <w:r w:rsidRPr="001141A7">
        <w:t xml:space="preserve"> the expression logic for data criteria, population criteria, and supplemental data elements. It describes the computable content in the eCQM that contains libraries that can be reused or shared between eCQMs and possibly other artifacts, such as decision support rules.</w:t>
      </w:r>
      <w:r w:rsidRPr="000758CF">
        <w:rPr>
          <w:szCs w:val="24"/>
        </w:rPr>
        <w:t xml:space="preserve"> </w:t>
      </w:r>
      <w:r>
        <w:rPr>
          <w:szCs w:val="24"/>
        </w:rPr>
        <w:t xml:space="preserve">In eCQM packages exported from MADiE, CQL files are located in </w:t>
      </w:r>
      <w:r w:rsidRPr="000758CF">
        <w:rPr>
          <w:szCs w:val="24"/>
        </w:rPr>
        <w:t xml:space="preserve">a separate folder named </w:t>
      </w:r>
      <w:r>
        <w:rPr>
          <w:szCs w:val="24"/>
        </w:rPr>
        <w:t>“</w:t>
      </w:r>
      <w:proofErr w:type="spellStart"/>
      <w:r w:rsidRPr="000758CF">
        <w:rPr>
          <w:szCs w:val="24"/>
        </w:rPr>
        <w:t>cql</w:t>
      </w:r>
      <w:proofErr w:type="spellEnd"/>
      <w:r>
        <w:rPr>
          <w:szCs w:val="24"/>
        </w:rPr>
        <w:t>.”</w:t>
      </w:r>
    </w:p>
    <w:p w14:paraId="326B38B1" w14:textId="77777777" w:rsidR="00161739" w:rsidRDefault="00161739" w:rsidP="00565600">
      <w:pPr>
        <w:pStyle w:val="ListBullet"/>
      </w:pPr>
      <w:r w:rsidRPr="00565600">
        <w:rPr>
          <w:rStyle w:val="RunIn"/>
        </w:rPr>
        <w:t>ELM file (.xml, .</w:t>
      </w:r>
      <w:proofErr w:type="spellStart"/>
      <w:r w:rsidRPr="00565600">
        <w:rPr>
          <w:rStyle w:val="RunIn"/>
        </w:rPr>
        <w:t>json</w:t>
      </w:r>
      <w:proofErr w:type="spellEnd"/>
      <w:r w:rsidRPr="00565600">
        <w:rPr>
          <w:rStyle w:val="RunIn"/>
        </w:rPr>
        <w:t xml:space="preserve">): </w:t>
      </w:r>
      <w:r w:rsidRPr="001141A7">
        <w:t xml:space="preserve">File </w:t>
      </w:r>
      <w:r>
        <w:rPr>
          <w:szCs w:val="24"/>
        </w:rPr>
        <w:t>providing</w:t>
      </w:r>
      <w:r w:rsidRPr="001141A7">
        <w:t xml:space="preserve"> a machine-readable representation of the </w:t>
      </w:r>
      <w:proofErr w:type="spellStart"/>
      <w:r w:rsidRPr="001141A7">
        <w:t>eCQM’s</w:t>
      </w:r>
      <w:proofErr w:type="spellEnd"/>
      <w:r w:rsidRPr="001141A7">
        <w:t xml:space="preserve"> logic in XML or JavaScript Object Notation (JSON) formats. The ELM file is intended for machine processing and provides the information necessary to automatically retrieve data from an EHR.</w:t>
      </w:r>
      <w:r>
        <w:rPr>
          <w:szCs w:val="24"/>
        </w:rPr>
        <w:t xml:space="preserve"> In eCQM packages exported from MADiE, ELM files are located in </w:t>
      </w:r>
      <w:r w:rsidRPr="000758CF">
        <w:rPr>
          <w:szCs w:val="24"/>
        </w:rPr>
        <w:t xml:space="preserve">a separate folder named </w:t>
      </w:r>
      <w:r>
        <w:rPr>
          <w:szCs w:val="24"/>
        </w:rPr>
        <w:t>“resources.”</w:t>
      </w:r>
    </w:p>
    <w:p w14:paraId="566ABD89" w14:textId="137EA87A" w:rsidR="00161739" w:rsidRDefault="00565600" w:rsidP="00565600">
      <w:pPr>
        <w:pStyle w:val="H3-Num"/>
      </w:pPr>
      <w:bookmarkStart w:id="153" w:name="_Toc184039785"/>
      <w:bookmarkStart w:id="154" w:name="_Toc159575150"/>
      <w:bookmarkStart w:id="155" w:name="_Toc190852960"/>
      <w:bookmarkStart w:id="156" w:name="_Toc195047562"/>
      <w:r>
        <w:t>3.1.1</w:t>
      </w:r>
      <w:r>
        <w:tab/>
      </w:r>
      <w:r w:rsidR="00161739">
        <w:t>CQL Library</w:t>
      </w:r>
      <w:bookmarkEnd w:id="153"/>
      <w:bookmarkEnd w:id="154"/>
      <w:bookmarkEnd w:id="155"/>
      <w:bookmarkEnd w:id="156"/>
    </w:p>
    <w:p w14:paraId="57F60570" w14:textId="2E989398" w:rsidR="00161739" w:rsidRDefault="00161739" w:rsidP="00565600">
      <w:pPr>
        <w:pStyle w:val="ParagraphContinued"/>
      </w:pPr>
      <w:r w:rsidRPr="008341FD">
        <w:t>Libraries</w:t>
      </w:r>
      <w:r>
        <w:t xml:space="preserve"> are the </w:t>
      </w:r>
      <w:r w:rsidRPr="00FA1287">
        <w:t>basic units of sharing CQL and consist of a foundation of CQL statements used within an eCQM. Every eCQM has a primary CQL library. The primary CQL library, referenced from HQMF, might reference</w:t>
      </w:r>
      <w:r>
        <w:t xml:space="preserve"> other CQL libraries, such as shared libraries, that are often used in other eCQMs. The measure package includes these CQL and ELM files, which provide CQL source and ELM rendering for collections of CQL expressions used across eCQMs. The measure package also includes the JSON format of the ELM. There are several format versions</w:t>
      </w:r>
      <w:r w:rsidR="00A31FAA">
        <w:t xml:space="preserve"> (i.e.</w:t>
      </w:r>
      <w:proofErr w:type="gramStart"/>
      <w:r w:rsidR="00A31FAA">
        <w:t>, .</w:t>
      </w:r>
      <w:proofErr w:type="spellStart"/>
      <w:r w:rsidR="00A31FAA">
        <w:t>cql</w:t>
      </w:r>
      <w:proofErr w:type="spellEnd"/>
      <w:r w:rsidR="00A31FAA">
        <w:t>, .</w:t>
      </w:r>
      <w:proofErr w:type="spellStart"/>
      <w:r w:rsidR="00A31FAA">
        <w:t>json</w:t>
      </w:r>
      <w:proofErr w:type="spellEnd"/>
      <w:proofErr w:type="gramEnd"/>
      <w:r w:rsidR="00A31FAA">
        <w:t>, .xml)</w:t>
      </w:r>
      <w:r>
        <w:t xml:space="preserve"> of the CQL libraries, so local implementers can use the versions most appropriate to their software and data analysis tools.</w:t>
      </w:r>
    </w:p>
    <w:p w14:paraId="143B7D45" w14:textId="1E749D28" w:rsidR="00161739" w:rsidRDefault="00565600" w:rsidP="00565600">
      <w:pPr>
        <w:pStyle w:val="H3-Num"/>
      </w:pPr>
      <w:bookmarkStart w:id="157" w:name="_Toc184039786"/>
      <w:bookmarkStart w:id="158" w:name="_Toc159575151"/>
      <w:bookmarkStart w:id="159" w:name="_Toc190852961"/>
      <w:bookmarkStart w:id="160" w:name="_Toc195047563"/>
      <w:r>
        <w:t>3.1.2</w:t>
      </w:r>
      <w:r>
        <w:tab/>
      </w:r>
      <w:r w:rsidR="00161739">
        <w:t>Measure Packaging by Setting</w:t>
      </w:r>
      <w:bookmarkEnd w:id="157"/>
      <w:bookmarkEnd w:id="158"/>
      <w:bookmarkEnd w:id="159"/>
      <w:bookmarkEnd w:id="160"/>
    </w:p>
    <w:p w14:paraId="494182E7" w14:textId="45980E8B" w:rsidR="00161739" w:rsidRDefault="00161739" w:rsidP="00565600">
      <w:pPr>
        <w:pStyle w:val="ParagraphContinued"/>
      </w:pPr>
      <w:bookmarkStart w:id="161" w:name="_heading=h.23ckvvd" w:colFirst="0" w:colLast="0"/>
      <w:bookmarkStart w:id="162" w:name="_Hlk148032731"/>
      <w:bookmarkEnd w:id="161"/>
      <w:r>
        <w:t>CMS publishes multiple eCQM specification zip files annually</w:t>
      </w:r>
      <w:r w:rsidR="006816E6">
        <w:t xml:space="preserve"> on the </w:t>
      </w:r>
      <w:hyperlink r:id="rId61" w:history="1">
        <w:r w:rsidR="006816E6" w:rsidRPr="006816E6">
          <w:rPr>
            <w:rStyle w:val="Hyperlink"/>
          </w:rPr>
          <w:t>eCQI Resource Center</w:t>
        </w:r>
      </w:hyperlink>
      <w:r>
        <w:t>. Each file contains the eCQMs for a specific reporting or performance period. The file names use the first year of the performance or reporting period (format: YYYY) and then setting, as shown in these examples:</w:t>
      </w:r>
    </w:p>
    <w:p w14:paraId="7147B2A7" w14:textId="4FC95C45" w:rsidR="00161739" w:rsidRDefault="00B27B2C" w:rsidP="00E03612">
      <w:pPr>
        <w:pStyle w:val="ListBullet"/>
        <w:contextualSpacing/>
      </w:pPr>
      <w:r>
        <w:rPr>
          <w:szCs w:val="24"/>
        </w:rPr>
        <w:t>2027</w:t>
      </w:r>
      <w:r w:rsidR="00161739">
        <w:rPr>
          <w:szCs w:val="24"/>
        </w:rPr>
        <w:t>-</w:t>
      </w:r>
      <w:r w:rsidR="00161739">
        <w:t>Hospital-IP</w:t>
      </w:r>
      <w:r w:rsidR="00161739" w:rsidRPr="001141A7">
        <w:t>-eCQM.zip</w:t>
      </w:r>
    </w:p>
    <w:p w14:paraId="669DAF98" w14:textId="7AE5B3C1" w:rsidR="00161739" w:rsidRPr="001141A7" w:rsidRDefault="00B27B2C" w:rsidP="00E03612">
      <w:pPr>
        <w:pStyle w:val="ListBullet"/>
        <w:contextualSpacing/>
      </w:pPr>
      <w:r>
        <w:t>2027</w:t>
      </w:r>
      <w:r w:rsidR="00161739">
        <w:t>-Hospital-IP-Hybrid-eCQM.zip</w:t>
      </w:r>
    </w:p>
    <w:p w14:paraId="4A664F08" w14:textId="592DFA82" w:rsidR="00161739" w:rsidRDefault="00B27B2C" w:rsidP="00E03612">
      <w:pPr>
        <w:pStyle w:val="ListBullet"/>
        <w:contextualSpacing/>
      </w:pPr>
      <w:r>
        <w:rPr>
          <w:szCs w:val="24"/>
        </w:rPr>
        <w:t>2027</w:t>
      </w:r>
      <w:r w:rsidR="00161739">
        <w:rPr>
          <w:szCs w:val="24"/>
        </w:rPr>
        <w:t>-Hospital-OP-eCQM.zip</w:t>
      </w:r>
    </w:p>
    <w:p w14:paraId="51F2C690" w14:textId="67EAF1E8" w:rsidR="00161739" w:rsidRDefault="00B27B2C" w:rsidP="00565600">
      <w:pPr>
        <w:pStyle w:val="ListBullet"/>
      </w:pPr>
      <w:r>
        <w:rPr>
          <w:szCs w:val="24"/>
        </w:rPr>
        <w:lastRenderedPageBreak/>
        <w:t>2027</w:t>
      </w:r>
      <w:r w:rsidR="00161739">
        <w:rPr>
          <w:szCs w:val="24"/>
        </w:rPr>
        <w:t>-</w:t>
      </w:r>
      <w:r w:rsidR="00161739">
        <w:t>EligibleClinician</w:t>
      </w:r>
      <w:r w:rsidR="00161739" w:rsidRPr="001141A7">
        <w:t>-eCQM.zip</w:t>
      </w:r>
    </w:p>
    <w:p w14:paraId="69B8684A" w14:textId="61D75C88" w:rsidR="00161739" w:rsidRDefault="00565600" w:rsidP="00565600">
      <w:pPr>
        <w:pStyle w:val="H3-Num"/>
      </w:pPr>
      <w:bookmarkStart w:id="163" w:name="_Toc184039787"/>
      <w:bookmarkStart w:id="164" w:name="_Toc159575152"/>
      <w:bookmarkStart w:id="165" w:name="_Toc190852962"/>
      <w:bookmarkStart w:id="166" w:name="_Toc195047564"/>
      <w:bookmarkEnd w:id="162"/>
      <w:r>
        <w:t>3.1.3</w:t>
      </w:r>
      <w:r>
        <w:tab/>
      </w:r>
      <w:r w:rsidR="00161739">
        <w:t>CMS eCQM ID</w:t>
      </w:r>
      <w:bookmarkEnd w:id="163"/>
      <w:bookmarkEnd w:id="164"/>
      <w:bookmarkEnd w:id="165"/>
      <w:bookmarkEnd w:id="166"/>
    </w:p>
    <w:p w14:paraId="6285C0E3" w14:textId="74BDB4F7" w:rsidR="00161739" w:rsidRDefault="00161739" w:rsidP="00565600">
      <w:pPr>
        <w:pStyle w:val="ParagraphContinued"/>
      </w:pPr>
      <w:r>
        <w:t xml:space="preserve">During its development in MADiE, each eCQM receives a unique CMS ID. The header of the measure’s human-readable HTML file contains the CMS ID and the eCQM Version Number. Measure developers create the CMS eCQM ID by prefacing the CMS ID with “CMS” followed by “v” and the major version number. For example, the CMS eCQM ID of the 2026 reporting period hospital - inpatient eCQM, </w:t>
      </w:r>
      <w:r w:rsidRPr="00CF1EBA">
        <w:t>Safe Use of Opioids - Concurrent Prescribing</w:t>
      </w:r>
      <w:r>
        <w:t xml:space="preserve">, is </w:t>
      </w:r>
      <w:r>
        <w:rPr>
          <w:b/>
        </w:rPr>
        <w:t>CMS506v8</w:t>
      </w:r>
      <w:r>
        <w:t>, as shown in Table 3.1.</w:t>
      </w:r>
    </w:p>
    <w:p w14:paraId="4045B4C8" w14:textId="77777777" w:rsidR="00161739" w:rsidRPr="001141A7" w:rsidRDefault="00161739" w:rsidP="00D428E5">
      <w:pPr>
        <w:pStyle w:val="TableTitle"/>
      </w:pPr>
      <w:bookmarkStart w:id="167" w:name="_heading=h.32hioqz" w:colFirst="0" w:colLast="0"/>
      <w:bookmarkStart w:id="168" w:name="_Ref5791503"/>
      <w:bookmarkStart w:id="169" w:name="_Toc159577866"/>
      <w:bookmarkStart w:id="170" w:name="_Toc195047196"/>
      <w:bookmarkEnd w:id="167"/>
      <w:r w:rsidRPr="001141A7">
        <w:t>Table 3</w:t>
      </w:r>
      <w:bookmarkEnd w:id="168"/>
      <w:r>
        <w:rPr>
          <w:rFonts w:cs="Arial Narrow"/>
          <w:szCs w:val="24"/>
        </w:rPr>
        <w:t>.1.</w:t>
      </w:r>
      <w:r w:rsidRPr="001141A7">
        <w:t xml:space="preserve"> CMS eCQM Identifier</w:t>
      </w:r>
      <w:bookmarkEnd w:id="169"/>
      <w:bookmarkEnd w:id="170"/>
    </w:p>
    <w:tbl>
      <w:tblPr>
        <w:tblStyle w:val="BaseTable"/>
        <w:tblW w:w="53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35"/>
        <w:gridCol w:w="2975"/>
      </w:tblGrid>
      <w:tr w:rsidR="00161739" w14:paraId="7AEE3FF3" w14:textId="77777777" w:rsidTr="00D428E5">
        <w:trPr>
          <w:cnfStyle w:val="100000000000" w:firstRow="1" w:lastRow="0" w:firstColumn="0" w:lastColumn="0" w:oddVBand="0" w:evenVBand="0" w:oddHBand="0" w:evenHBand="0" w:firstRowFirstColumn="0" w:firstRowLastColumn="0" w:lastRowFirstColumn="0" w:lastRowLastColumn="0"/>
          <w:trHeight w:val="120"/>
          <w:tblHeader/>
          <w:jc w:val="center"/>
        </w:trPr>
        <w:tc>
          <w:tcPr>
            <w:tcW w:w="233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4D354136" w14:textId="77777777" w:rsidR="00161739" w:rsidRPr="001141A7" w:rsidRDefault="00161739" w:rsidP="00FB080A">
            <w:pPr>
              <w:pStyle w:val="TableHeaderCenter"/>
              <w:rPr>
                <w:b w:val="0"/>
              </w:rPr>
            </w:pPr>
            <w:r w:rsidRPr="001141A7">
              <w:t>eCQM information</w:t>
            </w:r>
          </w:p>
        </w:tc>
        <w:tc>
          <w:tcPr>
            <w:tcW w:w="2975"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0F138551" w14:textId="77777777" w:rsidR="00161739" w:rsidRPr="00D428E5" w:rsidRDefault="00161739" w:rsidP="00D428E5">
            <w:pPr>
              <w:pStyle w:val="TableHeaderCenter"/>
            </w:pPr>
            <w:r w:rsidRPr="00D428E5">
              <w:t>Value</w:t>
            </w:r>
          </w:p>
        </w:tc>
      </w:tr>
      <w:tr w:rsidR="00161739" w14:paraId="2618EC13" w14:textId="77777777" w:rsidTr="00D428E5">
        <w:trPr>
          <w:trHeight w:val="120"/>
          <w:jc w:val="center"/>
        </w:trPr>
        <w:tc>
          <w:tcPr>
            <w:tcW w:w="2335" w:type="dxa"/>
          </w:tcPr>
          <w:p w14:paraId="21185114" w14:textId="77777777" w:rsidR="00161739" w:rsidRPr="00D428E5" w:rsidRDefault="00161739" w:rsidP="00D428E5">
            <w:pPr>
              <w:pStyle w:val="TableTextLeft"/>
              <w:rPr>
                <w:sz w:val="20"/>
                <w:szCs w:val="20"/>
              </w:rPr>
            </w:pPr>
            <w:r w:rsidRPr="00D428E5">
              <w:rPr>
                <w:sz w:val="20"/>
                <w:szCs w:val="20"/>
              </w:rPr>
              <w:t xml:space="preserve">eCQM </w:t>
            </w:r>
            <w:r w:rsidRPr="00D428E5">
              <w:rPr>
                <w:rFonts w:cs="Arial"/>
                <w:sz w:val="20"/>
                <w:szCs w:val="20"/>
              </w:rPr>
              <w:t>Title</w:t>
            </w:r>
          </w:p>
        </w:tc>
        <w:tc>
          <w:tcPr>
            <w:tcW w:w="2975" w:type="dxa"/>
          </w:tcPr>
          <w:p w14:paraId="3CEB3339" w14:textId="77777777" w:rsidR="00161739" w:rsidRPr="00D428E5" w:rsidRDefault="00161739" w:rsidP="00D428E5">
            <w:pPr>
              <w:pStyle w:val="TableTextLeft"/>
              <w:rPr>
                <w:sz w:val="20"/>
                <w:szCs w:val="20"/>
              </w:rPr>
            </w:pPr>
            <w:r w:rsidRPr="00D428E5">
              <w:rPr>
                <w:rFonts w:cs="Arial"/>
                <w:sz w:val="20"/>
                <w:szCs w:val="20"/>
              </w:rPr>
              <w:t>Safe Use of Opioids - Concurrent Prescribing</w:t>
            </w:r>
          </w:p>
        </w:tc>
      </w:tr>
      <w:tr w:rsidR="00161739" w14:paraId="582966C1" w14:textId="77777777" w:rsidTr="00D428E5">
        <w:trPr>
          <w:trHeight w:val="120"/>
          <w:jc w:val="center"/>
        </w:trPr>
        <w:tc>
          <w:tcPr>
            <w:tcW w:w="2335" w:type="dxa"/>
          </w:tcPr>
          <w:p w14:paraId="25254AA1" w14:textId="77777777" w:rsidR="00161739" w:rsidRPr="00D428E5" w:rsidRDefault="00161739" w:rsidP="00D428E5">
            <w:pPr>
              <w:pStyle w:val="TableTextLeft"/>
              <w:rPr>
                <w:sz w:val="20"/>
                <w:szCs w:val="20"/>
              </w:rPr>
            </w:pPr>
            <w:r w:rsidRPr="00D428E5">
              <w:rPr>
                <w:sz w:val="20"/>
                <w:szCs w:val="20"/>
              </w:rPr>
              <w:t>CMS ID</w:t>
            </w:r>
          </w:p>
        </w:tc>
        <w:tc>
          <w:tcPr>
            <w:tcW w:w="2975" w:type="dxa"/>
          </w:tcPr>
          <w:p w14:paraId="22ACBF08" w14:textId="77777777" w:rsidR="00161739" w:rsidRPr="00D428E5" w:rsidRDefault="00161739" w:rsidP="00D428E5">
            <w:pPr>
              <w:pStyle w:val="TableTextLeft"/>
              <w:rPr>
                <w:rFonts w:cs="Arial"/>
                <w:sz w:val="20"/>
                <w:szCs w:val="20"/>
              </w:rPr>
            </w:pPr>
            <w:r w:rsidRPr="00D428E5">
              <w:rPr>
                <w:rFonts w:cs="Arial"/>
                <w:sz w:val="20"/>
                <w:szCs w:val="20"/>
              </w:rPr>
              <w:t>506</w:t>
            </w:r>
          </w:p>
        </w:tc>
      </w:tr>
      <w:tr w:rsidR="00161739" w14:paraId="70F109FF" w14:textId="77777777" w:rsidTr="00D428E5">
        <w:trPr>
          <w:trHeight w:val="120"/>
          <w:jc w:val="center"/>
        </w:trPr>
        <w:tc>
          <w:tcPr>
            <w:tcW w:w="2335" w:type="dxa"/>
          </w:tcPr>
          <w:p w14:paraId="4757D394" w14:textId="77777777" w:rsidR="00161739" w:rsidRPr="00D428E5" w:rsidRDefault="00161739" w:rsidP="00D428E5">
            <w:pPr>
              <w:pStyle w:val="TableTextLeft"/>
              <w:rPr>
                <w:sz w:val="20"/>
                <w:szCs w:val="20"/>
              </w:rPr>
            </w:pPr>
            <w:r w:rsidRPr="00D428E5">
              <w:rPr>
                <w:sz w:val="20"/>
                <w:szCs w:val="20"/>
              </w:rPr>
              <w:t xml:space="preserve">eCQM </w:t>
            </w:r>
            <w:r w:rsidRPr="00D428E5">
              <w:rPr>
                <w:rFonts w:cs="Arial"/>
                <w:sz w:val="20"/>
                <w:szCs w:val="20"/>
              </w:rPr>
              <w:t xml:space="preserve">Major </w:t>
            </w:r>
            <w:r w:rsidRPr="00D428E5">
              <w:rPr>
                <w:sz w:val="20"/>
                <w:szCs w:val="20"/>
              </w:rPr>
              <w:t>Version Number</w:t>
            </w:r>
          </w:p>
        </w:tc>
        <w:tc>
          <w:tcPr>
            <w:tcW w:w="2975" w:type="dxa"/>
          </w:tcPr>
          <w:p w14:paraId="0F5CA9F6" w14:textId="77777777" w:rsidR="00161739" w:rsidRPr="00D428E5" w:rsidRDefault="00161739" w:rsidP="00D428E5">
            <w:pPr>
              <w:pStyle w:val="TableTextLeft"/>
              <w:rPr>
                <w:sz w:val="20"/>
                <w:szCs w:val="20"/>
              </w:rPr>
            </w:pPr>
            <w:r w:rsidRPr="00D428E5">
              <w:rPr>
                <w:rFonts w:cs="Arial"/>
                <w:sz w:val="20"/>
                <w:szCs w:val="20"/>
              </w:rPr>
              <w:t>8</w:t>
            </w:r>
          </w:p>
        </w:tc>
      </w:tr>
      <w:tr w:rsidR="00161739" w14:paraId="032DEF3D" w14:textId="77777777" w:rsidTr="00D428E5">
        <w:trPr>
          <w:trHeight w:val="120"/>
          <w:jc w:val="center"/>
        </w:trPr>
        <w:tc>
          <w:tcPr>
            <w:tcW w:w="2335" w:type="dxa"/>
          </w:tcPr>
          <w:p w14:paraId="6A196E5A" w14:textId="77777777" w:rsidR="00161739" w:rsidRPr="00D428E5" w:rsidRDefault="00161739" w:rsidP="00D428E5">
            <w:pPr>
              <w:pStyle w:val="TableTextLeft"/>
              <w:rPr>
                <w:sz w:val="20"/>
                <w:szCs w:val="20"/>
              </w:rPr>
            </w:pPr>
            <w:r w:rsidRPr="00D428E5">
              <w:rPr>
                <w:sz w:val="20"/>
                <w:szCs w:val="20"/>
              </w:rPr>
              <w:t>CMS eCQM ID</w:t>
            </w:r>
          </w:p>
        </w:tc>
        <w:tc>
          <w:tcPr>
            <w:tcW w:w="2975" w:type="dxa"/>
          </w:tcPr>
          <w:p w14:paraId="6CAB5021" w14:textId="77777777" w:rsidR="00161739" w:rsidRPr="00D428E5" w:rsidRDefault="00161739" w:rsidP="00D428E5">
            <w:pPr>
              <w:pStyle w:val="TableTextLeft"/>
              <w:rPr>
                <w:sz w:val="20"/>
                <w:szCs w:val="20"/>
              </w:rPr>
            </w:pPr>
            <w:r w:rsidRPr="00D428E5">
              <w:rPr>
                <w:rFonts w:cs="Arial"/>
                <w:sz w:val="20"/>
                <w:szCs w:val="20"/>
              </w:rPr>
              <w:t>CMS506v8</w:t>
            </w:r>
          </w:p>
        </w:tc>
      </w:tr>
    </w:tbl>
    <w:p w14:paraId="68908BC0" w14:textId="4B368296" w:rsidR="00161739" w:rsidRDefault="00565600" w:rsidP="00565600">
      <w:pPr>
        <w:pStyle w:val="H3-Num"/>
      </w:pPr>
      <w:bookmarkStart w:id="171" w:name="_Toc184039788"/>
      <w:bookmarkStart w:id="172" w:name="_Toc159575153"/>
      <w:bookmarkStart w:id="173" w:name="_Toc190852963"/>
      <w:bookmarkStart w:id="174" w:name="_Toc195047565"/>
      <w:r>
        <w:t>3.1.4</w:t>
      </w:r>
      <w:r>
        <w:tab/>
      </w:r>
      <w:r w:rsidR="00161739">
        <w:t>eCQM Zip File and Folder</w:t>
      </w:r>
      <w:bookmarkEnd w:id="171"/>
      <w:bookmarkEnd w:id="172"/>
      <w:bookmarkEnd w:id="173"/>
      <w:bookmarkEnd w:id="174"/>
    </w:p>
    <w:p w14:paraId="0C4E360C" w14:textId="24E50340" w:rsidR="00161739" w:rsidRDefault="00161739" w:rsidP="00565600">
      <w:pPr>
        <w:pStyle w:val="ParagraphContinued"/>
      </w:pPr>
      <w:r>
        <w:t xml:space="preserve">An eCQM package is published </w:t>
      </w:r>
      <w:r w:rsidR="006816E6">
        <w:t xml:space="preserve">on the </w:t>
      </w:r>
      <w:hyperlink r:id="rId62" w:history="1">
        <w:r w:rsidR="006816E6" w:rsidRPr="006816E6">
          <w:rPr>
            <w:rStyle w:val="Hyperlink"/>
          </w:rPr>
          <w:t>eCQI Resource Center</w:t>
        </w:r>
      </w:hyperlink>
      <w:r w:rsidR="006816E6">
        <w:t xml:space="preserve"> </w:t>
      </w:r>
      <w:r>
        <w:t xml:space="preserve">as a zip file. The published zip file contains the HTML, HQMF XML, CQL, and ELM (JSON and XML) files discussed in Section 3.1. The package contains separate CQL and ELM (JSON and XML) files for each CQL library. The eCQM package is named according to the CMS eCQM ID, using the eCQM full version number, which contains the major version number, minor version number, and patch number (for example, </w:t>
      </w:r>
      <w:r w:rsidRPr="00616182">
        <w:t>CMS506-v8.2.000-QDM.zip</w:t>
      </w:r>
      <w:r>
        <w:t>).</w:t>
      </w:r>
    </w:p>
    <w:p w14:paraId="2F7C100D" w14:textId="3BF4DB30" w:rsidR="00161739" w:rsidRDefault="00565600" w:rsidP="00565600">
      <w:pPr>
        <w:pStyle w:val="H3-Num"/>
      </w:pPr>
      <w:bookmarkStart w:id="175" w:name="_Toc184039789"/>
      <w:bookmarkStart w:id="176" w:name="_Toc159575154"/>
      <w:bookmarkStart w:id="177" w:name="_Toc190852964"/>
      <w:bookmarkStart w:id="178" w:name="_Toc195047566"/>
      <w:r>
        <w:t>3.1.5</w:t>
      </w:r>
      <w:r>
        <w:tab/>
      </w:r>
      <w:r w:rsidR="00161739">
        <w:t>Individual eCQM File Components</w:t>
      </w:r>
      <w:bookmarkEnd w:id="175"/>
      <w:bookmarkEnd w:id="176"/>
      <w:bookmarkEnd w:id="177"/>
      <w:bookmarkEnd w:id="178"/>
    </w:p>
    <w:p w14:paraId="45808436" w14:textId="77777777" w:rsidR="00161739" w:rsidRDefault="00161739" w:rsidP="00565600">
      <w:pPr>
        <w:pStyle w:val="ParagraphContinued"/>
      </w:pPr>
      <w:r>
        <w:t>Table 3.2 shows example file names for eCQMs posted on the eCQI Resource Center. The eCQM specification zip, HTML, and HQMF XML file names refer to the CMS eCQM ID with the eCQM full version number. The CQL, ELM XML, and ELM JSON file names refer to the CMS eCQM ID from MADiE as well as a shortened version of eCQM title and the eCQM full version number.</w:t>
      </w:r>
    </w:p>
    <w:p w14:paraId="271DAC49" w14:textId="77777777" w:rsidR="00E03612" w:rsidRDefault="00E03612">
      <w:pPr>
        <w:spacing w:after="0" w:line="240" w:lineRule="auto"/>
        <w:rPr>
          <w:rFonts w:ascii="Arial Narrow" w:hAnsi="Arial Narrow"/>
          <w:b/>
          <w:color w:val="000000" w:themeColor="text1"/>
          <w:sz w:val="24"/>
        </w:rPr>
      </w:pPr>
      <w:bookmarkStart w:id="179" w:name="_Toc195047197"/>
      <w:r>
        <w:br w:type="page"/>
      </w:r>
    </w:p>
    <w:p w14:paraId="6E5CDC03" w14:textId="4FC72D32" w:rsidR="00161739" w:rsidRPr="001141A7" w:rsidRDefault="00161739" w:rsidP="00E03612">
      <w:pPr>
        <w:pStyle w:val="TableTitle"/>
      </w:pPr>
      <w:r w:rsidRPr="001141A7">
        <w:lastRenderedPageBreak/>
        <w:t>Table 3.2. eCQM-Specific eCQM File Formats</w:t>
      </w:r>
      <w:bookmarkEnd w:id="179"/>
    </w:p>
    <w:tbl>
      <w:tblPr>
        <w:tblStyle w:val="BaseTable"/>
        <w:tblpPr w:leftFromText="180" w:rightFromText="180" w:vertAnchor="text"/>
        <w:tblW w:w="9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0"/>
        <w:gridCol w:w="3960"/>
        <w:gridCol w:w="3510"/>
      </w:tblGrid>
      <w:tr w:rsidR="000E67C8" w14:paraId="38769598" w14:textId="77777777" w:rsidTr="000E67C8">
        <w:trPr>
          <w:cnfStyle w:val="100000000000" w:firstRow="1" w:lastRow="0" w:firstColumn="0" w:lastColumn="0" w:oddVBand="0" w:evenVBand="0" w:oddHBand="0" w:evenHBand="0" w:firstRowFirstColumn="0" w:firstRowLastColumn="0" w:lastRowFirstColumn="0" w:lastRowLastColumn="0"/>
          <w:trHeight w:val="120"/>
          <w:tblHeader/>
        </w:trPr>
        <w:tc>
          <w:tcPr>
            <w:tcW w:w="1800"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7B715B78" w14:textId="77777777" w:rsidR="00161739" w:rsidRPr="001141A7" w:rsidRDefault="00161739" w:rsidP="00E03612">
            <w:pPr>
              <w:pStyle w:val="TableHeaderCenter"/>
              <w:keepLines/>
              <w:rPr>
                <w:b w:val="0"/>
              </w:rPr>
            </w:pPr>
            <w:r w:rsidRPr="001141A7">
              <w:t>File type</w:t>
            </w:r>
          </w:p>
        </w:tc>
        <w:tc>
          <w:tcPr>
            <w:tcW w:w="3960"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46CEF883" w14:textId="77777777" w:rsidR="00161739" w:rsidRPr="001141A7" w:rsidRDefault="00161739" w:rsidP="00E03612">
            <w:pPr>
              <w:pStyle w:val="TableHeaderCenter"/>
              <w:keepLines/>
              <w:rPr>
                <w:b w:val="0"/>
              </w:rPr>
            </w:pPr>
            <w:r>
              <w:t>S</w:t>
            </w:r>
            <w:r w:rsidRPr="001141A7">
              <w:t xml:space="preserve">tandard </w:t>
            </w:r>
            <w:r>
              <w:t>f</w:t>
            </w:r>
            <w:r w:rsidRPr="001141A7">
              <w:t>ile</w:t>
            </w:r>
            <w:r>
              <w:t xml:space="preserve"> </w:t>
            </w:r>
            <w:r w:rsidRPr="001141A7">
              <w:t>name</w:t>
            </w:r>
            <w:r>
              <w:t>s</w:t>
            </w:r>
            <w:r w:rsidRPr="001141A7">
              <w:t xml:space="preserve"> </w:t>
            </w:r>
          </w:p>
        </w:tc>
        <w:tc>
          <w:tcPr>
            <w:tcW w:w="3510"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0D20A56A" w14:textId="77777777" w:rsidR="00161739" w:rsidRPr="001141A7" w:rsidRDefault="00161739" w:rsidP="00E03612">
            <w:pPr>
              <w:pStyle w:val="TableHeaderCenter"/>
              <w:keepLines/>
              <w:rPr>
                <w:b w:val="0"/>
              </w:rPr>
            </w:pPr>
            <w:r>
              <w:t>E</w:t>
            </w:r>
            <w:r w:rsidRPr="001141A7">
              <w:t xml:space="preserve">xample </w:t>
            </w:r>
            <w:r>
              <w:t>f</w:t>
            </w:r>
            <w:r w:rsidRPr="001141A7">
              <w:t>ile</w:t>
            </w:r>
            <w:r>
              <w:t xml:space="preserve"> </w:t>
            </w:r>
            <w:r w:rsidRPr="001141A7">
              <w:t>name</w:t>
            </w:r>
            <w:r>
              <w:t>s</w:t>
            </w:r>
            <w:r w:rsidRPr="001141A7">
              <w:t xml:space="preserve"> </w:t>
            </w:r>
          </w:p>
        </w:tc>
      </w:tr>
      <w:tr w:rsidR="00161739" w14:paraId="736BF362" w14:textId="77777777" w:rsidTr="000E67C8">
        <w:trPr>
          <w:trHeight w:val="120"/>
        </w:trPr>
        <w:tc>
          <w:tcPr>
            <w:tcW w:w="1800" w:type="dxa"/>
          </w:tcPr>
          <w:p w14:paraId="3855CA00" w14:textId="77777777" w:rsidR="00161739" w:rsidRPr="000E67C8" w:rsidRDefault="00161739" w:rsidP="00E03612">
            <w:pPr>
              <w:pStyle w:val="TableTextLeft"/>
              <w:keepNext/>
              <w:keepLines/>
              <w:rPr>
                <w:sz w:val="20"/>
                <w:szCs w:val="20"/>
              </w:rPr>
            </w:pPr>
            <w:r w:rsidRPr="000E67C8">
              <w:rPr>
                <w:sz w:val="20"/>
                <w:szCs w:val="20"/>
              </w:rPr>
              <w:t>Zip</w:t>
            </w:r>
          </w:p>
        </w:tc>
        <w:tc>
          <w:tcPr>
            <w:tcW w:w="3960" w:type="dxa"/>
          </w:tcPr>
          <w:p w14:paraId="4E333D69" w14:textId="77777777" w:rsidR="00161739" w:rsidRPr="000E67C8" w:rsidRDefault="00161739" w:rsidP="00E03612">
            <w:pPr>
              <w:pStyle w:val="TableTextLeft"/>
              <w:keepNext/>
              <w:keepLines/>
              <w:rPr>
                <w:sz w:val="20"/>
                <w:szCs w:val="20"/>
              </w:rPr>
            </w:pPr>
            <w:r w:rsidRPr="000E67C8">
              <w:rPr>
                <w:rFonts w:cs="Arial"/>
                <w:sz w:val="20"/>
                <w:szCs w:val="20"/>
              </w:rPr>
              <w:t>{“</w:t>
            </w:r>
            <w:r w:rsidRPr="000E67C8">
              <w:rPr>
                <w:sz w:val="20"/>
                <w:szCs w:val="20"/>
              </w:rPr>
              <w:t>CMS</w:t>
            </w:r>
            <w:r w:rsidRPr="000E67C8">
              <w:rPr>
                <w:rFonts w:cs="Arial"/>
                <w:sz w:val="20"/>
                <w:szCs w:val="20"/>
              </w:rPr>
              <w:t xml:space="preserve">” + CMS ID} – {“v” + </w:t>
            </w:r>
            <w:r w:rsidRPr="000E67C8">
              <w:rPr>
                <w:sz w:val="20"/>
                <w:szCs w:val="20"/>
              </w:rPr>
              <w:t xml:space="preserve">eCQM </w:t>
            </w:r>
            <w:r w:rsidRPr="000E67C8">
              <w:rPr>
                <w:rFonts w:cs="Arial"/>
                <w:sz w:val="20"/>
                <w:szCs w:val="20"/>
              </w:rPr>
              <w:t>full</w:t>
            </w:r>
            <w:r w:rsidRPr="000E67C8">
              <w:rPr>
                <w:sz w:val="20"/>
                <w:szCs w:val="20"/>
              </w:rPr>
              <w:t xml:space="preserve"> version number</w:t>
            </w:r>
            <w:r w:rsidRPr="000E67C8">
              <w:rPr>
                <w:rFonts w:cs="Arial"/>
                <w:sz w:val="20"/>
                <w:szCs w:val="20"/>
              </w:rPr>
              <w:t>} – QDM.</w:t>
            </w:r>
            <w:r w:rsidRPr="000E67C8">
              <w:rPr>
                <w:sz w:val="20"/>
                <w:szCs w:val="20"/>
              </w:rPr>
              <w:t>zip</w:t>
            </w:r>
          </w:p>
        </w:tc>
        <w:tc>
          <w:tcPr>
            <w:tcW w:w="3510" w:type="dxa"/>
          </w:tcPr>
          <w:p w14:paraId="1EC7D610" w14:textId="77777777" w:rsidR="00161739" w:rsidRPr="000E67C8" w:rsidRDefault="00161739" w:rsidP="00E03612">
            <w:pPr>
              <w:pStyle w:val="TableTextLeft"/>
              <w:keepNext/>
              <w:keepLines/>
              <w:rPr>
                <w:sz w:val="20"/>
                <w:szCs w:val="20"/>
              </w:rPr>
            </w:pPr>
            <w:r w:rsidRPr="000E67C8">
              <w:rPr>
                <w:rFonts w:cs="Arial"/>
                <w:sz w:val="20"/>
                <w:szCs w:val="20"/>
              </w:rPr>
              <w:t>CMS506-v8.2.000-QDM</w:t>
            </w:r>
            <w:r w:rsidRPr="000E67C8">
              <w:rPr>
                <w:sz w:val="20"/>
                <w:szCs w:val="20"/>
              </w:rPr>
              <w:t>.zip</w:t>
            </w:r>
          </w:p>
        </w:tc>
      </w:tr>
      <w:tr w:rsidR="00161739" w14:paraId="611FBD60" w14:textId="77777777" w:rsidTr="000E67C8">
        <w:trPr>
          <w:trHeight w:val="120"/>
        </w:trPr>
        <w:tc>
          <w:tcPr>
            <w:tcW w:w="1800" w:type="dxa"/>
          </w:tcPr>
          <w:p w14:paraId="0F64F310" w14:textId="77777777" w:rsidR="00161739" w:rsidRPr="000E67C8" w:rsidRDefault="00161739" w:rsidP="00E03612">
            <w:pPr>
              <w:pStyle w:val="TableTextLeft"/>
              <w:keepNext/>
              <w:keepLines/>
              <w:rPr>
                <w:sz w:val="20"/>
                <w:szCs w:val="20"/>
              </w:rPr>
            </w:pPr>
            <w:r w:rsidRPr="000E67C8">
              <w:rPr>
                <w:sz w:val="20"/>
                <w:szCs w:val="20"/>
              </w:rPr>
              <w:t>HTML</w:t>
            </w:r>
          </w:p>
        </w:tc>
        <w:tc>
          <w:tcPr>
            <w:tcW w:w="3960" w:type="dxa"/>
          </w:tcPr>
          <w:p w14:paraId="2ECD550D" w14:textId="2C44828C" w:rsidR="00161739" w:rsidRPr="000E67C8" w:rsidRDefault="00161739" w:rsidP="00E03612">
            <w:pPr>
              <w:pStyle w:val="TableTextLeft"/>
              <w:keepNext/>
              <w:keepLines/>
              <w:rPr>
                <w:sz w:val="20"/>
                <w:szCs w:val="20"/>
              </w:rPr>
            </w:pPr>
            <w:r w:rsidRPr="000E67C8">
              <w:rPr>
                <w:rFonts w:cs="Arial"/>
                <w:sz w:val="20"/>
                <w:szCs w:val="20"/>
              </w:rPr>
              <w:t>{“</w:t>
            </w:r>
            <w:r w:rsidRPr="000E67C8">
              <w:rPr>
                <w:sz w:val="20"/>
                <w:szCs w:val="20"/>
              </w:rPr>
              <w:t>CMS</w:t>
            </w:r>
            <w:r w:rsidRPr="000E67C8">
              <w:rPr>
                <w:rFonts w:cs="Arial"/>
                <w:sz w:val="20"/>
                <w:szCs w:val="20"/>
              </w:rPr>
              <w:t xml:space="preserve">” + CMS ID} – {“v” + </w:t>
            </w:r>
            <w:r w:rsidRPr="000E67C8">
              <w:rPr>
                <w:sz w:val="20"/>
                <w:szCs w:val="20"/>
              </w:rPr>
              <w:t xml:space="preserve">eCQM </w:t>
            </w:r>
            <w:r w:rsidRPr="000E67C8">
              <w:rPr>
                <w:rFonts w:cs="Arial"/>
                <w:sz w:val="20"/>
                <w:szCs w:val="20"/>
              </w:rPr>
              <w:t>full</w:t>
            </w:r>
            <w:r w:rsidRPr="000E67C8">
              <w:rPr>
                <w:sz w:val="20"/>
                <w:szCs w:val="20"/>
              </w:rPr>
              <w:t xml:space="preserve"> version number</w:t>
            </w:r>
            <w:r w:rsidRPr="000E67C8">
              <w:rPr>
                <w:rFonts w:cs="Arial"/>
                <w:sz w:val="20"/>
                <w:szCs w:val="20"/>
              </w:rPr>
              <w:t>} – QDM.</w:t>
            </w:r>
            <w:r w:rsidRPr="000E67C8">
              <w:rPr>
                <w:sz w:val="20"/>
                <w:szCs w:val="20"/>
              </w:rPr>
              <w:t>html</w:t>
            </w:r>
          </w:p>
        </w:tc>
        <w:tc>
          <w:tcPr>
            <w:tcW w:w="3510" w:type="dxa"/>
          </w:tcPr>
          <w:p w14:paraId="16449BF5" w14:textId="77777777" w:rsidR="00161739" w:rsidRPr="000E67C8" w:rsidRDefault="00161739" w:rsidP="00E03612">
            <w:pPr>
              <w:pStyle w:val="TableTextLeft"/>
              <w:keepNext/>
              <w:keepLines/>
              <w:rPr>
                <w:sz w:val="20"/>
                <w:szCs w:val="20"/>
              </w:rPr>
            </w:pPr>
            <w:r w:rsidRPr="000E67C8">
              <w:rPr>
                <w:rFonts w:cs="Arial"/>
                <w:sz w:val="20"/>
                <w:szCs w:val="20"/>
              </w:rPr>
              <w:t>CMS506-v8.2.000-QDM</w:t>
            </w:r>
            <w:r w:rsidRPr="000E67C8">
              <w:rPr>
                <w:sz w:val="20"/>
                <w:szCs w:val="20"/>
              </w:rPr>
              <w:t>.html</w:t>
            </w:r>
          </w:p>
        </w:tc>
      </w:tr>
      <w:tr w:rsidR="00161739" w14:paraId="7C66F84D" w14:textId="77777777" w:rsidTr="000E67C8">
        <w:trPr>
          <w:trHeight w:val="120"/>
        </w:trPr>
        <w:tc>
          <w:tcPr>
            <w:tcW w:w="1800" w:type="dxa"/>
          </w:tcPr>
          <w:p w14:paraId="19B0EEA2" w14:textId="77777777" w:rsidR="00161739" w:rsidRPr="000E67C8" w:rsidRDefault="00161739" w:rsidP="00E03612">
            <w:pPr>
              <w:pStyle w:val="TableTextLeft"/>
              <w:keepNext/>
              <w:keepLines/>
              <w:rPr>
                <w:sz w:val="20"/>
                <w:szCs w:val="20"/>
              </w:rPr>
            </w:pPr>
            <w:r w:rsidRPr="000E67C8">
              <w:rPr>
                <w:sz w:val="20"/>
                <w:szCs w:val="20"/>
              </w:rPr>
              <w:t>HQMF XML</w:t>
            </w:r>
          </w:p>
        </w:tc>
        <w:tc>
          <w:tcPr>
            <w:tcW w:w="3960" w:type="dxa"/>
          </w:tcPr>
          <w:p w14:paraId="33BF7FC3" w14:textId="4DFBAE3A" w:rsidR="00161739" w:rsidRPr="000E67C8" w:rsidRDefault="00161739" w:rsidP="00E03612">
            <w:pPr>
              <w:pStyle w:val="TableTextLeft"/>
              <w:keepNext/>
              <w:keepLines/>
              <w:rPr>
                <w:sz w:val="20"/>
                <w:szCs w:val="20"/>
              </w:rPr>
            </w:pPr>
            <w:r w:rsidRPr="000E67C8">
              <w:rPr>
                <w:rFonts w:cs="Arial"/>
                <w:sz w:val="20"/>
                <w:szCs w:val="20"/>
              </w:rPr>
              <w:t>{“</w:t>
            </w:r>
            <w:r w:rsidRPr="000E67C8">
              <w:rPr>
                <w:sz w:val="20"/>
                <w:szCs w:val="20"/>
              </w:rPr>
              <w:t>CMS</w:t>
            </w:r>
            <w:r w:rsidRPr="000E67C8">
              <w:rPr>
                <w:rFonts w:cs="Arial"/>
                <w:sz w:val="20"/>
                <w:szCs w:val="20"/>
              </w:rPr>
              <w:t xml:space="preserve">” + CMS ID} – {“v” + </w:t>
            </w:r>
            <w:r w:rsidRPr="000E67C8">
              <w:rPr>
                <w:sz w:val="20"/>
                <w:szCs w:val="20"/>
              </w:rPr>
              <w:t xml:space="preserve">eCQM </w:t>
            </w:r>
            <w:r w:rsidRPr="000E67C8">
              <w:rPr>
                <w:rFonts w:cs="Arial"/>
                <w:sz w:val="20"/>
                <w:szCs w:val="20"/>
              </w:rPr>
              <w:t>full</w:t>
            </w:r>
            <w:r w:rsidRPr="000E67C8">
              <w:rPr>
                <w:sz w:val="20"/>
                <w:szCs w:val="20"/>
              </w:rPr>
              <w:t xml:space="preserve"> version number</w:t>
            </w:r>
            <w:r w:rsidRPr="000E67C8">
              <w:rPr>
                <w:rFonts w:cs="Arial"/>
                <w:sz w:val="20"/>
                <w:szCs w:val="20"/>
              </w:rPr>
              <w:t>} – QDM.</w:t>
            </w:r>
            <w:r w:rsidRPr="000E67C8">
              <w:rPr>
                <w:sz w:val="20"/>
                <w:szCs w:val="20"/>
              </w:rPr>
              <w:t>xml</w:t>
            </w:r>
          </w:p>
        </w:tc>
        <w:tc>
          <w:tcPr>
            <w:tcW w:w="3510" w:type="dxa"/>
          </w:tcPr>
          <w:p w14:paraId="54953D8C" w14:textId="77777777" w:rsidR="00161739" w:rsidRPr="000E67C8" w:rsidRDefault="00161739" w:rsidP="00E03612">
            <w:pPr>
              <w:pStyle w:val="TableTextLeft"/>
              <w:keepNext/>
              <w:keepLines/>
              <w:rPr>
                <w:sz w:val="20"/>
                <w:szCs w:val="20"/>
              </w:rPr>
            </w:pPr>
            <w:r w:rsidRPr="000E67C8">
              <w:rPr>
                <w:rFonts w:cs="Arial"/>
                <w:sz w:val="20"/>
                <w:szCs w:val="20"/>
              </w:rPr>
              <w:t>CMS506-v8.2.000-QDM</w:t>
            </w:r>
            <w:r w:rsidRPr="000E67C8">
              <w:rPr>
                <w:sz w:val="20"/>
                <w:szCs w:val="20"/>
              </w:rPr>
              <w:t>.xml</w:t>
            </w:r>
          </w:p>
        </w:tc>
      </w:tr>
      <w:tr w:rsidR="00161739" w14:paraId="77ACB40C" w14:textId="77777777" w:rsidTr="000E67C8">
        <w:trPr>
          <w:trHeight w:val="120"/>
        </w:trPr>
        <w:tc>
          <w:tcPr>
            <w:tcW w:w="1800" w:type="dxa"/>
          </w:tcPr>
          <w:p w14:paraId="15509703" w14:textId="77777777" w:rsidR="00161739" w:rsidRPr="000E67C8" w:rsidRDefault="00161739" w:rsidP="00E03612">
            <w:pPr>
              <w:pStyle w:val="TableTextLeft"/>
              <w:keepNext/>
              <w:keepLines/>
              <w:rPr>
                <w:sz w:val="20"/>
                <w:szCs w:val="20"/>
              </w:rPr>
            </w:pPr>
            <w:r w:rsidRPr="000E67C8">
              <w:rPr>
                <w:sz w:val="20"/>
                <w:szCs w:val="20"/>
              </w:rPr>
              <w:t>CQL</w:t>
            </w:r>
          </w:p>
        </w:tc>
        <w:tc>
          <w:tcPr>
            <w:tcW w:w="3960" w:type="dxa"/>
          </w:tcPr>
          <w:p w14:paraId="4FBE1D70" w14:textId="5A8223DE" w:rsidR="00161739" w:rsidRPr="000E67C8" w:rsidRDefault="00161739" w:rsidP="00E03612">
            <w:pPr>
              <w:pStyle w:val="TableTextLeft"/>
              <w:keepNext/>
              <w:keepLines/>
              <w:rPr>
                <w:sz w:val="20"/>
                <w:szCs w:val="20"/>
              </w:rPr>
            </w:pPr>
            <w:r w:rsidRPr="000E67C8">
              <w:rPr>
                <w:rFonts w:cs="Arial"/>
                <w:sz w:val="20"/>
                <w:szCs w:val="20"/>
              </w:rPr>
              <w:t>{“</w:t>
            </w:r>
            <w:r w:rsidRPr="000E67C8">
              <w:rPr>
                <w:sz w:val="20"/>
                <w:szCs w:val="20"/>
              </w:rPr>
              <w:t>CMS</w:t>
            </w:r>
            <w:r w:rsidRPr="000E67C8">
              <w:rPr>
                <w:rFonts w:cs="Arial"/>
                <w:sz w:val="20"/>
                <w:szCs w:val="20"/>
              </w:rPr>
              <w:t>” + CMS ID</w:t>
            </w:r>
            <w:r w:rsidRPr="000E67C8" w:rsidDel="00E0509B">
              <w:rPr>
                <w:rFonts w:cs="Arial"/>
                <w:sz w:val="20"/>
                <w:szCs w:val="20"/>
              </w:rPr>
              <w:t xml:space="preserve"> </w:t>
            </w:r>
            <w:r w:rsidR="00136076">
              <w:rPr>
                <w:rFonts w:cs="Arial"/>
                <w:sz w:val="20"/>
                <w:szCs w:val="20"/>
              </w:rPr>
              <w:t>+</w:t>
            </w:r>
            <w:r w:rsidRPr="000E67C8">
              <w:rPr>
                <w:rFonts w:cs="Arial"/>
                <w:sz w:val="20"/>
                <w:szCs w:val="20"/>
              </w:rPr>
              <w:t xml:space="preserve"> shortened</w:t>
            </w:r>
            <w:r w:rsidRPr="000E67C8">
              <w:rPr>
                <w:sz w:val="20"/>
                <w:szCs w:val="20"/>
              </w:rPr>
              <w:t xml:space="preserve"> eCQM </w:t>
            </w:r>
            <w:r w:rsidRPr="000E67C8">
              <w:rPr>
                <w:rFonts w:cs="Arial"/>
                <w:sz w:val="20"/>
                <w:szCs w:val="20"/>
              </w:rPr>
              <w:t>title} – {</w:t>
            </w:r>
            <w:r w:rsidRPr="000E67C8">
              <w:rPr>
                <w:sz w:val="20"/>
                <w:szCs w:val="20"/>
              </w:rPr>
              <w:t xml:space="preserve">eCQM </w:t>
            </w:r>
            <w:r w:rsidRPr="000E67C8">
              <w:rPr>
                <w:rFonts w:cs="Arial"/>
                <w:sz w:val="20"/>
                <w:szCs w:val="20"/>
              </w:rPr>
              <w:t xml:space="preserve">full </w:t>
            </w:r>
            <w:r w:rsidRPr="000E67C8">
              <w:rPr>
                <w:sz w:val="20"/>
                <w:szCs w:val="20"/>
              </w:rPr>
              <w:t>version number</w:t>
            </w:r>
            <w:r w:rsidRPr="000E67C8">
              <w:rPr>
                <w:rFonts w:cs="Arial"/>
                <w:sz w:val="20"/>
                <w:szCs w:val="20"/>
              </w:rPr>
              <w:t>}.</w:t>
            </w:r>
            <w:proofErr w:type="spellStart"/>
            <w:r w:rsidRPr="000E67C8">
              <w:rPr>
                <w:sz w:val="20"/>
                <w:szCs w:val="20"/>
              </w:rPr>
              <w:t>cql</w:t>
            </w:r>
            <w:proofErr w:type="spellEnd"/>
          </w:p>
        </w:tc>
        <w:tc>
          <w:tcPr>
            <w:tcW w:w="3510" w:type="dxa"/>
          </w:tcPr>
          <w:p w14:paraId="4B7C393D" w14:textId="77777777" w:rsidR="00161739" w:rsidRPr="000E67C8" w:rsidRDefault="00161739" w:rsidP="00E03612">
            <w:pPr>
              <w:pStyle w:val="TableTextLeft"/>
              <w:keepNext/>
              <w:keepLines/>
              <w:rPr>
                <w:sz w:val="20"/>
                <w:szCs w:val="20"/>
              </w:rPr>
            </w:pPr>
            <w:r w:rsidRPr="000E67C8">
              <w:rPr>
                <w:rFonts w:cs="Arial"/>
                <w:sz w:val="20"/>
                <w:szCs w:val="20"/>
              </w:rPr>
              <w:t>CMS506SafeUseofOpioids-8.</w:t>
            </w:r>
            <w:r w:rsidRPr="000E67C8">
              <w:rPr>
                <w:sz w:val="20"/>
                <w:szCs w:val="20"/>
              </w:rPr>
              <w:t>2</w:t>
            </w:r>
            <w:r w:rsidRPr="000E67C8">
              <w:rPr>
                <w:rFonts w:cs="Arial"/>
                <w:sz w:val="20"/>
                <w:szCs w:val="20"/>
              </w:rPr>
              <w:t>.</w:t>
            </w:r>
            <w:r w:rsidRPr="000E67C8">
              <w:rPr>
                <w:sz w:val="20"/>
                <w:szCs w:val="20"/>
              </w:rPr>
              <w:t xml:space="preserve">000.cql </w:t>
            </w:r>
          </w:p>
        </w:tc>
      </w:tr>
      <w:tr w:rsidR="00161739" w14:paraId="0D2338DE" w14:textId="77777777" w:rsidTr="000E67C8">
        <w:trPr>
          <w:trHeight w:val="120"/>
        </w:trPr>
        <w:tc>
          <w:tcPr>
            <w:tcW w:w="1800" w:type="dxa"/>
          </w:tcPr>
          <w:p w14:paraId="378416DD" w14:textId="77777777" w:rsidR="00161739" w:rsidRPr="000E67C8" w:rsidRDefault="00161739" w:rsidP="00FB080A">
            <w:pPr>
              <w:pStyle w:val="TableTextLeft"/>
              <w:rPr>
                <w:sz w:val="20"/>
                <w:szCs w:val="20"/>
              </w:rPr>
            </w:pPr>
            <w:r w:rsidRPr="000E67C8">
              <w:rPr>
                <w:sz w:val="20"/>
                <w:szCs w:val="20"/>
              </w:rPr>
              <w:t>ELM XML</w:t>
            </w:r>
          </w:p>
        </w:tc>
        <w:tc>
          <w:tcPr>
            <w:tcW w:w="3960" w:type="dxa"/>
          </w:tcPr>
          <w:p w14:paraId="616DE257" w14:textId="16DCD11E" w:rsidR="00161739" w:rsidRPr="000E67C8" w:rsidRDefault="00161739" w:rsidP="00FB080A">
            <w:pPr>
              <w:pStyle w:val="TableTextLeft"/>
              <w:rPr>
                <w:sz w:val="20"/>
                <w:szCs w:val="20"/>
              </w:rPr>
            </w:pPr>
            <w:r w:rsidRPr="000E67C8">
              <w:rPr>
                <w:rFonts w:cs="Arial"/>
                <w:sz w:val="20"/>
                <w:szCs w:val="20"/>
              </w:rPr>
              <w:t>{“</w:t>
            </w:r>
            <w:r w:rsidRPr="000E67C8">
              <w:rPr>
                <w:sz w:val="20"/>
                <w:szCs w:val="20"/>
              </w:rPr>
              <w:t>CMS</w:t>
            </w:r>
            <w:r w:rsidRPr="000E67C8">
              <w:rPr>
                <w:rFonts w:cs="Arial"/>
                <w:sz w:val="20"/>
                <w:szCs w:val="20"/>
              </w:rPr>
              <w:t xml:space="preserve">” + CMS ID </w:t>
            </w:r>
            <w:r w:rsidR="00136076">
              <w:rPr>
                <w:rFonts w:cs="Arial"/>
                <w:sz w:val="20"/>
                <w:szCs w:val="20"/>
              </w:rPr>
              <w:t>+</w:t>
            </w:r>
            <w:r w:rsidRPr="000E67C8">
              <w:rPr>
                <w:rFonts w:cs="Arial"/>
                <w:sz w:val="20"/>
                <w:szCs w:val="20"/>
              </w:rPr>
              <w:t xml:space="preserve"> shortened</w:t>
            </w:r>
            <w:r w:rsidRPr="000E67C8">
              <w:rPr>
                <w:sz w:val="20"/>
                <w:szCs w:val="20"/>
              </w:rPr>
              <w:t xml:space="preserve"> eCQM </w:t>
            </w:r>
            <w:r w:rsidRPr="000E67C8">
              <w:rPr>
                <w:rFonts w:cs="Arial"/>
                <w:sz w:val="20"/>
                <w:szCs w:val="20"/>
              </w:rPr>
              <w:t>title} – {</w:t>
            </w:r>
            <w:r w:rsidRPr="000E67C8">
              <w:rPr>
                <w:sz w:val="20"/>
                <w:szCs w:val="20"/>
              </w:rPr>
              <w:t xml:space="preserve">eCQM </w:t>
            </w:r>
            <w:r w:rsidRPr="000E67C8">
              <w:rPr>
                <w:rFonts w:cs="Arial"/>
                <w:sz w:val="20"/>
                <w:szCs w:val="20"/>
              </w:rPr>
              <w:t xml:space="preserve">full </w:t>
            </w:r>
            <w:r w:rsidRPr="000E67C8">
              <w:rPr>
                <w:sz w:val="20"/>
                <w:szCs w:val="20"/>
              </w:rPr>
              <w:t>version number</w:t>
            </w:r>
            <w:r w:rsidRPr="000E67C8">
              <w:rPr>
                <w:rFonts w:cs="Arial"/>
                <w:sz w:val="20"/>
                <w:szCs w:val="20"/>
              </w:rPr>
              <w:t>}.</w:t>
            </w:r>
            <w:r w:rsidRPr="000E67C8">
              <w:rPr>
                <w:sz w:val="20"/>
                <w:szCs w:val="20"/>
              </w:rPr>
              <w:t>xml</w:t>
            </w:r>
          </w:p>
        </w:tc>
        <w:tc>
          <w:tcPr>
            <w:tcW w:w="3510" w:type="dxa"/>
          </w:tcPr>
          <w:p w14:paraId="4F911D70" w14:textId="77777777" w:rsidR="00161739" w:rsidRPr="000E67C8" w:rsidRDefault="00161739" w:rsidP="00FB080A">
            <w:pPr>
              <w:pStyle w:val="TableTextLeft"/>
              <w:rPr>
                <w:sz w:val="20"/>
                <w:szCs w:val="20"/>
              </w:rPr>
            </w:pPr>
            <w:r w:rsidRPr="000E67C8">
              <w:rPr>
                <w:rFonts w:cs="Arial"/>
                <w:sz w:val="20"/>
                <w:szCs w:val="20"/>
              </w:rPr>
              <w:t>CMS506SafeUseofOpioids-8.</w:t>
            </w:r>
            <w:r w:rsidRPr="000E67C8">
              <w:rPr>
                <w:sz w:val="20"/>
                <w:szCs w:val="20"/>
              </w:rPr>
              <w:t>2</w:t>
            </w:r>
            <w:r w:rsidRPr="000E67C8">
              <w:rPr>
                <w:rFonts w:cs="Arial"/>
                <w:sz w:val="20"/>
                <w:szCs w:val="20"/>
              </w:rPr>
              <w:t>.</w:t>
            </w:r>
            <w:r w:rsidRPr="000E67C8">
              <w:rPr>
                <w:sz w:val="20"/>
                <w:szCs w:val="20"/>
              </w:rPr>
              <w:t xml:space="preserve">000.xml </w:t>
            </w:r>
          </w:p>
        </w:tc>
      </w:tr>
      <w:tr w:rsidR="00161739" w14:paraId="78C3E897" w14:textId="77777777" w:rsidTr="000E67C8">
        <w:trPr>
          <w:trHeight w:val="120"/>
        </w:trPr>
        <w:tc>
          <w:tcPr>
            <w:tcW w:w="1800" w:type="dxa"/>
          </w:tcPr>
          <w:p w14:paraId="1B4954B3" w14:textId="77777777" w:rsidR="00161739" w:rsidRPr="000E67C8" w:rsidRDefault="00161739" w:rsidP="00FB080A">
            <w:pPr>
              <w:pStyle w:val="TableTextLeft"/>
              <w:rPr>
                <w:sz w:val="20"/>
                <w:szCs w:val="20"/>
              </w:rPr>
            </w:pPr>
            <w:r w:rsidRPr="000E67C8">
              <w:rPr>
                <w:sz w:val="20"/>
                <w:szCs w:val="20"/>
              </w:rPr>
              <w:t>ELM JSON</w:t>
            </w:r>
          </w:p>
        </w:tc>
        <w:tc>
          <w:tcPr>
            <w:tcW w:w="3960" w:type="dxa"/>
          </w:tcPr>
          <w:p w14:paraId="67430568" w14:textId="66063C76" w:rsidR="00161739" w:rsidRPr="000E67C8" w:rsidRDefault="00161739" w:rsidP="00FB080A">
            <w:pPr>
              <w:pStyle w:val="TableTextLeft"/>
              <w:rPr>
                <w:sz w:val="20"/>
                <w:szCs w:val="20"/>
              </w:rPr>
            </w:pPr>
            <w:r w:rsidRPr="000E67C8">
              <w:rPr>
                <w:rFonts w:cs="Arial"/>
                <w:sz w:val="20"/>
                <w:szCs w:val="20"/>
              </w:rPr>
              <w:t>{“</w:t>
            </w:r>
            <w:r w:rsidRPr="000E67C8">
              <w:rPr>
                <w:sz w:val="20"/>
                <w:szCs w:val="20"/>
              </w:rPr>
              <w:t>CMS</w:t>
            </w:r>
            <w:r w:rsidRPr="000E67C8">
              <w:rPr>
                <w:rFonts w:cs="Arial"/>
                <w:sz w:val="20"/>
                <w:szCs w:val="20"/>
              </w:rPr>
              <w:t xml:space="preserve">” + CMS ID </w:t>
            </w:r>
            <w:r w:rsidR="00136076">
              <w:rPr>
                <w:rFonts w:cs="Arial"/>
                <w:sz w:val="20"/>
                <w:szCs w:val="20"/>
              </w:rPr>
              <w:t>+</w:t>
            </w:r>
            <w:r w:rsidRPr="000E67C8">
              <w:rPr>
                <w:rFonts w:cs="Arial"/>
                <w:sz w:val="20"/>
                <w:szCs w:val="20"/>
              </w:rPr>
              <w:t xml:space="preserve"> shortened</w:t>
            </w:r>
            <w:r w:rsidRPr="000E67C8">
              <w:rPr>
                <w:sz w:val="20"/>
                <w:szCs w:val="20"/>
              </w:rPr>
              <w:t xml:space="preserve"> eCQM </w:t>
            </w:r>
            <w:r w:rsidRPr="000E67C8">
              <w:rPr>
                <w:rFonts w:cs="Arial"/>
                <w:sz w:val="20"/>
                <w:szCs w:val="20"/>
              </w:rPr>
              <w:t>title} – {</w:t>
            </w:r>
            <w:r w:rsidRPr="000E67C8">
              <w:rPr>
                <w:sz w:val="20"/>
                <w:szCs w:val="20"/>
              </w:rPr>
              <w:t xml:space="preserve">eCQM </w:t>
            </w:r>
            <w:r w:rsidRPr="000E67C8">
              <w:rPr>
                <w:rFonts w:cs="Arial"/>
                <w:sz w:val="20"/>
                <w:szCs w:val="20"/>
              </w:rPr>
              <w:t xml:space="preserve">full </w:t>
            </w:r>
            <w:r w:rsidRPr="000E67C8">
              <w:rPr>
                <w:sz w:val="20"/>
                <w:szCs w:val="20"/>
              </w:rPr>
              <w:t>version number</w:t>
            </w:r>
            <w:r w:rsidRPr="000E67C8">
              <w:rPr>
                <w:rFonts w:cs="Arial"/>
                <w:sz w:val="20"/>
                <w:szCs w:val="20"/>
              </w:rPr>
              <w:t>}.</w:t>
            </w:r>
            <w:proofErr w:type="spellStart"/>
            <w:r w:rsidRPr="000E67C8">
              <w:rPr>
                <w:sz w:val="20"/>
                <w:szCs w:val="20"/>
              </w:rPr>
              <w:t>json</w:t>
            </w:r>
            <w:proofErr w:type="spellEnd"/>
          </w:p>
        </w:tc>
        <w:tc>
          <w:tcPr>
            <w:tcW w:w="3510" w:type="dxa"/>
          </w:tcPr>
          <w:p w14:paraId="11335155" w14:textId="77777777" w:rsidR="00161739" w:rsidRPr="000E67C8" w:rsidRDefault="00161739" w:rsidP="00FB080A">
            <w:pPr>
              <w:pStyle w:val="TableTextLeft"/>
              <w:rPr>
                <w:sz w:val="20"/>
                <w:szCs w:val="20"/>
              </w:rPr>
            </w:pPr>
            <w:r w:rsidRPr="000E67C8">
              <w:rPr>
                <w:rFonts w:cs="Arial"/>
                <w:sz w:val="20"/>
                <w:szCs w:val="20"/>
              </w:rPr>
              <w:t>CMS506SafeUseofOpioids-8.</w:t>
            </w:r>
            <w:r w:rsidRPr="000E67C8">
              <w:rPr>
                <w:sz w:val="20"/>
                <w:szCs w:val="20"/>
              </w:rPr>
              <w:t>2</w:t>
            </w:r>
            <w:r w:rsidRPr="000E67C8">
              <w:rPr>
                <w:rFonts w:cs="Arial"/>
                <w:sz w:val="20"/>
                <w:szCs w:val="20"/>
              </w:rPr>
              <w:t>.</w:t>
            </w:r>
            <w:r w:rsidRPr="000E67C8">
              <w:rPr>
                <w:sz w:val="20"/>
                <w:szCs w:val="20"/>
              </w:rPr>
              <w:t xml:space="preserve">000.json </w:t>
            </w:r>
          </w:p>
        </w:tc>
      </w:tr>
    </w:tbl>
    <w:p w14:paraId="4D3093EC" w14:textId="3A1EED9F" w:rsidR="00161739" w:rsidRDefault="00565600" w:rsidP="00565600">
      <w:pPr>
        <w:pStyle w:val="H2-Num"/>
      </w:pPr>
      <w:bookmarkStart w:id="180" w:name="_heading=h.2grqrue" w:colFirst="0" w:colLast="0"/>
      <w:bookmarkStart w:id="181" w:name="_Toc512504866"/>
      <w:bookmarkStart w:id="182" w:name="_Toc512870664"/>
      <w:bookmarkStart w:id="183" w:name="_Toc184039790"/>
      <w:bookmarkStart w:id="184" w:name="_Toc159575155"/>
      <w:bookmarkStart w:id="185" w:name="_Toc190852965"/>
      <w:bookmarkStart w:id="186" w:name="_Toc195047567"/>
      <w:bookmarkStart w:id="187" w:name="_Toc497871702"/>
      <w:bookmarkStart w:id="188" w:name="_Toc497872046"/>
      <w:bookmarkStart w:id="189" w:name="_Toc497872814"/>
      <w:bookmarkStart w:id="190" w:name="_Toc497872969"/>
      <w:bookmarkStart w:id="191" w:name="_Toc497873017"/>
      <w:bookmarkEnd w:id="180"/>
      <w:bookmarkEnd w:id="181"/>
      <w:bookmarkEnd w:id="182"/>
      <w:r>
        <w:t>3.2</w:t>
      </w:r>
      <w:r>
        <w:tab/>
      </w:r>
      <w:r w:rsidR="00161739">
        <w:t>Download, Extract, and Access eCQM Documents</w:t>
      </w:r>
      <w:bookmarkEnd w:id="183"/>
      <w:bookmarkEnd w:id="184"/>
      <w:bookmarkEnd w:id="185"/>
      <w:bookmarkEnd w:id="186"/>
    </w:p>
    <w:p w14:paraId="5BA7A4CB" w14:textId="77777777" w:rsidR="00161739" w:rsidRDefault="00161739" w:rsidP="00565600">
      <w:pPr>
        <w:pStyle w:val="ParagraphContinued"/>
      </w:pPr>
      <w:r>
        <w:t>Users can download and view an eCQM package in two ways:</w:t>
      </w:r>
    </w:p>
    <w:p w14:paraId="4969D457" w14:textId="77777777" w:rsidR="00161739" w:rsidRDefault="00161739" w:rsidP="00565600">
      <w:pPr>
        <w:pStyle w:val="ListBullet"/>
      </w:pPr>
      <w:r>
        <w:rPr>
          <w:szCs w:val="24"/>
        </w:rPr>
        <w:t>Download</w:t>
      </w:r>
      <w:r w:rsidRPr="001141A7">
        <w:t xml:space="preserve"> the eCQM zip file containing </w:t>
      </w:r>
      <w:r w:rsidRPr="00621C80">
        <w:rPr>
          <w:iCs/>
        </w:rPr>
        <w:t>all the eCQMs</w:t>
      </w:r>
      <w:r w:rsidRPr="001141A7">
        <w:rPr>
          <w:i/>
        </w:rPr>
        <w:t xml:space="preserve"> </w:t>
      </w:r>
      <w:r w:rsidRPr="001141A7">
        <w:t xml:space="preserve">for the relevant setting from the </w:t>
      </w:r>
      <w:r>
        <w:t xml:space="preserve">setting’s eCQM Resources tab on the </w:t>
      </w:r>
      <w:hyperlink r:id="rId63">
        <w:r>
          <w:rPr>
            <w:color w:val="0563C1"/>
            <w:szCs w:val="24"/>
            <w:u w:val="single"/>
          </w:rPr>
          <w:t>eCQI Resource Center</w:t>
        </w:r>
      </w:hyperlink>
    </w:p>
    <w:p w14:paraId="7C03EA37" w14:textId="77777777" w:rsidR="00161739" w:rsidRDefault="00161739" w:rsidP="00565600">
      <w:pPr>
        <w:pStyle w:val="ListBullet"/>
      </w:pPr>
      <w:r>
        <w:rPr>
          <w:szCs w:val="24"/>
        </w:rPr>
        <w:t>Go</w:t>
      </w:r>
      <w:r w:rsidRPr="001141A7">
        <w:t xml:space="preserve"> to the </w:t>
      </w:r>
      <w:r w:rsidRPr="001141A7">
        <w:rPr>
          <w:i/>
        </w:rPr>
        <w:t>individual</w:t>
      </w:r>
      <w:r w:rsidRPr="001141A7">
        <w:t xml:space="preserve"> web</w:t>
      </w:r>
      <w:r>
        <w:t xml:space="preserve"> </w:t>
      </w:r>
      <w:r w:rsidRPr="001141A7">
        <w:t>page associated with an eCQM on the eCQI Resource Center to view and download the specification zip file</w:t>
      </w:r>
    </w:p>
    <w:p w14:paraId="3D3D2D4D" w14:textId="1765B621" w:rsidR="00161739" w:rsidRDefault="00161739" w:rsidP="00565600">
      <w:pPr>
        <w:pStyle w:val="ParagraphContinued"/>
      </w:pPr>
      <w:r>
        <w:rPr>
          <w:b/>
        </w:rPr>
        <w:t>Note:</w:t>
      </w:r>
      <w:r>
        <w:t xml:space="preserve"> To view the XML coding, right-click to open the document with a text reader such as WordPad, Notepad, VS Code, or a third-party XML-reading software. CQL library files open in a text reader. Tools such as VS Code (with CQL </w:t>
      </w:r>
      <w:r w:rsidR="006816E6">
        <w:t xml:space="preserve">framework </w:t>
      </w:r>
      <w:r>
        <w:t>plug-in) can provide syntax highlighting of CQL.</w:t>
      </w:r>
    </w:p>
    <w:p w14:paraId="6EFFBD69" w14:textId="77777777" w:rsidR="00161739" w:rsidRDefault="00161739" w:rsidP="00565600">
      <w:pPr>
        <w:pStyle w:val="Paragraph"/>
        <w:sectPr w:rsidR="00161739" w:rsidSect="00161739">
          <w:headerReference w:type="even" r:id="rId64"/>
          <w:headerReference w:type="default" r:id="rId65"/>
          <w:headerReference w:type="first" r:id="rId66"/>
          <w:pgSz w:w="12240" w:h="15840"/>
          <w:pgMar w:top="1440" w:right="1440" w:bottom="1440" w:left="1440" w:header="504" w:footer="504" w:gutter="0"/>
          <w:cols w:space="720"/>
          <w:titlePg/>
        </w:sectPr>
      </w:pPr>
      <w:r>
        <w:t xml:space="preserve">A list of </w:t>
      </w:r>
      <w:hyperlink r:id="rId67">
        <w:r>
          <w:rPr>
            <w:color w:val="0563C1"/>
            <w:u w:val="single"/>
          </w:rPr>
          <w:t>eCQM Tools and Resources</w:t>
        </w:r>
      </w:hyperlink>
      <w:r>
        <w:t xml:space="preserve"> used in various stages of eCQM development, testing, implementation, and reporting is available on the eCQI Resource Center.</w:t>
      </w:r>
    </w:p>
    <w:p w14:paraId="64124833" w14:textId="6B412F51" w:rsidR="00161739" w:rsidRDefault="00EF5515" w:rsidP="00EF5515">
      <w:pPr>
        <w:pStyle w:val="H1-Num"/>
      </w:pPr>
      <w:bookmarkStart w:id="192" w:name="_Toc511991106"/>
      <w:bookmarkStart w:id="193" w:name="_Toc511998242"/>
      <w:bookmarkStart w:id="194" w:name="_Toc512003213"/>
      <w:bookmarkStart w:id="195" w:name="_Toc511991107"/>
      <w:bookmarkStart w:id="196" w:name="_Toc511998243"/>
      <w:bookmarkStart w:id="197" w:name="_Toc512003214"/>
      <w:bookmarkStart w:id="198" w:name="_Toc511998244"/>
      <w:bookmarkStart w:id="199" w:name="_Toc512003215"/>
      <w:bookmarkStart w:id="200" w:name="_Toc511985173"/>
      <w:bookmarkStart w:id="201" w:name="_Toc511985323"/>
      <w:bookmarkStart w:id="202" w:name="_Toc511991111"/>
      <w:bookmarkStart w:id="203" w:name="_Toc511998081"/>
      <w:bookmarkStart w:id="204" w:name="_Toc511998248"/>
      <w:bookmarkStart w:id="205" w:name="_Toc512003225"/>
      <w:bookmarkStart w:id="206" w:name="_Toc195047568"/>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r>
        <w:lastRenderedPageBreak/>
        <w:t>4.</w:t>
      </w:r>
      <w:r>
        <w:tab/>
      </w:r>
      <w:bookmarkStart w:id="207" w:name="_Toc184039791"/>
      <w:bookmarkStart w:id="208" w:name="_Toc159575156"/>
      <w:bookmarkStart w:id="209" w:name="_Toc190852966"/>
      <w:r w:rsidR="00161739">
        <w:t>Understanding an eCQM Human-Readable HTML</w:t>
      </w:r>
      <w:bookmarkEnd w:id="207"/>
      <w:bookmarkEnd w:id="208"/>
      <w:bookmarkEnd w:id="209"/>
      <w:r w:rsidR="00161739">
        <w:t xml:space="preserve"> File</w:t>
      </w:r>
      <w:bookmarkEnd w:id="206"/>
    </w:p>
    <w:p w14:paraId="2C68AB77" w14:textId="77777777" w:rsidR="00161739" w:rsidRDefault="00161739" w:rsidP="00EF5515">
      <w:pPr>
        <w:pStyle w:val="ParagraphContinued"/>
      </w:pPr>
      <w:bookmarkStart w:id="210" w:name="_heading=h.1v1yuxt" w:colFirst="0" w:colLast="0"/>
      <w:bookmarkEnd w:id="210"/>
      <w:r>
        <w:t xml:space="preserve">The eCQM human-readable format in HTML contains a header and body. </w:t>
      </w:r>
      <w:bookmarkStart w:id="211" w:name="_Toc511824896"/>
      <w:bookmarkStart w:id="212" w:name="_Toc511856717"/>
      <w:bookmarkStart w:id="213" w:name="_Toc511856846"/>
      <w:bookmarkStart w:id="214" w:name="_Toc511856978"/>
      <w:bookmarkStart w:id="215" w:name="_Toc511982827"/>
      <w:bookmarkStart w:id="216" w:name="_Toc511984727"/>
      <w:bookmarkStart w:id="217" w:name="_Toc511984876"/>
      <w:bookmarkStart w:id="218" w:name="_Toc511985025"/>
      <w:bookmarkStart w:id="219" w:name="_Toc511985175"/>
      <w:bookmarkStart w:id="220" w:name="_Toc511985325"/>
      <w:bookmarkStart w:id="221" w:name="_Toc511991113"/>
      <w:bookmarkStart w:id="222" w:name="_Toc511998083"/>
      <w:bookmarkStart w:id="223" w:name="_Toc511998250"/>
      <w:bookmarkStart w:id="224" w:name="_Toc512003227"/>
      <w:bookmarkStart w:id="225" w:name="_Toc511824897"/>
      <w:bookmarkStart w:id="226" w:name="_Toc511856718"/>
      <w:bookmarkStart w:id="227" w:name="_Toc511856847"/>
      <w:bookmarkStart w:id="228" w:name="_Toc511856979"/>
      <w:bookmarkStart w:id="229" w:name="_Toc511982828"/>
      <w:bookmarkStart w:id="230" w:name="_Toc511984728"/>
      <w:bookmarkStart w:id="231" w:name="_Toc511984877"/>
      <w:bookmarkStart w:id="232" w:name="_Toc511985026"/>
      <w:bookmarkStart w:id="233" w:name="_Toc511985176"/>
      <w:bookmarkStart w:id="234" w:name="_Toc511985326"/>
      <w:bookmarkStart w:id="235" w:name="_Toc511991114"/>
      <w:bookmarkStart w:id="236" w:name="_Toc511998084"/>
      <w:bookmarkStart w:id="237" w:name="_Toc511998251"/>
      <w:bookmarkStart w:id="238" w:name="_Toc512003228"/>
      <w:bookmarkStart w:id="239" w:name="_Toc511824899"/>
      <w:bookmarkStart w:id="240" w:name="_Toc511856720"/>
      <w:bookmarkStart w:id="241" w:name="_Toc511856849"/>
      <w:bookmarkStart w:id="242" w:name="_Toc511856981"/>
      <w:bookmarkStart w:id="243" w:name="_Toc511982830"/>
      <w:bookmarkStart w:id="244" w:name="_Toc511984730"/>
      <w:bookmarkStart w:id="245" w:name="_Toc511984879"/>
      <w:bookmarkStart w:id="246" w:name="_Toc511985028"/>
      <w:bookmarkStart w:id="247" w:name="_Toc511985178"/>
      <w:bookmarkStart w:id="248" w:name="_Toc511985328"/>
      <w:bookmarkStart w:id="249" w:name="_Toc511991116"/>
      <w:bookmarkStart w:id="250" w:name="_Toc511998086"/>
      <w:bookmarkStart w:id="251" w:name="_Toc511998253"/>
      <w:bookmarkStart w:id="252" w:name="_Toc512003230"/>
      <w:bookmarkStart w:id="253" w:name="_Toc511824900"/>
      <w:bookmarkStart w:id="254" w:name="_Toc511856721"/>
      <w:bookmarkStart w:id="255" w:name="_Toc511856850"/>
      <w:bookmarkStart w:id="256" w:name="_Toc511856982"/>
      <w:bookmarkStart w:id="257" w:name="_Toc511982831"/>
      <w:bookmarkStart w:id="258" w:name="_Toc511984731"/>
      <w:bookmarkStart w:id="259" w:name="_Toc511984880"/>
      <w:bookmarkStart w:id="260" w:name="_Toc511985029"/>
      <w:bookmarkStart w:id="261" w:name="_Toc511985179"/>
      <w:bookmarkStart w:id="262" w:name="_Toc511985329"/>
      <w:bookmarkStart w:id="263" w:name="_Toc511991117"/>
      <w:bookmarkStart w:id="264" w:name="_Toc511998087"/>
      <w:bookmarkStart w:id="265" w:name="_Toc511998254"/>
      <w:bookmarkStart w:id="266" w:name="_Toc512003231"/>
      <w:bookmarkStart w:id="267" w:name="_Toc511824902"/>
      <w:bookmarkStart w:id="268" w:name="_Toc511856723"/>
      <w:bookmarkStart w:id="269" w:name="_Toc511856852"/>
      <w:bookmarkStart w:id="270" w:name="_Toc511856984"/>
      <w:bookmarkStart w:id="271" w:name="_Toc511982833"/>
      <w:bookmarkStart w:id="272" w:name="_Toc511984733"/>
      <w:bookmarkStart w:id="273" w:name="_Toc511984882"/>
      <w:bookmarkStart w:id="274" w:name="_Toc511985031"/>
      <w:bookmarkStart w:id="275" w:name="_Toc511985181"/>
      <w:bookmarkStart w:id="276" w:name="_Toc511985331"/>
      <w:bookmarkStart w:id="277" w:name="_Toc511991119"/>
      <w:bookmarkStart w:id="278" w:name="_Toc511998089"/>
      <w:bookmarkStart w:id="279" w:name="_Toc511998256"/>
      <w:bookmarkStart w:id="280" w:name="_Toc512003233"/>
      <w:bookmarkStart w:id="281" w:name="_Toc511824903"/>
      <w:bookmarkStart w:id="282" w:name="_Toc511856724"/>
      <w:bookmarkStart w:id="283" w:name="_Toc511856853"/>
      <w:bookmarkStart w:id="284" w:name="_Toc511856985"/>
      <w:bookmarkStart w:id="285" w:name="_Toc511982834"/>
      <w:bookmarkStart w:id="286" w:name="_Toc511984734"/>
      <w:bookmarkStart w:id="287" w:name="_Toc511984883"/>
      <w:bookmarkStart w:id="288" w:name="_Toc511985032"/>
      <w:bookmarkStart w:id="289" w:name="_Toc511985182"/>
      <w:bookmarkStart w:id="290" w:name="_Toc511985332"/>
      <w:bookmarkStart w:id="291" w:name="_Toc511991120"/>
      <w:bookmarkStart w:id="292" w:name="_Toc511998090"/>
      <w:bookmarkStart w:id="293" w:name="_Toc511998257"/>
      <w:bookmarkStart w:id="294" w:name="_Toc512003234"/>
      <w:bookmarkStart w:id="295" w:name="_Toc511824906"/>
      <w:bookmarkStart w:id="296" w:name="_Toc511856727"/>
      <w:bookmarkStart w:id="297" w:name="_Toc511856856"/>
      <w:bookmarkStart w:id="298" w:name="_Toc511856988"/>
      <w:bookmarkStart w:id="299" w:name="_Toc511982837"/>
      <w:bookmarkStart w:id="300" w:name="_Toc511984737"/>
      <w:bookmarkStart w:id="301" w:name="_Toc511984886"/>
      <w:bookmarkStart w:id="302" w:name="_Toc511985035"/>
      <w:bookmarkStart w:id="303" w:name="_Toc511985185"/>
      <w:bookmarkStart w:id="304" w:name="_Toc511985335"/>
      <w:bookmarkStart w:id="305" w:name="_Toc511991123"/>
      <w:bookmarkStart w:id="306" w:name="_Toc511998093"/>
      <w:bookmarkStart w:id="307" w:name="_Toc511998260"/>
      <w:bookmarkStart w:id="308" w:name="_Toc512003237"/>
      <w:bookmarkStart w:id="309" w:name="_Toc511824909"/>
      <w:bookmarkStart w:id="310" w:name="_Toc511856730"/>
      <w:bookmarkStart w:id="311" w:name="_Toc511856859"/>
      <w:bookmarkStart w:id="312" w:name="_Toc511856991"/>
      <w:bookmarkStart w:id="313" w:name="_Toc511982840"/>
      <w:bookmarkStart w:id="314" w:name="_Toc511984740"/>
      <w:bookmarkStart w:id="315" w:name="_Toc511984889"/>
      <w:bookmarkStart w:id="316" w:name="_Toc511985038"/>
      <w:bookmarkStart w:id="317" w:name="_Toc511985188"/>
      <w:bookmarkStart w:id="318" w:name="_Toc511985338"/>
      <w:bookmarkStart w:id="319" w:name="_Toc511991126"/>
      <w:bookmarkStart w:id="320" w:name="_Toc511998096"/>
      <w:bookmarkStart w:id="321" w:name="_Toc511998263"/>
      <w:bookmarkStart w:id="322" w:name="_Toc512003240"/>
      <w:bookmarkStart w:id="323" w:name="_Toc510719480"/>
      <w:bookmarkStart w:id="324" w:name="_Toc511824911"/>
      <w:bookmarkStart w:id="325" w:name="_Toc511856732"/>
      <w:bookmarkStart w:id="326" w:name="_Toc511856861"/>
      <w:bookmarkStart w:id="327" w:name="_Toc511856993"/>
      <w:bookmarkStart w:id="328" w:name="_Toc511982842"/>
      <w:bookmarkStart w:id="329" w:name="_Toc511984742"/>
      <w:bookmarkStart w:id="330" w:name="_Toc511984891"/>
      <w:bookmarkStart w:id="331" w:name="_Toc511985040"/>
      <w:bookmarkStart w:id="332" w:name="_Toc511985190"/>
      <w:bookmarkStart w:id="333" w:name="_Toc511985340"/>
      <w:bookmarkStart w:id="334" w:name="_Toc511991128"/>
      <w:bookmarkStart w:id="335" w:name="_Toc511998098"/>
      <w:bookmarkStart w:id="336" w:name="_Toc511998265"/>
      <w:bookmarkStart w:id="337" w:name="_Toc512003242"/>
      <w:bookmarkStart w:id="338" w:name="_bookmark7"/>
      <w:bookmarkStart w:id="339" w:name="_TOC_250012"/>
      <w:bookmarkStart w:id="340" w:name="_Toc510135893"/>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p w14:paraId="4686AD07" w14:textId="6C8640F1" w:rsidR="00161739" w:rsidRDefault="006D5C73" w:rsidP="00EF5515">
      <w:pPr>
        <w:pStyle w:val="H2-Num"/>
      </w:pPr>
      <w:bookmarkStart w:id="341" w:name="_Toc184039792"/>
      <w:bookmarkStart w:id="342" w:name="_Toc159575157"/>
      <w:bookmarkStart w:id="343" w:name="_Toc190852967"/>
      <w:bookmarkStart w:id="344" w:name="_Toc195047569"/>
      <w:r>
        <w:t>4.1</w:t>
      </w:r>
      <w:r>
        <w:tab/>
      </w:r>
      <w:r w:rsidR="00161739">
        <w:t>Header</w:t>
      </w:r>
      <w:bookmarkEnd w:id="340"/>
      <w:bookmarkEnd w:id="341"/>
      <w:bookmarkEnd w:id="342"/>
      <w:bookmarkEnd w:id="343"/>
      <w:bookmarkEnd w:id="344"/>
    </w:p>
    <w:p w14:paraId="37A8B33F" w14:textId="77777777" w:rsidR="00161739" w:rsidRDefault="00161739" w:rsidP="006D5C73">
      <w:pPr>
        <w:pStyle w:val="ParagraphContinued"/>
      </w:pPr>
      <w:r>
        <w:t xml:space="preserve">The header of an eCQM provides important general information and metadata about the eCQM. </w:t>
      </w:r>
      <w:r>
        <w:rPr>
          <w:highlight w:val="white"/>
        </w:rPr>
        <w:t>It</w:t>
      </w:r>
      <w:r w:rsidRPr="001141A7">
        <w:rPr>
          <w:highlight w:val="white"/>
        </w:rPr>
        <w:t xml:space="preserve"> identifies the </w:t>
      </w:r>
      <w:proofErr w:type="spellStart"/>
      <w:r w:rsidRPr="001141A7">
        <w:rPr>
          <w:highlight w:val="white"/>
        </w:rPr>
        <w:t>eCQM’s</w:t>
      </w:r>
      <w:proofErr w:type="spellEnd"/>
      <w:r w:rsidRPr="001141A7">
        <w:rPr>
          <w:highlight w:val="white"/>
        </w:rPr>
        <w:t xml:space="preserve"> developer and steward, </w:t>
      </w:r>
      <w:r>
        <w:rPr>
          <w:highlight w:val="white"/>
        </w:rPr>
        <w:t>its measurement period</w:t>
      </w:r>
      <w:r w:rsidRPr="001141A7">
        <w:rPr>
          <w:highlight w:val="white"/>
        </w:rPr>
        <w:t xml:space="preserve">, and other details </w:t>
      </w:r>
      <w:r>
        <w:rPr>
          <w:highlight w:val="white"/>
        </w:rPr>
        <w:t>including but not limited to clinical rationale and</w:t>
      </w:r>
      <w:r w:rsidRPr="001141A7">
        <w:rPr>
          <w:highlight w:val="white"/>
        </w:rPr>
        <w:t xml:space="preserve"> measure</w:t>
      </w:r>
      <w:r>
        <w:rPr>
          <w:highlight w:val="white"/>
        </w:rPr>
        <w:t xml:space="preserve"> intent</w:t>
      </w:r>
      <w:r w:rsidRPr="001141A7">
        <w:rPr>
          <w:highlight w:val="white"/>
        </w:rPr>
        <w:t xml:space="preserve">. </w:t>
      </w:r>
      <w:hyperlink w:anchor="bookmark=id.1x0gk37">
        <w:r>
          <w:rPr>
            <w:color w:val="0563C1"/>
            <w:u w:val="single"/>
          </w:rPr>
          <w:t>Appe</w:t>
        </w:r>
        <w:r>
          <w:rPr>
            <w:color w:val="0563C1"/>
            <w:u w:val="single"/>
          </w:rPr>
          <w:t>n</w:t>
        </w:r>
        <w:r>
          <w:rPr>
            <w:color w:val="0563C1"/>
            <w:u w:val="single"/>
          </w:rPr>
          <w:t>dix A</w:t>
        </w:r>
      </w:hyperlink>
      <w:r>
        <w:rPr>
          <w:b/>
        </w:rPr>
        <w:t xml:space="preserve"> </w:t>
      </w:r>
      <w:r>
        <w:t>includes definitions of the header component and an example of an eCQM header.</w:t>
      </w:r>
    </w:p>
    <w:p w14:paraId="5DF13939" w14:textId="5E8F5121" w:rsidR="00161739" w:rsidRDefault="006D5C73" w:rsidP="006D5C73">
      <w:pPr>
        <w:pStyle w:val="H2-Num"/>
      </w:pPr>
      <w:bookmarkStart w:id="345" w:name="_Toc184039793"/>
      <w:bookmarkStart w:id="346" w:name="_Toc159575158"/>
      <w:bookmarkStart w:id="347" w:name="_Toc190852968"/>
      <w:bookmarkStart w:id="348" w:name="_Toc195047570"/>
      <w:r>
        <w:t>4.2</w:t>
      </w:r>
      <w:r>
        <w:tab/>
      </w:r>
      <w:r w:rsidR="00161739">
        <w:t>Body</w:t>
      </w:r>
      <w:bookmarkEnd w:id="345"/>
      <w:bookmarkEnd w:id="346"/>
      <w:bookmarkEnd w:id="347"/>
      <w:bookmarkEnd w:id="348"/>
    </w:p>
    <w:p w14:paraId="0A2D2889" w14:textId="6BB82CBD" w:rsidR="00161739" w:rsidRDefault="00161739" w:rsidP="006D5C73">
      <w:pPr>
        <w:pStyle w:val="ParagraphContinued"/>
      </w:pPr>
      <w:r>
        <w:t xml:space="preserve">The body is derived from the formal eCQM specification (CQL and HQMF). It is expected that the header narrative </w:t>
      </w:r>
      <w:r w:rsidR="00713FEE">
        <w:t xml:space="preserve">is consistent and aligned with </w:t>
      </w:r>
      <w:r>
        <w:t>the</w:t>
      </w:r>
      <w:r w:rsidR="00713FEE">
        <w:t xml:space="preserve"> logic in the</w:t>
      </w:r>
      <w:r>
        <w:t xml:space="preserve"> formal eCQM specification. </w:t>
      </w:r>
    </w:p>
    <w:p w14:paraId="0178C7AC" w14:textId="77777777" w:rsidR="00161739" w:rsidRDefault="00161739" w:rsidP="006D5C73">
      <w:pPr>
        <w:pStyle w:val="ListBullet"/>
      </w:pPr>
      <w:bookmarkStart w:id="349" w:name="_heading=h.19c6y18" w:colFirst="0" w:colLast="0"/>
      <w:bookmarkStart w:id="350" w:name="_Hlk511990294"/>
      <w:bookmarkStart w:id="351" w:name="_Hlk511988698"/>
      <w:bookmarkEnd w:id="349"/>
      <w:r w:rsidRPr="006D5C73">
        <w:rPr>
          <w:rStyle w:val="RunIn"/>
        </w:rPr>
        <w:t xml:space="preserve">Population criteria: </w:t>
      </w:r>
      <w:r w:rsidRPr="001141A7">
        <w:t>A representation of the CQL definitions specifying the populations for the eCQM. These CQL definitions typically include the set of characteristics for a given eCQM that could include information on specific age groups, diagnoses, procedures, encounters, and timing relationships (for example, the inclusion periods during which the procedures must have occurred). Population criteria might include the initial population, denominator, denominator exclusions, numerator, numerator exclusions, denominator exceptions, measure population, measure population exclusions, measure observation, and stratification. For definitions of these populations, please refer to Section 4.2.1.</w:t>
      </w:r>
    </w:p>
    <w:p w14:paraId="1190B1EE" w14:textId="77777777" w:rsidR="00161739" w:rsidRDefault="00161739" w:rsidP="006D5C73">
      <w:pPr>
        <w:pStyle w:val="ListBullet"/>
      </w:pPr>
      <w:r w:rsidRPr="006D5C73">
        <w:rPr>
          <w:rStyle w:val="RunIn"/>
        </w:rPr>
        <w:t xml:space="preserve">Definitions: </w:t>
      </w:r>
      <w:r w:rsidRPr="001141A7">
        <w:t xml:space="preserve">Additional CQL definitions </w:t>
      </w:r>
      <w:r>
        <w:rPr>
          <w:szCs w:val="24"/>
        </w:rPr>
        <w:t xml:space="preserve">or </w:t>
      </w:r>
      <w:r w:rsidRPr="001141A7">
        <w:t xml:space="preserve">expression logic that the population definitions might reference. A CQL definition is the basic unit of logic within the CQL library. </w:t>
      </w:r>
    </w:p>
    <w:p w14:paraId="7706C3E3" w14:textId="7926009E" w:rsidR="00161739" w:rsidRDefault="00161739" w:rsidP="006D5C73">
      <w:pPr>
        <w:pStyle w:val="ListBullet"/>
      </w:pPr>
      <w:r w:rsidRPr="006D5C73">
        <w:rPr>
          <w:rStyle w:val="RunIn"/>
        </w:rPr>
        <w:t xml:space="preserve">Functions: </w:t>
      </w:r>
      <w:r w:rsidR="00A15D94">
        <w:t>Named, reusable CQL calculations that produce a specific result and can be called from multiple parts of an eCQM</w:t>
      </w:r>
      <w:r w:rsidRPr="001141A7">
        <w:t xml:space="preserve">. </w:t>
      </w:r>
    </w:p>
    <w:p w14:paraId="5995CB4B" w14:textId="77777777" w:rsidR="00161739" w:rsidRDefault="00161739" w:rsidP="006D5C73">
      <w:pPr>
        <w:pStyle w:val="ListBullet"/>
      </w:pPr>
      <w:r w:rsidRPr="006D5C73">
        <w:rPr>
          <w:rStyle w:val="RunIn"/>
        </w:rPr>
        <w:t xml:space="preserve">Terminology: </w:t>
      </w:r>
      <w:r w:rsidRPr="001141A7">
        <w:t xml:space="preserve">A list of the value sets and </w:t>
      </w:r>
      <w:r>
        <w:t>DRCs</w:t>
      </w:r>
      <w:r w:rsidRPr="001141A7">
        <w:t xml:space="preserve"> used in the eCQM.</w:t>
      </w:r>
    </w:p>
    <w:p w14:paraId="62A4ED29" w14:textId="77777777" w:rsidR="00161739" w:rsidRDefault="00161739" w:rsidP="006D5C73">
      <w:pPr>
        <w:pStyle w:val="ListBullet"/>
      </w:pPr>
      <w:r w:rsidRPr="006D5C73">
        <w:rPr>
          <w:rStyle w:val="RunIn"/>
        </w:rPr>
        <w:t xml:space="preserve">Data criteria (QDM data elements): </w:t>
      </w:r>
      <w:r w:rsidRPr="001141A7">
        <w:t xml:space="preserve">A list containing the QDM datatypes and value set names or </w:t>
      </w:r>
      <w:r>
        <w:t>DRC</w:t>
      </w:r>
      <w:r w:rsidRPr="001141A7">
        <w:t xml:space="preserve"> descriptions used in the eCQM. These are the building blocks used to assemble the population criteria of an eCQM.</w:t>
      </w:r>
    </w:p>
    <w:p w14:paraId="6C2B33D4" w14:textId="77777777" w:rsidR="00161739" w:rsidRDefault="00161739" w:rsidP="006D5C73">
      <w:pPr>
        <w:pStyle w:val="ListBullet"/>
        <w:rPr>
          <w:color w:val="24292E"/>
          <w:szCs w:val="24"/>
        </w:rPr>
      </w:pPr>
      <w:r w:rsidRPr="006D5C73">
        <w:rPr>
          <w:rStyle w:val="RunIn"/>
        </w:rPr>
        <w:t xml:space="preserve">Supplemental data elements: </w:t>
      </w:r>
      <w:r w:rsidRPr="001141A7">
        <w:t xml:space="preserve">Specific information that EHRs or health IT </w:t>
      </w:r>
      <w:r>
        <w:rPr>
          <w:szCs w:val="24"/>
        </w:rPr>
        <w:t xml:space="preserve">systems </w:t>
      </w:r>
      <w:r w:rsidRPr="001141A7">
        <w:t>retrieve for each patient reported in the eCQM, such as race, ethnicity, payer, and sex. Measure developers may also specify</w:t>
      </w:r>
      <w:r>
        <w:rPr>
          <w:szCs w:val="24"/>
        </w:rPr>
        <w:t xml:space="preserve"> additional</w:t>
      </w:r>
      <w:r w:rsidRPr="001141A7">
        <w:t xml:space="preserve"> supplemental data elements to request data for risk adjustment or population health analytics.</w:t>
      </w:r>
    </w:p>
    <w:p w14:paraId="50704879" w14:textId="12600849" w:rsidR="00161739" w:rsidRDefault="00161739" w:rsidP="006D5C73">
      <w:pPr>
        <w:pStyle w:val="ListBullet"/>
      </w:pPr>
      <w:r w:rsidRPr="006D5C73">
        <w:rPr>
          <w:rStyle w:val="RunIn"/>
        </w:rPr>
        <w:t xml:space="preserve">Risk adjustment variables: </w:t>
      </w:r>
      <w:r w:rsidRPr="001141A7">
        <w:t>Outcome eCQMs</w:t>
      </w:r>
      <w:r w:rsidR="00707CA8">
        <w:t xml:space="preserve"> </w:t>
      </w:r>
      <w:r w:rsidR="00707CA8" w:rsidRPr="00707CA8">
        <w:t>evaluate the results of care experienced by patients rather than the processes or actions taken by clinicians.</w:t>
      </w:r>
      <w:r w:rsidR="00707CA8">
        <w:t xml:space="preserve"> Therefore, outcome eCQMs</w:t>
      </w:r>
      <w:r w:rsidRPr="001141A7">
        <w:t xml:space="preserve"> might require risk adjustment to account for the complexity of patient conditions that could affect the ability to achieve outcomes. Measure developers specify risk adjustment variables to identify these patients. Statistical models may also use the variables to revise eCQM scores based on these patient characteristics.</w:t>
      </w:r>
    </w:p>
    <w:p w14:paraId="7E99188E" w14:textId="15C2C942" w:rsidR="00161739" w:rsidRDefault="006D5C73" w:rsidP="006D5C73">
      <w:pPr>
        <w:pStyle w:val="H3-Num"/>
      </w:pPr>
      <w:bookmarkStart w:id="352" w:name="_Toc64991086"/>
      <w:bookmarkStart w:id="353" w:name="_Population_Criteria_and"/>
      <w:bookmarkStart w:id="354" w:name="_Toc184039794"/>
      <w:bookmarkStart w:id="355" w:name="_Toc159575159"/>
      <w:bookmarkStart w:id="356" w:name="_Toc190852969"/>
      <w:bookmarkStart w:id="357" w:name="_Toc195047571"/>
      <w:bookmarkEnd w:id="350"/>
      <w:bookmarkEnd w:id="351"/>
      <w:bookmarkEnd w:id="352"/>
      <w:bookmarkEnd w:id="353"/>
      <w:r>
        <w:lastRenderedPageBreak/>
        <w:t>4.2.1</w:t>
      </w:r>
      <w:r>
        <w:tab/>
      </w:r>
      <w:r w:rsidR="00161739">
        <w:t>Population Criteria and Definitions</w:t>
      </w:r>
      <w:bookmarkEnd w:id="354"/>
      <w:bookmarkEnd w:id="355"/>
      <w:bookmarkEnd w:id="356"/>
      <w:bookmarkEnd w:id="357"/>
    </w:p>
    <w:p w14:paraId="524FEE2E" w14:textId="77777777" w:rsidR="00161739" w:rsidRDefault="00161739" w:rsidP="006D5C73">
      <w:pPr>
        <w:pStyle w:val="ParagraphContinued"/>
      </w:pPr>
      <w:r>
        <w:t xml:space="preserve">Population criteria represent eCQM characteristics for a measure, such as information on specific age groups, diagnoses, procedures, medications, and timing relationships. Population criteria consist of definitions. These concepts are described in the definition section within the human-readable format of the eCQM. </w:t>
      </w:r>
    </w:p>
    <w:p w14:paraId="5F713872" w14:textId="4FB6B6FE" w:rsidR="00161739" w:rsidRDefault="00161739" w:rsidP="006D5C73">
      <w:pPr>
        <w:pStyle w:val="Paragraph"/>
      </w:pPr>
      <w:r>
        <w:t xml:space="preserve">Populations by measure category (that is, ratio, proportion, and continuous variable) vary. More information on each measure category’s required and permitted populations is available on the </w:t>
      </w:r>
      <w:hyperlink r:id="rId68" w:history="1">
        <w:r w:rsidR="00476128">
          <w:rPr>
            <w:rStyle w:val="Hyperlink"/>
          </w:rPr>
          <w:t>MMS Hub Measure Specification Page</w:t>
        </w:r>
      </w:hyperlink>
      <w:r w:rsidR="00476128">
        <w:t xml:space="preserve"> under the </w:t>
      </w:r>
      <w:r w:rsidR="00A66679">
        <w:t>Specifications by Measure Category tab</w:t>
      </w:r>
      <w:r>
        <w:t>.</w:t>
      </w:r>
    </w:p>
    <w:p w14:paraId="158F502C" w14:textId="77777777" w:rsidR="00161739" w:rsidRDefault="00161739" w:rsidP="006D5C73">
      <w:pPr>
        <w:pStyle w:val="Paragraph"/>
      </w:pPr>
      <w:r>
        <w:t>A measure may define the following populations:</w:t>
      </w:r>
      <w:r w:rsidRPr="001141A7">
        <w:rPr>
          <w:vertAlign w:val="superscript"/>
        </w:rPr>
        <w:footnoteReference w:id="8"/>
      </w:r>
      <w:r>
        <w:t xml:space="preserve"> </w:t>
      </w:r>
    </w:p>
    <w:p w14:paraId="36036AE5" w14:textId="68E3E452" w:rsidR="00161739" w:rsidRDefault="00161739" w:rsidP="006D5C73">
      <w:pPr>
        <w:pStyle w:val="ListBullet"/>
      </w:pPr>
      <w:r w:rsidRPr="006D5C73">
        <w:rPr>
          <w:rStyle w:val="RunIn"/>
        </w:rPr>
        <w:t xml:space="preserve">Initial population (IP): </w:t>
      </w:r>
      <w:r w:rsidR="00327837" w:rsidRPr="005F7859">
        <w:t xml:space="preserve">The starting group of patients or care episodes </w:t>
      </w:r>
      <w:r w:rsidR="00327837" w:rsidRPr="006B3BA1">
        <w:t>eligible for inclusion in a measure before denominator</w:t>
      </w:r>
      <w:r w:rsidR="00327837">
        <w:t>,</w:t>
      </w:r>
      <w:r w:rsidR="00327837" w:rsidRPr="006B3BA1">
        <w:t xml:space="preserve"> numerator</w:t>
      </w:r>
      <w:r w:rsidR="00327837">
        <w:t>, or measure population</w:t>
      </w:r>
      <w:r w:rsidR="00327837" w:rsidRPr="006B3BA1">
        <w:t xml:space="preserve"> criteria are applied. It establishes the scope of evaluation based on characteristics such as age, diagnoses, procedures, or encounter types occurring during the measurement period. </w:t>
      </w:r>
      <w:r w:rsidR="003A6388">
        <w:rPr>
          <w:rStyle w:val="RunIn"/>
          <w:b w:val="0"/>
          <w:bCs/>
        </w:rPr>
        <w:t xml:space="preserve"> </w:t>
      </w:r>
      <w:r w:rsidR="00360A23" w:rsidRPr="00360A23">
        <w:rPr>
          <w:rStyle w:val="RunIn"/>
        </w:rPr>
        <w:t xml:space="preserve"> </w:t>
      </w:r>
    </w:p>
    <w:p w14:paraId="3C28B4E6" w14:textId="69103B3D" w:rsidR="00161739" w:rsidRDefault="00161739" w:rsidP="006D5C73">
      <w:pPr>
        <w:pStyle w:val="ListBullet"/>
      </w:pPr>
      <w:r w:rsidRPr="006D5C73">
        <w:rPr>
          <w:rStyle w:val="RunIn"/>
        </w:rPr>
        <w:t xml:space="preserve">Denominator (DENOM): </w:t>
      </w:r>
      <w:r w:rsidR="003A6388">
        <w:t>T</w:t>
      </w:r>
      <w:r w:rsidR="003A6388" w:rsidRPr="005F7859">
        <w:t xml:space="preserve">he group of patients or episodes used as the </w:t>
      </w:r>
      <w:r w:rsidR="003A6388">
        <w:t>lower</w:t>
      </w:r>
      <w:r w:rsidR="003A6388" w:rsidRPr="005F7859">
        <w:t xml:space="preserve"> part of the </w:t>
      </w:r>
      <w:r w:rsidR="003A6388">
        <w:t xml:space="preserve">fraction for </w:t>
      </w:r>
      <w:r w:rsidR="003A6388" w:rsidRPr="005F7859">
        <w:t>rate calculation. It may be the same as the initial population or a smaller subset, depending on the specific goals of the measure.</w:t>
      </w:r>
      <w:r w:rsidR="00791F6C" w:rsidRPr="00C603B4">
        <w:rPr>
          <w:rStyle w:val="RunIn"/>
          <w:b w:val="0"/>
          <w:bCs/>
        </w:rPr>
        <w:t xml:space="preserve"> For continuous variable measures, there is no denominator; instead, a measure population is defined. </w:t>
      </w:r>
    </w:p>
    <w:p w14:paraId="00B0B001" w14:textId="7B16B573" w:rsidR="00161739" w:rsidRDefault="00161739" w:rsidP="006D5C73">
      <w:pPr>
        <w:pStyle w:val="ListBullet"/>
      </w:pPr>
      <w:r w:rsidRPr="006D5C73">
        <w:rPr>
          <w:rStyle w:val="RunIn"/>
        </w:rPr>
        <w:t xml:space="preserve">Denominator exclusions (DENEX): </w:t>
      </w:r>
      <w:r w:rsidR="003A6388">
        <w:t>The group of patients or episodes that should be removed from the denominator</w:t>
      </w:r>
      <w:r w:rsidR="00791F6C" w:rsidRPr="00791F6C">
        <w:t xml:space="preserve"> before assessing numerator criteria in proportion measures. These exclusions identify cases for which the measure’s clinical intent does not apply or where inclusion would be inappropriate. In ratio measures, since the numerator and denominator are distinct populations, patients or episodes meeting denominator exclusion criteria are removed only from the denomina</w:t>
      </w:r>
      <w:r w:rsidR="00791F6C">
        <w:t>tor.</w:t>
      </w:r>
    </w:p>
    <w:p w14:paraId="155CBEAD" w14:textId="25ED7505" w:rsidR="00161739" w:rsidRDefault="00161739" w:rsidP="006D5C73">
      <w:pPr>
        <w:pStyle w:val="ListBullet"/>
      </w:pPr>
      <w:r w:rsidRPr="006D5C73">
        <w:rPr>
          <w:rStyle w:val="RunIn"/>
        </w:rPr>
        <w:t xml:space="preserve">Numerator (NUMER): </w:t>
      </w:r>
      <w:r w:rsidR="00AB32F2">
        <w:t>The group of patients or episodes that meet the measure’s quality criterion, such as receiving a specific treatment or experiencing a defined outcome,</w:t>
      </w:r>
      <w:r w:rsidR="00791F6C" w:rsidRPr="00791F6C">
        <w:t xml:space="preserve"> used to calculate a rate, proportion, or ratio. It represents the processes or outcomes of interest for each patient, procedure, or other unit identified in the denominator (for proportion measures) or in the initial population (for ratio measures). The numerator </w:t>
      </w:r>
      <w:r w:rsidR="003A6388">
        <w:t>describes the clinical action or outcome being measured.</w:t>
      </w:r>
    </w:p>
    <w:p w14:paraId="706A03C1" w14:textId="53FDA374" w:rsidR="005F0186" w:rsidRPr="007B710C" w:rsidRDefault="00161739" w:rsidP="006D5C73">
      <w:pPr>
        <w:pStyle w:val="ListBullet"/>
        <w:rPr>
          <w:rStyle w:val="RunIn"/>
          <w:b w:val="0"/>
          <w:color w:val="auto"/>
        </w:rPr>
      </w:pPr>
      <w:r w:rsidRPr="006D5C73">
        <w:rPr>
          <w:rStyle w:val="RunIn"/>
        </w:rPr>
        <w:t xml:space="preserve">Denominator exceptions (DEXCEP): </w:t>
      </w:r>
      <w:r w:rsidR="00256258" w:rsidRPr="00E40441">
        <w:rPr>
          <w:rStyle w:val="RunIn"/>
          <w:b w:val="0"/>
          <w:bCs/>
        </w:rPr>
        <w:t>The group of patients or episodes that should be removed from the denominator only if they did not meet the numerator criteria and had a valid reason for not meeting the numerator criteria. Used only in proportion measures, these exceptions reflect clinical judgement when care was considered but not provided for an appropriate reason.</w:t>
      </w:r>
      <w:r w:rsidR="00256258" w:rsidRPr="00256258">
        <w:rPr>
          <w:rStyle w:val="RunIn"/>
        </w:rPr>
        <w:t xml:space="preserve"> </w:t>
      </w:r>
      <w:r w:rsidR="005F0186">
        <w:rPr>
          <w:rStyle w:val="RunIn"/>
          <w:b w:val="0"/>
          <w:bCs/>
        </w:rPr>
        <w:t>Valid reasons include:</w:t>
      </w:r>
    </w:p>
    <w:p w14:paraId="5B3D3BBE" w14:textId="10BE6112" w:rsidR="005F0186" w:rsidRDefault="005F0186" w:rsidP="007B710C">
      <w:pPr>
        <w:pStyle w:val="ListBullet"/>
        <w:numPr>
          <w:ilvl w:val="0"/>
          <w:numId w:val="60"/>
        </w:numPr>
        <w:rPr>
          <w:rStyle w:val="RunIn"/>
          <w:b w:val="0"/>
          <w:bCs/>
        </w:rPr>
      </w:pPr>
      <w:r>
        <w:rPr>
          <w:rStyle w:val="RunIn"/>
          <w:b w:val="0"/>
          <w:bCs/>
        </w:rPr>
        <w:t>Me</w:t>
      </w:r>
      <w:r w:rsidR="00791F6C" w:rsidRPr="007B710C">
        <w:rPr>
          <w:rStyle w:val="RunIn"/>
          <w:b w:val="0"/>
          <w:bCs/>
        </w:rPr>
        <w:t>dical</w:t>
      </w:r>
      <w:r>
        <w:rPr>
          <w:rStyle w:val="RunIn"/>
          <w:b w:val="0"/>
          <w:bCs/>
        </w:rPr>
        <w:t xml:space="preserve"> (e.g., allergy or contraindication)</w:t>
      </w:r>
    </w:p>
    <w:p w14:paraId="354AC6EE" w14:textId="6C95EF98" w:rsidR="005F0186" w:rsidRPr="007B710C" w:rsidRDefault="005F0186" w:rsidP="005F0186">
      <w:pPr>
        <w:pStyle w:val="ListBullet"/>
        <w:numPr>
          <w:ilvl w:val="0"/>
          <w:numId w:val="60"/>
        </w:numPr>
        <w:rPr>
          <w:rStyle w:val="RunIn"/>
          <w:b w:val="0"/>
          <w:color w:val="auto"/>
        </w:rPr>
      </w:pPr>
      <w:r>
        <w:rPr>
          <w:rStyle w:val="RunIn"/>
          <w:b w:val="0"/>
          <w:bCs/>
        </w:rPr>
        <w:t>Patient (e.g., refusal)</w:t>
      </w:r>
    </w:p>
    <w:p w14:paraId="2B877E32" w14:textId="067D1D19" w:rsidR="005F0186" w:rsidRPr="007B710C" w:rsidRDefault="005F0186" w:rsidP="007B710C">
      <w:pPr>
        <w:pStyle w:val="ListBullet"/>
        <w:numPr>
          <w:ilvl w:val="0"/>
          <w:numId w:val="60"/>
        </w:numPr>
        <w:rPr>
          <w:rStyle w:val="RunIn"/>
          <w:b w:val="0"/>
          <w:color w:val="auto"/>
        </w:rPr>
      </w:pPr>
      <w:r>
        <w:rPr>
          <w:rStyle w:val="RunIn"/>
          <w:b w:val="0"/>
          <w:bCs/>
        </w:rPr>
        <w:t>System (e.g., unavailable services</w:t>
      </w:r>
    </w:p>
    <w:p w14:paraId="220BC20D" w14:textId="4A6A56A1" w:rsidR="00161739" w:rsidRDefault="005F0186" w:rsidP="007B710C">
      <w:pPr>
        <w:pStyle w:val="ListBullet"/>
        <w:numPr>
          <w:ilvl w:val="0"/>
          <w:numId w:val="0"/>
        </w:numPr>
        <w:ind w:left="720"/>
      </w:pPr>
      <w:bookmarkStart w:id="358" w:name="_Hlk214286223"/>
      <w:r>
        <w:rPr>
          <w:rStyle w:val="RunIn"/>
          <w:b w:val="0"/>
          <w:bCs/>
        </w:rPr>
        <w:lastRenderedPageBreak/>
        <w:t>These exceptions prevent unfair scoring when care was</w:t>
      </w:r>
      <w:r w:rsidR="00256258">
        <w:rPr>
          <w:rStyle w:val="RunIn"/>
          <w:b w:val="0"/>
          <w:bCs/>
        </w:rPr>
        <w:t xml:space="preserve"> no</w:t>
      </w:r>
      <w:r>
        <w:rPr>
          <w:rStyle w:val="RunIn"/>
          <w:b w:val="0"/>
          <w:bCs/>
        </w:rPr>
        <w:t>t provided for acceptable reasons.</w:t>
      </w:r>
      <w:bookmarkEnd w:id="358"/>
      <w:r>
        <w:rPr>
          <w:rStyle w:val="RunIn"/>
          <w:b w:val="0"/>
          <w:bCs/>
        </w:rPr>
        <w:t xml:space="preserve"> </w:t>
      </w:r>
      <w:r w:rsidR="00791F6C" w:rsidRPr="007B710C">
        <w:rPr>
          <w:rStyle w:val="RunIn"/>
          <w:b w:val="0"/>
          <w:bCs/>
        </w:rPr>
        <w:t xml:space="preserve">Denominator exceptions apply only to proportion measures, and reporting may require documenting the number of patients or episodes with valid exceptions. </w:t>
      </w:r>
    </w:p>
    <w:p w14:paraId="38202B7A" w14:textId="551A12FE" w:rsidR="00161739" w:rsidRDefault="00161739" w:rsidP="006D5C73">
      <w:pPr>
        <w:pStyle w:val="ListBullet"/>
      </w:pPr>
      <w:r w:rsidRPr="006D5C73">
        <w:rPr>
          <w:rStyle w:val="RunIn"/>
        </w:rPr>
        <w:t xml:space="preserve">Numerator exclusions (NUMEX): </w:t>
      </w:r>
      <w:r w:rsidR="00256258" w:rsidRPr="00E40441">
        <w:rPr>
          <w:rStyle w:val="RunIn"/>
          <w:b w:val="0"/>
          <w:bCs/>
        </w:rPr>
        <w:t>The group of patients or episodes that meet the numerator criteria but should be removed due to specific exclusion rules defined in the measure. Used only in proportion and ratio measures.</w:t>
      </w:r>
    </w:p>
    <w:p w14:paraId="4530B2BC" w14:textId="409164D5" w:rsidR="00161739" w:rsidRDefault="00161739" w:rsidP="006D5C73">
      <w:pPr>
        <w:pStyle w:val="ListBullet"/>
      </w:pPr>
      <w:r w:rsidRPr="006D5C73">
        <w:rPr>
          <w:rStyle w:val="RunIn"/>
        </w:rPr>
        <w:t xml:space="preserve">Measure population (MSRPOPL): </w:t>
      </w:r>
      <w:r w:rsidR="00791F6C" w:rsidRPr="007B710C">
        <w:rPr>
          <w:rStyle w:val="RunIn"/>
          <w:b w:val="0"/>
          <w:bCs/>
        </w:rPr>
        <w:t xml:space="preserve">In continuous variable measures, the measure population defines </w:t>
      </w:r>
      <w:r w:rsidR="005F0186">
        <w:t>the</w:t>
      </w:r>
      <w:r w:rsidR="005F0186" w:rsidRPr="00474BD8">
        <w:t xml:space="preserve"> group of patients or episodes from the initial population that qualify to be assessed by the measure. This may be the same as t</w:t>
      </w:r>
      <w:r w:rsidR="005F0186">
        <w:t>h</w:t>
      </w:r>
      <w:r w:rsidR="005F0186" w:rsidRPr="00474BD8">
        <w:t>e initial population or a smaller subset, depending on the specific goals of the measure</w:t>
      </w:r>
      <w:r w:rsidR="005F0186">
        <w:t xml:space="preserve"> </w:t>
      </w:r>
      <w:r w:rsidR="00791F6C" w:rsidRPr="007B710C">
        <w:rPr>
          <w:rStyle w:val="RunIn"/>
          <w:b w:val="0"/>
          <w:bCs/>
        </w:rPr>
        <w:t>—for example, all patients seen in the emergency department during the measurement period.</w:t>
      </w:r>
      <w:r w:rsidR="00791F6C" w:rsidRPr="00791F6C">
        <w:rPr>
          <w:rStyle w:val="RunIn"/>
        </w:rPr>
        <w:t xml:space="preserve"> </w:t>
      </w:r>
    </w:p>
    <w:p w14:paraId="7845BC7F" w14:textId="45E57BC1" w:rsidR="00161739" w:rsidRDefault="00161739" w:rsidP="005F0186">
      <w:pPr>
        <w:pStyle w:val="ListBullet"/>
      </w:pPr>
      <w:r w:rsidRPr="006D5C73">
        <w:rPr>
          <w:rStyle w:val="RunIn"/>
        </w:rPr>
        <w:t xml:space="preserve">Measure population exclusions (MSRPOPLEX): </w:t>
      </w:r>
      <w:r w:rsidR="00791F6C" w:rsidRPr="007B710C">
        <w:rPr>
          <w:rStyle w:val="RunIn"/>
          <w:b w:val="0"/>
          <w:bCs/>
        </w:rPr>
        <w:t xml:space="preserve">In continuous variable measures, a measure population exclusion is </w:t>
      </w:r>
      <w:r w:rsidR="005F0186">
        <w:rPr>
          <w:rStyle w:val="RunIn"/>
          <w:b w:val="0"/>
          <w:bCs/>
        </w:rPr>
        <w:t>t</w:t>
      </w:r>
      <w:r w:rsidR="005F0186" w:rsidRPr="007C3272">
        <w:rPr>
          <w:rStyle w:val="RunIn"/>
          <w:b w:val="0"/>
          <w:bCs/>
        </w:rPr>
        <w:t>he group of patients or episodes that should be removed from the measure population before calculating the measure observations</w:t>
      </w:r>
      <w:r w:rsidR="005F0186">
        <w:rPr>
          <w:rStyle w:val="RunIn"/>
          <w:b w:val="0"/>
          <w:bCs/>
        </w:rPr>
        <w:t>.</w:t>
      </w:r>
    </w:p>
    <w:p w14:paraId="265D4B0D" w14:textId="332F298A" w:rsidR="00161739" w:rsidRDefault="00161739" w:rsidP="006D5C73">
      <w:pPr>
        <w:pStyle w:val="ListBullet"/>
      </w:pPr>
      <w:bookmarkStart w:id="359" w:name="_heading=h.28h4qwu" w:colFirst="0" w:colLast="0"/>
      <w:bookmarkEnd w:id="359"/>
      <w:r w:rsidRPr="006D5C73">
        <w:rPr>
          <w:rStyle w:val="RunIn"/>
        </w:rPr>
        <w:t>Measure observations</w:t>
      </w:r>
      <w:bookmarkStart w:id="360" w:name="_Hlk58482591"/>
      <w:r w:rsidRPr="006D5C73">
        <w:rPr>
          <w:rStyle w:val="RunIn"/>
        </w:rPr>
        <w:t xml:space="preserve">: </w:t>
      </w:r>
      <w:r w:rsidR="00791F6C" w:rsidRPr="007B710C">
        <w:rPr>
          <w:rStyle w:val="RunIn"/>
          <w:b w:val="0"/>
          <w:bCs/>
        </w:rPr>
        <w:t>In ratio and continuous variable measures, measure observations define how performance is evaluated—for example, by summing denominator-eligible hospitalization days during the measurement period. In ratio measures, observations may relate to the denominator (denominator observations) or the numerator (numerator observations)</w:t>
      </w:r>
      <w:r w:rsidR="00791F6C" w:rsidRPr="00791F6C">
        <w:rPr>
          <w:rStyle w:val="RunIn"/>
        </w:rPr>
        <w:t xml:space="preserve"> </w:t>
      </w:r>
      <w:bookmarkStart w:id="361" w:name="_Toc490026795"/>
      <w:bookmarkEnd w:id="360"/>
      <w:bookmarkEnd w:id="187"/>
      <w:bookmarkEnd w:id="188"/>
      <w:bookmarkEnd w:id="189"/>
      <w:bookmarkEnd w:id="190"/>
      <w:bookmarkEnd w:id="191"/>
    </w:p>
    <w:p w14:paraId="1230959D" w14:textId="4B5F7C9A" w:rsidR="00161739" w:rsidRPr="001141A7" w:rsidRDefault="00161739" w:rsidP="006D5C73">
      <w:pPr>
        <w:pStyle w:val="ParagraphContinued"/>
        <w:rPr>
          <w:color w:val="000000"/>
        </w:rPr>
      </w:pPr>
      <w:r w:rsidRPr="001141A7">
        <w:rPr>
          <w:color w:val="000000"/>
        </w:rPr>
        <w:t>For example, Figure 4.1 defines the initial population of</w:t>
      </w:r>
      <w:r w:rsidRPr="00520FE8">
        <w:t xml:space="preserve"> </w:t>
      </w:r>
      <w:hyperlink r:id="rId69" w:history="1">
        <w:r w:rsidRPr="00520FE8">
          <w:rPr>
            <w:rStyle w:val="Hyperlink"/>
            <w:szCs w:val="24"/>
          </w:rPr>
          <w:t>CMS122v1</w:t>
        </w:r>
        <w:r w:rsidR="00520FE8" w:rsidRPr="00520FE8">
          <w:rPr>
            <w:rStyle w:val="Hyperlink"/>
            <w:szCs w:val="24"/>
          </w:rPr>
          <w:t>4</w:t>
        </w:r>
        <w:r w:rsidRPr="00520FE8">
          <w:rPr>
            <w:rStyle w:val="Hyperlink"/>
          </w:rPr>
          <w:t xml:space="preserve">, Diabetes: </w:t>
        </w:r>
        <w:r w:rsidRPr="00520FE8">
          <w:rPr>
            <w:rStyle w:val="Hyperlink"/>
            <w:szCs w:val="24"/>
          </w:rPr>
          <w:t>Glycemic Status Assessment Greater Than</w:t>
        </w:r>
        <w:r w:rsidRPr="00520FE8">
          <w:rPr>
            <w:rStyle w:val="Hyperlink"/>
          </w:rPr>
          <w:t xml:space="preserve"> 9</w:t>
        </w:r>
        <w:r w:rsidRPr="00520FE8">
          <w:rPr>
            <w:rStyle w:val="Hyperlink"/>
            <w:szCs w:val="24"/>
          </w:rPr>
          <w:t>%</w:t>
        </w:r>
      </w:hyperlink>
      <w:r>
        <w:rPr>
          <w:color w:val="000000"/>
          <w:szCs w:val="24"/>
        </w:rPr>
        <w:t>:</w:t>
      </w:r>
    </w:p>
    <w:p w14:paraId="6CE86A0B" w14:textId="77777777" w:rsidR="00161739" w:rsidRDefault="00161739" w:rsidP="006D5C73">
      <w:pPr>
        <w:pStyle w:val="ListBullet"/>
      </w:pPr>
      <w:r w:rsidRPr="001141A7">
        <w:t>Patients 18 to 75 years of age by the end of the measurement period with a visit during the measurement period</w:t>
      </w:r>
    </w:p>
    <w:p w14:paraId="57673EFA" w14:textId="3AC7F8B5" w:rsidR="0005077E" w:rsidRPr="001141A7" w:rsidRDefault="0005077E" w:rsidP="006D5C73">
      <w:pPr>
        <w:pStyle w:val="ListBullet"/>
      </w:pPr>
      <w:r>
        <w:t>Patients who have an active diabetes diagnosis during the measurement period.</w:t>
      </w:r>
    </w:p>
    <w:p w14:paraId="4AED5C85" w14:textId="02DEB61E" w:rsidR="00161739" w:rsidRDefault="00161739" w:rsidP="00110E29">
      <w:pPr>
        <w:pStyle w:val="FigureTitle"/>
        <w:rPr>
          <w:rFonts w:cs="Arial Narrow"/>
          <w:szCs w:val="24"/>
        </w:rPr>
      </w:pPr>
      <w:bookmarkStart w:id="362" w:name="_heading=h.nmf14n" w:colFirst="0" w:colLast="0"/>
      <w:bookmarkStart w:id="363" w:name="_Ref512867160"/>
      <w:bookmarkStart w:id="364" w:name="_Toc159577874"/>
      <w:bookmarkStart w:id="365" w:name="_Toc195047210"/>
      <w:bookmarkEnd w:id="362"/>
      <w:r w:rsidRPr="001141A7">
        <w:t xml:space="preserve">Figure </w:t>
      </w:r>
      <w:bookmarkEnd w:id="363"/>
      <w:r w:rsidRPr="001141A7">
        <w:t xml:space="preserve">4.1. Initial Population Criteria in </w:t>
      </w:r>
      <w:bookmarkEnd w:id="364"/>
      <w:r>
        <w:rPr>
          <w:rFonts w:cs="Arial Narrow"/>
          <w:szCs w:val="24"/>
        </w:rPr>
        <w:t>CMS122v1</w:t>
      </w:r>
      <w:bookmarkEnd w:id="365"/>
      <w:r w:rsidR="00D718D1">
        <w:rPr>
          <w:rFonts w:cs="Arial Narrow"/>
          <w:szCs w:val="24"/>
        </w:rPr>
        <w:t>4</w:t>
      </w:r>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110E29" w14:paraId="6752DC91" w14:textId="77777777" w:rsidTr="00BA3DF1">
        <w:tc>
          <w:tcPr>
            <w:tcW w:w="5000" w:type="pct"/>
            <w:shd w:val="clear" w:color="auto" w:fill="auto"/>
          </w:tcPr>
          <w:p w14:paraId="3997230E" w14:textId="77777777" w:rsidR="00110E29" w:rsidRDefault="00110E29" w:rsidP="00110E29">
            <w:pPr>
              <w:pStyle w:val="FigureHeader"/>
            </w:pPr>
            <w:bookmarkStart w:id="366" w:name="_Toc122611880"/>
            <w:r w:rsidRPr="005E64B8">
              <w:rPr>
                <w:rFonts w:ascii="Cambria Math" w:hAnsi="Cambria Math"/>
              </w:rPr>
              <w:t>◢</w:t>
            </w:r>
            <w:r>
              <w:rPr>
                <w:rFonts w:ascii="Cambria Math" w:hAnsi="Cambria Math"/>
              </w:rPr>
              <w:t xml:space="preserve"> </w:t>
            </w:r>
            <w:r>
              <w:t>Initial Population</w:t>
            </w:r>
            <w:bookmarkEnd w:id="366"/>
          </w:p>
          <w:p w14:paraId="01F0EC6D" w14:textId="173DD42C" w:rsidR="00110E29" w:rsidRPr="00621D97" w:rsidRDefault="00110E29" w:rsidP="00BF28B2">
            <w:pPr>
              <w:pStyle w:val="Figure"/>
              <w:ind w:left="750"/>
              <w:rPr>
                <w:sz w:val="17"/>
                <w:szCs w:val="17"/>
              </w:rPr>
            </w:pPr>
            <w:proofErr w:type="spellStart"/>
            <w:proofErr w:type="gramStart"/>
            <w:r w:rsidRPr="00621D97">
              <w:rPr>
                <w:sz w:val="17"/>
                <w:szCs w:val="17"/>
              </w:rPr>
              <w:t>AgeInYearsAt</w:t>
            </w:r>
            <w:proofErr w:type="spellEnd"/>
            <w:r w:rsidRPr="00621D97">
              <w:rPr>
                <w:sz w:val="17"/>
                <w:szCs w:val="17"/>
              </w:rPr>
              <w:t>(</w:t>
            </w:r>
            <w:proofErr w:type="gramEnd"/>
            <w:r w:rsidRPr="00621D97">
              <w:rPr>
                <w:sz w:val="17"/>
                <w:szCs w:val="17"/>
              </w:rPr>
              <w:t>date from end of "Measurement Period")</w:t>
            </w:r>
            <w:r w:rsidR="00D718D1">
              <w:rPr>
                <w:sz w:val="17"/>
                <w:szCs w:val="17"/>
              </w:rPr>
              <w:t xml:space="preserve"> </w:t>
            </w:r>
            <w:r w:rsidRPr="00621D97">
              <w:rPr>
                <w:sz w:val="17"/>
                <w:szCs w:val="17"/>
              </w:rPr>
              <w:t xml:space="preserve">in </w:t>
            </w:r>
            <w:proofErr w:type="gramStart"/>
            <w:r w:rsidRPr="00621D97">
              <w:rPr>
                <w:sz w:val="17"/>
                <w:szCs w:val="17"/>
              </w:rPr>
              <w:t>Interval[</w:t>
            </w:r>
            <w:proofErr w:type="gramEnd"/>
            <w:r w:rsidRPr="00621D97">
              <w:rPr>
                <w:sz w:val="17"/>
                <w:szCs w:val="17"/>
              </w:rPr>
              <w:t>18, 75]</w:t>
            </w:r>
          </w:p>
          <w:p w14:paraId="12AACC7F" w14:textId="77777777" w:rsidR="00110E29" w:rsidRPr="00621D97" w:rsidRDefault="00110E29" w:rsidP="00110E29">
            <w:pPr>
              <w:pStyle w:val="Figure"/>
              <w:ind w:left="750"/>
              <w:rPr>
                <w:sz w:val="17"/>
                <w:szCs w:val="17"/>
              </w:rPr>
            </w:pPr>
            <w:r w:rsidRPr="00621D97">
              <w:rPr>
                <w:sz w:val="17"/>
                <w:szCs w:val="17"/>
              </w:rPr>
              <w:t xml:space="preserve">  and exists ( "Qualifying Encounters" )</w:t>
            </w:r>
          </w:p>
          <w:p w14:paraId="3D73CEC6" w14:textId="0A3816D7" w:rsidR="00110E29" w:rsidRPr="00621D97" w:rsidRDefault="00110E29" w:rsidP="00110E29">
            <w:pPr>
              <w:pStyle w:val="Figure"/>
              <w:ind w:left="750"/>
              <w:rPr>
                <w:sz w:val="17"/>
                <w:szCs w:val="17"/>
              </w:rPr>
            </w:pPr>
            <w:r w:rsidRPr="00621D97">
              <w:rPr>
                <w:sz w:val="17"/>
                <w:szCs w:val="17"/>
              </w:rPr>
              <w:t xml:space="preserve">  and exists ( ["Diagnosis": "Diabetes"] </w:t>
            </w:r>
            <w:proofErr w:type="spellStart"/>
            <w:r w:rsidRPr="00621D97">
              <w:rPr>
                <w:sz w:val="17"/>
                <w:szCs w:val="17"/>
              </w:rPr>
              <w:t>Diabetes</w:t>
            </w:r>
            <w:r w:rsidR="009E4A02">
              <w:rPr>
                <w:sz w:val="17"/>
                <w:szCs w:val="17"/>
              </w:rPr>
              <w:t>Diagnosis</w:t>
            </w:r>
            <w:proofErr w:type="spellEnd"/>
          </w:p>
          <w:p w14:paraId="1ED059F9" w14:textId="17EC5E94" w:rsidR="00110E29" w:rsidRPr="00621D97" w:rsidRDefault="00110E29" w:rsidP="00110E29">
            <w:pPr>
              <w:pStyle w:val="Figure"/>
              <w:ind w:left="750"/>
              <w:rPr>
                <w:sz w:val="17"/>
                <w:szCs w:val="17"/>
              </w:rPr>
            </w:pPr>
            <w:r w:rsidRPr="00621D97">
              <w:rPr>
                <w:sz w:val="17"/>
                <w:szCs w:val="17"/>
              </w:rPr>
              <w:t xml:space="preserve">      where </w:t>
            </w:r>
            <w:proofErr w:type="spellStart"/>
            <w:r w:rsidRPr="00621D97">
              <w:rPr>
                <w:sz w:val="17"/>
                <w:szCs w:val="17"/>
              </w:rPr>
              <w:t>Diabetes</w:t>
            </w:r>
            <w:r w:rsidR="009E4A02">
              <w:rPr>
                <w:sz w:val="17"/>
                <w:szCs w:val="17"/>
              </w:rPr>
              <w:t>Diagnosis</w:t>
            </w:r>
            <w:r w:rsidRPr="00621D97">
              <w:rPr>
                <w:sz w:val="17"/>
                <w:szCs w:val="17"/>
              </w:rPr>
              <w:t>.prevalencePeriod</w:t>
            </w:r>
            <w:proofErr w:type="spellEnd"/>
            <w:r w:rsidRPr="00621D97">
              <w:rPr>
                <w:sz w:val="17"/>
                <w:szCs w:val="17"/>
              </w:rPr>
              <w:t xml:space="preserve"> overlaps day of "Measurement Period"</w:t>
            </w:r>
          </w:p>
          <w:p w14:paraId="26716595" w14:textId="558E1E2C" w:rsidR="00110E29" w:rsidRPr="00110E29" w:rsidRDefault="00110E29" w:rsidP="00110E29">
            <w:pPr>
              <w:pStyle w:val="Figure"/>
              <w:ind w:left="750"/>
            </w:pPr>
            <w:r w:rsidRPr="00621D97">
              <w:rPr>
                <w:sz w:val="17"/>
                <w:szCs w:val="17"/>
              </w:rPr>
              <w:t xml:space="preserve">  )</w:t>
            </w:r>
          </w:p>
        </w:tc>
      </w:tr>
    </w:tbl>
    <w:p w14:paraId="7D2C6B26" w14:textId="6A277748" w:rsidR="00357F1C" w:rsidRDefault="00161739" w:rsidP="006D5C73">
      <w:pPr>
        <w:pStyle w:val="ParagraphContinued"/>
      </w:pPr>
      <w:bookmarkStart w:id="367" w:name="_heading=h.37m2jsg" w:colFirst="0" w:colLast="0"/>
      <w:bookmarkStart w:id="368" w:name="_Ref510277841"/>
      <w:bookmarkEnd w:id="367"/>
      <w:r>
        <w:t xml:space="preserve">Note that </w:t>
      </w:r>
      <w:proofErr w:type="gramStart"/>
      <w:r>
        <w:t>in  Figure</w:t>
      </w:r>
      <w:proofErr w:type="gramEnd"/>
      <w:r>
        <w:t xml:space="preserve"> 4.1, </w:t>
      </w:r>
      <w:r w:rsidR="00357F1C">
        <w:t xml:space="preserve">the </w:t>
      </w:r>
      <w:r>
        <w:t xml:space="preserve">CQL uses </w:t>
      </w:r>
      <w:r w:rsidR="00E40441">
        <w:t xml:space="preserve">logical </w:t>
      </w:r>
      <w:r>
        <w:t xml:space="preserve">linking operators and </w:t>
      </w:r>
      <w:r w:rsidR="00357F1C">
        <w:t>temporal relationships (</w:t>
      </w:r>
      <w:r>
        <w:t>timing phrases</w:t>
      </w:r>
      <w:r w:rsidR="00357F1C">
        <w:t xml:space="preserve">). </w:t>
      </w:r>
      <w:r>
        <w:t>Common linking operators</w:t>
      </w:r>
      <w:r w:rsidR="00357F1C">
        <w:t xml:space="preserve"> include the following:</w:t>
      </w:r>
    </w:p>
    <w:p w14:paraId="4B96928D" w14:textId="572C4EA8" w:rsidR="00E40441" w:rsidRPr="00E40441" w:rsidRDefault="00E40441" w:rsidP="00E40441">
      <w:pPr>
        <w:pStyle w:val="Paragraph"/>
        <w:ind w:left="720"/>
      </w:pPr>
      <w:r w:rsidRPr="00E40441">
        <w:t>and, or, not, with, without</w:t>
      </w:r>
    </w:p>
    <w:p w14:paraId="2920B5D6" w14:textId="0717ED16" w:rsidR="00161739" w:rsidRDefault="00357F1C" w:rsidP="006D5C73">
      <w:pPr>
        <w:pStyle w:val="ParagraphContinued"/>
      </w:pPr>
      <w:r>
        <w:t>Common temporal relationships</w:t>
      </w:r>
      <w:r w:rsidR="00161739">
        <w:t xml:space="preserve"> include the following:</w:t>
      </w:r>
    </w:p>
    <w:p w14:paraId="66EC9CD8" w14:textId="3BEF15FF" w:rsidR="00161739" w:rsidRDefault="00E40441" w:rsidP="006D5C73">
      <w:pPr>
        <w:pStyle w:val="Paragraph"/>
        <w:ind w:left="720" w:right="720"/>
      </w:pPr>
      <w:r w:rsidRPr="00E40441">
        <w:t>before, during, on or before/after, same or before/after, starts, ends, overlaps, intersects, and includes</w:t>
      </w:r>
    </w:p>
    <w:p w14:paraId="5B30F524" w14:textId="3A01503F" w:rsidR="00E40441" w:rsidRDefault="00E40441" w:rsidP="00E40441">
      <w:pPr>
        <w:pStyle w:val="Paragraph"/>
        <w:ind w:right="720"/>
      </w:pPr>
      <w:r>
        <w:t>The CQL in Figure 4.1 also uses “exists”, a predicate that tests whether a set is non-empty.</w:t>
      </w:r>
    </w:p>
    <w:p w14:paraId="1E49FCF6" w14:textId="30133275" w:rsidR="00161739" w:rsidRDefault="00161739" w:rsidP="00810D22">
      <w:pPr>
        <w:pStyle w:val="ParagraphContinued"/>
      </w:pPr>
      <w:r w:rsidRPr="006D5C73">
        <w:rPr>
          <w:rStyle w:val="RunIn"/>
        </w:rPr>
        <w:lastRenderedPageBreak/>
        <w:t xml:space="preserve">Definitions. </w:t>
      </w:r>
      <w:r>
        <w:t xml:space="preserve">The CQL expression also uses definitions, which are common clauses of data elements and their interrelationships. The definition title is a human-readable name </w:t>
      </w:r>
      <w:r w:rsidR="00890823">
        <w:t>that lets the eCQM refer to expressions without repeating all the logic</w:t>
      </w:r>
      <w:r>
        <w:t xml:space="preserve">. Each eCQM has a </w:t>
      </w:r>
      <w:r w:rsidR="006474A5">
        <w:t>D</w:t>
      </w:r>
      <w:r>
        <w:t>efinition</w:t>
      </w:r>
      <w:r w:rsidR="00B96C08">
        <w:t>s</w:t>
      </w:r>
      <w:r>
        <w:t xml:space="preserve"> section containing </w:t>
      </w:r>
      <w:r w:rsidR="00810D22">
        <w:t>the</w:t>
      </w:r>
      <w:r>
        <w:t xml:space="preserve"> title </w:t>
      </w:r>
      <w:r w:rsidR="00810D22">
        <w:t xml:space="preserve">for each definition </w:t>
      </w:r>
      <w:r>
        <w:t xml:space="preserve">followed by the expression logic used to characterize it. </w:t>
      </w:r>
      <w:r w:rsidR="00810D22">
        <w:t xml:space="preserve">Please note that in Figure 4.1, the definition of “Initial Population” includes </w:t>
      </w:r>
      <w:r w:rsidR="00B22185">
        <w:t>an</w:t>
      </w:r>
      <w:r w:rsidR="00810D22">
        <w:t>other definition</w:t>
      </w:r>
      <w:r w:rsidR="00B22185">
        <w:t>,</w:t>
      </w:r>
      <w:r w:rsidR="00810D22">
        <w:t xml:space="preserve"> “Qualifying Encounters.” </w:t>
      </w:r>
      <w:r w:rsidR="00B96C08">
        <w:t xml:space="preserve">The user should review the </w:t>
      </w:r>
      <w:r w:rsidR="006474A5">
        <w:t>D</w:t>
      </w:r>
      <w:r w:rsidR="00B96C08">
        <w:t xml:space="preserve">efinitions section of the specification to determine what each definition includes. In the human-readable </w:t>
      </w:r>
      <w:r w:rsidR="00810D22">
        <w:t>HTML file</w:t>
      </w:r>
      <w:r w:rsidR="00B96C08">
        <w:t>, definitions are in alphabetical order by the definition name.</w:t>
      </w:r>
    </w:p>
    <w:p w14:paraId="177A31D3" w14:textId="19994C35" w:rsidR="00161739" w:rsidRDefault="00161739" w:rsidP="006D5C73">
      <w:pPr>
        <w:pStyle w:val="Paragraph"/>
      </w:pPr>
      <w:r>
        <w:t>Figure 4.2 shows a simple definition of “</w:t>
      </w:r>
      <w:r w:rsidR="0090058C">
        <w:t>Denominator</w:t>
      </w:r>
      <w:r>
        <w:t>,” describing all patients included in the denominator</w:t>
      </w:r>
      <w:r w:rsidR="0090058C">
        <w:t xml:space="preserve"> and it is defined as the "Initial Population" without any further CQL statements.</w:t>
      </w:r>
    </w:p>
    <w:p w14:paraId="45D637EE" w14:textId="77777777" w:rsidR="00161739" w:rsidRDefault="00161739" w:rsidP="000E67C8">
      <w:pPr>
        <w:pStyle w:val="FigureTitle"/>
      </w:pPr>
      <w:bookmarkStart w:id="369" w:name="_heading=h.46r0co2" w:colFirst="0" w:colLast="0"/>
      <w:bookmarkStart w:id="370" w:name="_Ref512867458"/>
      <w:bookmarkStart w:id="371" w:name="_Toc159577875"/>
      <w:bookmarkStart w:id="372" w:name="_Toc195047211"/>
      <w:bookmarkEnd w:id="369"/>
      <w:r w:rsidRPr="001141A7">
        <w:t>Figure 4</w:t>
      </w:r>
      <w:bookmarkEnd w:id="370"/>
      <w:r w:rsidRPr="001141A7">
        <w:t>.2. Example of Population Criteria Definition</w:t>
      </w:r>
      <w:bookmarkEnd w:id="371"/>
      <w:bookmarkEnd w:id="372"/>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0E67C8" w:rsidRPr="002973D7" w14:paraId="066C4C0F" w14:textId="77777777" w:rsidTr="00BA3DF1">
        <w:tc>
          <w:tcPr>
            <w:tcW w:w="5000" w:type="pct"/>
            <w:shd w:val="clear" w:color="auto" w:fill="auto"/>
          </w:tcPr>
          <w:p w14:paraId="15FE699D" w14:textId="50EC107A" w:rsidR="00621D97" w:rsidRDefault="00621D97" w:rsidP="00621D97">
            <w:pPr>
              <w:pStyle w:val="FigureHeader"/>
            </w:pPr>
            <w:r w:rsidRPr="005E64B8">
              <w:rPr>
                <w:rFonts w:ascii="Cambria Math" w:hAnsi="Cambria Math"/>
              </w:rPr>
              <w:t>◢</w:t>
            </w:r>
            <w:r>
              <w:rPr>
                <w:rFonts w:ascii="Cambria Math" w:hAnsi="Cambria Math"/>
              </w:rPr>
              <w:t xml:space="preserve"> </w:t>
            </w:r>
            <w:r>
              <w:t>Denominator</w:t>
            </w:r>
          </w:p>
          <w:p w14:paraId="3D33C729" w14:textId="4E7E4078" w:rsidR="000E67C8" w:rsidRPr="002973D7" w:rsidRDefault="000E67C8" w:rsidP="002B19E7">
            <w:pPr>
              <w:pStyle w:val="Figure"/>
              <w:rPr>
                <w:rFonts w:ascii="Courier New" w:hAnsi="Courier New" w:cs="Courier New"/>
                <w:sz w:val="20"/>
                <w:szCs w:val="20"/>
              </w:rPr>
            </w:pPr>
            <w:r w:rsidRPr="00621D97">
              <w:rPr>
                <w:rFonts w:cs="Courier New"/>
                <w:sz w:val="17"/>
                <w:szCs w:val="17"/>
              </w:rPr>
              <w:tab/>
              <w:t>"Initial Population"</w:t>
            </w:r>
          </w:p>
        </w:tc>
      </w:tr>
    </w:tbl>
    <w:p w14:paraId="0EA53EBD" w14:textId="77777777" w:rsidR="00810D22" w:rsidRDefault="00810D22" w:rsidP="006D5C73">
      <w:pPr>
        <w:pStyle w:val="Paragraph"/>
        <w:rPr>
          <w:rStyle w:val="RunIn"/>
        </w:rPr>
      </w:pPr>
      <w:bookmarkStart w:id="373" w:name="_Hlk194412627"/>
      <w:bookmarkEnd w:id="368"/>
    </w:p>
    <w:p w14:paraId="738C525C" w14:textId="03E7DEFE" w:rsidR="00161739" w:rsidRDefault="00161739" w:rsidP="006D5C73">
      <w:pPr>
        <w:pStyle w:val="Paragraph"/>
      </w:pPr>
      <w:r w:rsidRPr="006D5C73">
        <w:rPr>
          <w:rStyle w:val="RunIn"/>
        </w:rPr>
        <w:t xml:space="preserve">Aliases. </w:t>
      </w:r>
      <w:r>
        <w:t xml:space="preserve">Aliases are words or easily understood abbreviations that help </w:t>
      </w:r>
      <w:r w:rsidR="00713FEE">
        <w:t xml:space="preserve">represent </w:t>
      </w:r>
      <w:r>
        <w:t xml:space="preserve">logic statements and are meant to reduce their complexity. </w:t>
      </w:r>
      <w:r w:rsidR="0090058C" w:rsidRPr="0090058C">
        <w:t>A measure developer usually assigns an alias to the list results of a CQL query source. The alias is used to refer to each item as the list is iterated over in subsequent CQL logic (e.g. in a ‘where’ clause)</w:t>
      </w:r>
      <w:r>
        <w:t xml:space="preserve">. In Figure 4.3, using an example from </w:t>
      </w:r>
      <w:hyperlink r:id="rId70" w:history="1">
        <w:r w:rsidRPr="003B0EAF">
          <w:rPr>
            <w:rStyle w:val="Hyperlink"/>
          </w:rPr>
          <w:t>CMS826v</w:t>
        </w:r>
        <w:r w:rsidR="003B0EAF" w:rsidRPr="003B0EAF">
          <w:rPr>
            <w:rStyle w:val="Hyperlink"/>
          </w:rPr>
          <w:t>3</w:t>
        </w:r>
        <w:r w:rsidRPr="003B0EAF">
          <w:rPr>
            <w:rStyle w:val="Hyperlink"/>
          </w:rPr>
          <w:t>, Hospital Harm - Pressure Injury</w:t>
        </w:r>
      </w:hyperlink>
      <w:r>
        <w:t>, the eCQM adds the alias “</w:t>
      </w:r>
      <w:proofErr w:type="spellStart"/>
      <w:r>
        <w:t>SkinExam</w:t>
      </w:r>
      <w:proofErr w:type="spellEnd"/>
      <w:r>
        <w:t>” to the QDM data element [“</w:t>
      </w:r>
      <w:r w:rsidRPr="00026419">
        <w:t>Physical Exam, Performed</w:t>
      </w:r>
      <w:r>
        <w:t>”</w:t>
      </w:r>
      <w:r w:rsidRPr="00026419">
        <w:t xml:space="preserve">: </w:t>
      </w:r>
      <w:r>
        <w:t>“</w:t>
      </w:r>
      <w:r w:rsidRPr="00026419">
        <w:t>Physical findings of Skin</w:t>
      </w:r>
      <w:r>
        <w:t>”]. As a result, when the eCQM expresses how to relate the timing of the skin exam in this query, it use</w:t>
      </w:r>
      <w:r w:rsidR="0090058C">
        <w:t>s</w:t>
      </w:r>
      <w:r>
        <w:t xml:space="preserve"> the </w:t>
      </w:r>
      <w:r w:rsidR="0090058C">
        <w:t xml:space="preserve">alias when iterating over the results of the initial retrieve (i.e., [Physical Exam, </w:t>
      </w:r>
      <w:proofErr w:type="spellStart"/>
      <w:r w:rsidR="0090058C">
        <w:t>Performed":"Physical</w:t>
      </w:r>
      <w:proofErr w:type="spellEnd"/>
      <w:r w:rsidR="0090058C">
        <w:t xml:space="preserve"> findings of Skin"]).</w:t>
      </w:r>
    </w:p>
    <w:p w14:paraId="694076C6" w14:textId="77777777" w:rsidR="00161739" w:rsidRDefault="00161739" w:rsidP="006D5C73">
      <w:pPr>
        <w:pStyle w:val="Paragraph"/>
      </w:pPr>
      <w:r w:rsidRPr="006D5C73">
        <w:rPr>
          <w:rStyle w:val="RunIn"/>
        </w:rPr>
        <w:t xml:space="preserve">Attributes. </w:t>
      </w:r>
      <w:r>
        <w:t>QDM defines a set of allowable attributes for each QDM datatype. An attribute</w:t>
      </w:r>
      <w:r w:rsidRPr="00106EC4">
        <w:t xml:space="preserve"> provides specific details about a QDM data element</w:t>
      </w:r>
      <w:r>
        <w:t>, such as timing</w:t>
      </w:r>
      <w:r w:rsidRPr="00106EC4">
        <w:t>, results, and locations</w:t>
      </w:r>
      <w:r>
        <w:t>. In Figure 4.3, “Physical Exam, Performed” is the QDM datatype, and it includes several attributes</w:t>
      </w:r>
      <w:r w:rsidRPr="001141A7">
        <w:t>,</w:t>
      </w:r>
      <w:r>
        <w:t xml:space="preserve"> including the </w:t>
      </w:r>
      <w:proofErr w:type="spellStart"/>
      <w:r>
        <w:rPr>
          <w:i/>
        </w:rPr>
        <w:t>relevantPeriod</w:t>
      </w:r>
      <w:proofErr w:type="spellEnd"/>
      <w:r>
        <w:rPr>
          <w:i/>
        </w:rPr>
        <w:t xml:space="preserve"> </w:t>
      </w:r>
      <w:r>
        <w:rPr>
          <w:iCs/>
        </w:rPr>
        <w:t>timing</w:t>
      </w:r>
      <w:r>
        <w:t xml:space="preserve">. QDM defines </w:t>
      </w:r>
      <w:proofErr w:type="spellStart"/>
      <w:r>
        <w:rPr>
          <w:i/>
        </w:rPr>
        <w:t>relevantPeriod</w:t>
      </w:r>
      <w:proofErr w:type="spellEnd"/>
      <w:r>
        <w:t xml:space="preserve"> as the time between the start of an action to the end of an action, also known as a time interval. The CQL references attributes using a period between the alias for the QDM data element and its attribute. </w:t>
      </w:r>
    </w:p>
    <w:p w14:paraId="691984BC" w14:textId="77777777" w:rsidR="00161739" w:rsidRPr="001141A7" w:rsidRDefault="00161739" w:rsidP="000E67C8">
      <w:pPr>
        <w:pStyle w:val="FigureTitle"/>
      </w:pPr>
      <w:bookmarkStart w:id="374" w:name="_heading=h.2lwamvv" w:colFirst="0" w:colLast="0"/>
      <w:bookmarkStart w:id="375" w:name="_Ref5784694"/>
      <w:bookmarkStart w:id="376" w:name="_Ref5784620"/>
      <w:bookmarkStart w:id="377" w:name="_Toc159577876"/>
      <w:bookmarkStart w:id="378" w:name="_Toc195047212"/>
      <w:bookmarkEnd w:id="374"/>
      <w:r w:rsidRPr="001141A7">
        <w:t xml:space="preserve">Figure </w:t>
      </w:r>
      <w:bookmarkEnd w:id="375"/>
      <w:r w:rsidRPr="001141A7">
        <w:t>4.3. Example of QDM Data Element Expressed in CQL</w:t>
      </w:r>
      <w:bookmarkEnd w:id="376"/>
      <w:bookmarkEnd w:id="377"/>
      <w:bookmarkEnd w:id="378"/>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0E67C8" w:rsidRPr="002973D7" w14:paraId="57902B16" w14:textId="77777777" w:rsidTr="00BA3DF1">
        <w:tc>
          <w:tcPr>
            <w:tcW w:w="5000" w:type="pct"/>
            <w:shd w:val="clear" w:color="auto" w:fill="auto"/>
          </w:tcPr>
          <w:p w14:paraId="7C2B5937" w14:textId="77777777" w:rsidR="000E67C8" w:rsidRPr="00621D97" w:rsidRDefault="000E67C8" w:rsidP="000E67C8">
            <w:pPr>
              <w:spacing w:before="60" w:after="60" w:line="240" w:lineRule="auto"/>
              <w:textDirection w:val="btLr"/>
              <w:rPr>
                <w:rFonts w:ascii="Verdana" w:eastAsia="Courier New" w:hAnsi="Verdana" w:cs="Courier New"/>
                <w:color w:val="000000"/>
                <w:sz w:val="17"/>
                <w:szCs w:val="17"/>
              </w:rPr>
            </w:pPr>
            <w:r w:rsidRPr="00621D97">
              <w:rPr>
                <w:rFonts w:ascii="Verdana" w:eastAsia="Courier New" w:hAnsi="Verdana" w:cs="Courier New"/>
                <w:color w:val="000000"/>
                <w:sz w:val="17"/>
                <w:szCs w:val="17"/>
              </w:rPr>
              <w:t>with [</w:t>
            </w:r>
            <w:bookmarkStart w:id="379" w:name="_Hlk194412137"/>
            <w:r w:rsidRPr="00621D97">
              <w:rPr>
                <w:rFonts w:ascii="Verdana" w:eastAsia="Courier New" w:hAnsi="Verdana" w:cs="Courier New"/>
                <w:color w:val="000000"/>
                <w:sz w:val="17"/>
                <w:szCs w:val="17"/>
              </w:rPr>
              <w:t>"Physical Exam, Performed": "Physical findings of Skin"</w:t>
            </w:r>
            <w:bookmarkEnd w:id="379"/>
            <w:r w:rsidRPr="00621D97">
              <w:rPr>
                <w:rFonts w:ascii="Verdana" w:eastAsia="Courier New" w:hAnsi="Verdana" w:cs="Courier New"/>
                <w:color w:val="000000"/>
                <w:sz w:val="17"/>
                <w:szCs w:val="17"/>
              </w:rPr>
              <w:t xml:space="preserve">] </w:t>
            </w:r>
            <w:proofErr w:type="spellStart"/>
            <w:r w:rsidRPr="00621D97">
              <w:rPr>
                <w:rFonts w:ascii="Verdana" w:eastAsia="Courier New" w:hAnsi="Verdana" w:cs="Courier New"/>
                <w:color w:val="000000"/>
                <w:sz w:val="17"/>
                <w:szCs w:val="17"/>
              </w:rPr>
              <w:t>SkinExam</w:t>
            </w:r>
            <w:proofErr w:type="spellEnd"/>
          </w:p>
          <w:p w14:paraId="260A9967" w14:textId="77777777" w:rsidR="000E67C8" w:rsidRPr="00621D97" w:rsidRDefault="000E67C8" w:rsidP="000E67C8">
            <w:pPr>
              <w:spacing w:before="60" w:after="60" w:line="240" w:lineRule="auto"/>
              <w:ind w:left="480"/>
              <w:textDirection w:val="btLr"/>
              <w:rPr>
                <w:rFonts w:ascii="Verdana" w:eastAsia="Courier New" w:hAnsi="Verdana" w:cs="Courier New"/>
                <w:color w:val="000000"/>
                <w:sz w:val="17"/>
                <w:szCs w:val="17"/>
              </w:rPr>
            </w:pPr>
            <w:r w:rsidRPr="00621D97">
              <w:rPr>
                <w:rFonts w:ascii="Verdana" w:eastAsia="Courier New" w:hAnsi="Verdana" w:cs="Courier New"/>
                <w:color w:val="000000"/>
                <w:sz w:val="17"/>
                <w:szCs w:val="17"/>
              </w:rPr>
              <w:t xml:space="preserve">such that Global."NormalizeInterval" ( </w:t>
            </w:r>
            <w:proofErr w:type="spellStart"/>
            <w:r w:rsidRPr="00621D97">
              <w:rPr>
                <w:rFonts w:ascii="Verdana" w:eastAsia="Courier New" w:hAnsi="Verdana" w:cs="Courier New"/>
                <w:color w:val="000000"/>
                <w:sz w:val="17"/>
                <w:szCs w:val="17"/>
              </w:rPr>
              <w:t>SkinExam.relevantDatetime</w:t>
            </w:r>
            <w:proofErr w:type="spellEnd"/>
            <w:r w:rsidRPr="00621D97">
              <w:rPr>
                <w:rFonts w:ascii="Verdana" w:eastAsia="Courier New" w:hAnsi="Verdana" w:cs="Courier New"/>
                <w:color w:val="000000"/>
                <w:sz w:val="17"/>
                <w:szCs w:val="17"/>
              </w:rPr>
              <w:t xml:space="preserve">, </w:t>
            </w:r>
            <w:proofErr w:type="spellStart"/>
            <w:r w:rsidRPr="00621D97">
              <w:rPr>
                <w:rFonts w:ascii="Verdana" w:eastAsia="Courier New" w:hAnsi="Verdana" w:cs="Courier New"/>
                <w:color w:val="000000"/>
                <w:sz w:val="17"/>
                <w:szCs w:val="17"/>
              </w:rPr>
              <w:t>SkinExam.relevantPeriod</w:t>
            </w:r>
            <w:proofErr w:type="spellEnd"/>
            <w:r w:rsidRPr="00621D97">
              <w:rPr>
                <w:rFonts w:ascii="Verdana" w:eastAsia="Courier New" w:hAnsi="Verdana" w:cs="Courier New"/>
                <w:color w:val="000000"/>
                <w:sz w:val="17"/>
                <w:szCs w:val="17"/>
              </w:rPr>
              <w:t xml:space="preserve"> ) starts 72 hours or less on or after start of Global."HospitalizationWithObservation" ( </w:t>
            </w:r>
            <w:proofErr w:type="spellStart"/>
            <w:r w:rsidRPr="00621D97">
              <w:rPr>
                <w:rFonts w:ascii="Verdana" w:eastAsia="Courier New" w:hAnsi="Verdana" w:cs="Courier New"/>
                <w:color w:val="000000"/>
                <w:sz w:val="17"/>
                <w:szCs w:val="17"/>
              </w:rPr>
              <w:t>EncounterInpatient</w:t>
            </w:r>
            <w:proofErr w:type="spellEnd"/>
            <w:r w:rsidRPr="00621D97">
              <w:rPr>
                <w:rFonts w:ascii="Verdana" w:eastAsia="Courier New" w:hAnsi="Verdana" w:cs="Courier New"/>
                <w:color w:val="000000"/>
                <w:sz w:val="17"/>
                <w:szCs w:val="17"/>
              </w:rPr>
              <w:t xml:space="preserve"> )</w:t>
            </w:r>
          </w:p>
          <w:p w14:paraId="2040231F" w14:textId="025294EC" w:rsidR="000E67C8" w:rsidRPr="002973D7" w:rsidRDefault="000E67C8" w:rsidP="000E67C8">
            <w:pPr>
              <w:spacing w:before="60" w:after="60" w:line="240" w:lineRule="auto"/>
              <w:ind w:left="720"/>
              <w:textDirection w:val="btLr"/>
              <w:rPr>
                <w:sz w:val="20"/>
                <w:szCs w:val="20"/>
              </w:rPr>
            </w:pPr>
            <w:r w:rsidRPr="00621D97">
              <w:rPr>
                <w:rFonts w:ascii="Verdana" w:eastAsia="Courier New" w:hAnsi="Verdana" w:cs="Courier New"/>
                <w:color w:val="000000"/>
                <w:sz w:val="17"/>
                <w:szCs w:val="17"/>
              </w:rPr>
              <w:t xml:space="preserve">and Global."NormalizeInterval" ( </w:t>
            </w:r>
            <w:proofErr w:type="spellStart"/>
            <w:r w:rsidRPr="00621D97">
              <w:rPr>
                <w:rFonts w:ascii="Verdana" w:eastAsia="Courier New" w:hAnsi="Verdana" w:cs="Courier New"/>
                <w:color w:val="000000"/>
                <w:sz w:val="17"/>
                <w:szCs w:val="17"/>
              </w:rPr>
              <w:t>SkinExam.relevantDatetime</w:t>
            </w:r>
            <w:proofErr w:type="spellEnd"/>
            <w:r w:rsidRPr="00621D97">
              <w:rPr>
                <w:rFonts w:ascii="Verdana" w:eastAsia="Courier New" w:hAnsi="Verdana" w:cs="Courier New"/>
                <w:color w:val="000000"/>
                <w:sz w:val="17"/>
                <w:szCs w:val="17"/>
              </w:rPr>
              <w:t xml:space="preserve">, </w:t>
            </w:r>
            <w:proofErr w:type="spellStart"/>
            <w:r w:rsidRPr="00621D97">
              <w:rPr>
                <w:rFonts w:ascii="Verdana" w:eastAsia="Courier New" w:hAnsi="Verdana" w:cs="Courier New"/>
                <w:color w:val="000000"/>
                <w:sz w:val="17"/>
                <w:szCs w:val="17"/>
              </w:rPr>
              <w:t>SkinExam.relevantPeriod</w:t>
            </w:r>
            <w:proofErr w:type="spellEnd"/>
            <w:r w:rsidRPr="00621D97">
              <w:rPr>
                <w:rFonts w:ascii="Verdana" w:eastAsia="Courier New" w:hAnsi="Verdana" w:cs="Courier New"/>
                <w:color w:val="000000"/>
                <w:sz w:val="17"/>
                <w:szCs w:val="17"/>
              </w:rPr>
              <w:t xml:space="preserve"> ) starts during Global."HospitalizationWithObservation" ( </w:t>
            </w:r>
            <w:proofErr w:type="spellStart"/>
            <w:r w:rsidRPr="00621D97">
              <w:rPr>
                <w:rFonts w:ascii="Verdana" w:eastAsia="Courier New" w:hAnsi="Verdana" w:cs="Courier New"/>
                <w:color w:val="000000"/>
                <w:sz w:val="17"/>
                <w:szCs w:val="17"/>
              </w:rPr>
              <w:t>EncounterInpatient</w:t>
            </w:r>
            <w:proofErr w:type="spellEnd"/>
            <w:r w:rsidRPr="00621D97">
              <w:rPr>
                <w:rFonts w:ascii="Verdana" w:eastAsia="Courier New" w:hAnsi="Verdana" w:cs="Courier New"/>
                <w:color w:val="000000"/>
                <w:sz w:val="17"/>
                <w:szCs w:val="17"/>
              </w:rPr>
              <w:t xml:space="preserve"> )</w:t>
            </w:r>
          </w:p>
        </w:tc>
      </w:tr>
    </w:tbl>
    <w:p w14:paraId="5C26EFAA" w14:textId="0F3A6C5C" w:rsidR="00161739" w:rsidRDefault="00161739" w:rsidP="009A5E20">
      <w:pPr>
        <w:pStyle w:val="ParagraphContinued"/>
      </w:pPr>
      <w:r>
        <w:t xml:space="preserve">Figure 4.4, also from </w:t>
      </w:r>
      <w:hyperlink r:id="rId71" w:history="1">
        <w:r w:rsidR="003B0EAF" w:rsidRPr="003B0EAF">
          <w:rPr>
            <w:rStyle w:val="Hyperlink"/>
          </w:rPr>
          <w:t>CMS826v3, Hospital Harm - Pressure Injury</w:t>
        </w:r>
      </w:hyperlink>
      <w:r>
        <w:t>, presents the final example of the completed QDM data element in the Data Criteria (QDM Data Elements) section of the eCQM, which lists the DRC or value set the QDM datatype requires. The QDM data element [“</w:t>
      </w:r>
      <w:r w:rsidRPr="00026419">
        <w:t>Physical Exam, Performed</w:t>
      </w:r>
      <w:r>
        <w:t>”</w:t>
      </w:r>
      <w:r w:rsidRPr="00026419">
        <w:t xml:space="preserve">: </w:t>
      </w:r>
      <w:r>
        <w:t>“</w:t>
      </w:r>
      <w:r w:rsidRPr="00026419">
        <w:t>Physical findings of Skin</w:t>
      </w:r>
      <w:r>
        <w:t>”] uses the “</w:t>
      </w:r>
      <w:r w:rsidRPr="00987B17">
        <w:t>Physical findings of Skin</w:t>
      </w:r>
      <w:r>
        <w:t xml:space="preserve">” DRC. Subsection 2.2.2 provides a high-level description of the VSAC, which contains all the eCQM value sets and DRCs. </w:t>
      </w:r>
      <w:bookmarkEnd w:id="373"/>
    </w:p>
    <w:p w14:paraId="5CC52FE3" w14:textId="6ED4DF07" w:rsidR="00161739" w:rsidRDefault="00161739" w:rsidP="00E03612">
      <w:pPr>
        <w:pStyle w:val="FigureTitle"/>
      </w:pPr>
      <w:bookmarkStart w:id="380" w:name="_heading=h.111kx3o" w:colFirst="0" w:colLast="0"/>
      <w:bookmarkStart w:id="381" w:name="_Toc159577877"/>
      <w:bookmarkStart w:id="382" w:name="_Toc195047213"/>
      <w:bookmarkStart w:id="383" w:name="_Ref512868098"/>
      <w:bookmarkStart w:id="384" w:name="_Hlk194412637"/>
      <w:bookmarkEnd w:id="380"/>
      <w:r w:rsidRPr="001141A7">
        <w:lastRenderedPageBreak/>
        <w:t xml:space="preserve">Figure 4.4. Example of QDM Data Element Listed in Data Criteria </w:t>
      </w:r>
      <w:bookmarkEnd w:id="381"/>
      <w:r>
        <w:t>(QDM Data Elements) Section</w:t>
      </w:r>
      <w:bookmarkEnd w:id="382"/>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0E67C8" w:rsidRPr="002973D7" w14:paraId="03C85AFF" w14:textId="77777777" w:rsidTr="00BA3DF1">
        <w:tc>
          <w:tcPr>
            <w:tcW w:w="5000" w:type="pct"/>
            <w:shd w:val="clear" w:color="auto" w:fill="auto"/>
          </w:tcPr>
          <w:bookmarkStart w:id="385" w:name="d1e647"/>
          <w:p w14:paraId="5EAE5956" w14:textId="77777777" w:rsidR="00621D97" w:rsidRPr="00621D97" w:rsidRDefault="00621D97" w:rsidP="00621D97">
            <w:pPr>
              <w:spacing w:after="40" w:line="240" w:lineRule="auto"/>
              <w:outlineLvl w:val="2"/>
              <w:rPr>
                <w:rFonts w:ascii="Verdana" w:eastAsia="Times New Roman" w:hAnsi="Verdana" w:cs="Times New Roman"/>
                <w:b/>
                <w:bCs/>
                <w:color w:val="000000"/>
                <w:szCs w:val="20"/>
              </w:rPr>
            </w:pPr>
            <w:r w:rsidRPr="00621D97">
              <w:rPr>
                <w:rFonts w:ascii="Verdana" w:eastAsia="Times New Roman" w:hAnsi="Verdana" w:cs="Times New Roman"/>
                <w:b/>
                <w:bCs/>
                <w:color w:val="000000"/>
                <w:szCs w:val="20"/>
              </w:rPr>
              <w:fldChar w:fldCharType="begin"/>
            </w:r>
            <w:r w:rsidRPr="00621D97">
              <w:rPr>
                <w:rFonts w:ascii="Verdana" w:eastAsia="Times New Roman" w:hAnsi="Verdana" w:cs="Times New Roman"/>
                <w:b/>
                <w:bCs/>
                <w:color w:val="000000"/>
                <w:szCs w:val="20"/>
              </w:rPr>
              <w:instrText>HYPERLINK "https://ecqi.healthit.gov/sites/default/files/ecqm/measures/CMS871v4.html" \l "toc"</w:instrText>
            </w:r>
            <w:r w:rsidRPr="00621D97">
              <w:rPr>
                <w:rFonts w:ascii="Verdana" w:eastAsia="Times New Roman" w:hAnsi="Verdana" w:cs="Times New Roman"/>
                <w:b/>
                <w:bCs/>
                <w:color w:val="000000"/>
                <w:szCs w:val="20"/>
              </w:rPr>
            </w:r>
            <w:r w:rsidRPr="00621D97">
              <w:rPr>
                <w:rFonts w:ascii="Verdana" w:eastAsia="Times New Roman" w:hAnsi="Verdana" w:cs="Times New Roman"/>
                <w:b/>
                <w:bCs/>
                <w:color w:val="000000"/>
                <w:szCs w:val="20"/>
              </w:rPr>
              <w:fldChar w:fldCharType="separate"/>
            </w:r>
            <w:r w:rsidRPr="00621D97">
              <w:rPr>
                <w:rFonts w:ascii="Verdana" w:eastAsia="Times New Roman" w:hAnsi="Verdana" w:cs="Times New Roman"/>
                <w:b/>
                <w:bCs/>
                <w:color w:val="0000FF"/>
                <w:szCs w:val="20"/>
                <w:u w:val="single"/>
              </w:rPr>
              <w:t>Data Criteria (QDM Data Elements)</w:t>
            </w:r>
            <w:r w:rsidRPr="00621D97">
              <w:rPr>
                <w:rFonts w:ascii="Verdana" w:eastAsia="Times New Roman" w:hAnsi="Verdana" w:cs="Times New Roman"/>
                <w:b/>
                <w:bCs/>
                <w:color w:val="000000"/>
                <w:szCs w:val="20"/>
              </w:rPr>
              <w:fldChar w:fldCharType="end"/>
            </w:r>
            <w:bookmarkEnd w:id="385"/>
          </w:p>
          <w:p w14:paraId="2491ADE1" w14:textId="4563E7E2" w:rsidR="000E67C8" w:rsidRPr="00621D97" w:rsidRDefault="000E67C8" w:rsidP="00621D97">
            <w:pPr>
              <w:pStyle w:val="Figure"/>
              <w:keepNext/>
              <w:keepLines/>
              <w:numPr>
                <w:ilvl w:val="0"/>
                <w:numId w:val="53"/>
              </w:numPr>
              <w:rPr>
                <w:rFonts w:cs="Courier New"/>
                <w:sz w:val="17"/>
                <w:szCs w:val="17"/>
              </w:rPr>
            </w:pPr>
            <w:r w:rsidRPr="00621D97">
              <w:rPr>
                <w:rFonts w:cs="Courier New"/>
                <w:sz w:val="17"/>
                <w:szCs w:val="17"/>
              </w:rPr>
              <w:t>"Physical Exam, Performed: Physical findings of Skin" using "Physical findings of Skin (LOINC Code 8709-8)"</w:t>
            </w:r>
          </w:p>
        </w:tc>
      </w:tr>
    </w:tbl>
    <w:p w14:paraId="13CAFD38" w14:textId="7D7253E0" w:rsidR="00161739" w:rsidRDefault="009A5E20" w:rsidP="009A5E20">
      <w:pPr>
        <w:pStyle w:val="H3-Num"/>
      </w:pPr>
      <w:bookmarkStart w:id="386" w:name="_Toc184039795"/>
      <w:bookmarkStart w:id="387" w:name="_Toc159575160"/>
      <w:bookmarkStart w:id="388" w:name="_Toc190852970"/>
      <w:bookmarkStart w:id="389" w:name="_Toc195047572"/>
      <w:bookmarkEnd w:id="383"/>
      <w:r>
        <w:t>4.2.2</w:t>
      </w:r>
      <w:r>
        <w:tab/>
      </w:r>
      <w:r w:rsidR="00161739">
        <w:t>Functions</w:t>
      </w:r>
      <w:bookmarkEnd w:id="386"/>
      <w:bookmarkEnd w:id="387"/>
      <w:bookmarkEnd w:id="388"/>
      <w:bookmarkEnd w:id="389"/>
    </w:p>
    <w:bookmarkEnd w:id="384"/>
    <w:p w14:paraId="6D611A71" w14:textId="588B060D" w:rsidR="00161739" w:rsidRDefault="00161739" w:rsidP="009A5E20">
      <w:pPr>
        <w:pStyle w:val="ParagraphContinued"/>
      </w:pPr>
      <w:r>
        <w:t xml:space="preserve">Functions are </w:t>
      </w:r>
      <w:r w:rsidR="00A15D94">
        <w:t>n</w:t>
      </w:r>
      <w:r w:rsidR="00A15D94" w:rsidRPr="00A15D94">
        <w:t>amed, reusable CQL calculations that produce a specific result and can be called from multiple parts of an eCQM</w:t>
      </w:r>
      <w:r>
        <w:t>. Rather than repeating common calculations in each eCQM, a measure developer can access a library of functions and include selected functions as part of the eCQM logic. CQL expressions contain functions that perform a variety of calculations. For example, as Figure 4.5</w:t>
      </w:r>
      <w:r w:rsidRPr="003A7C87">
        <w:t xml:space="preserve"> </w:t>
      </w:r>
      <w:r w:rsidR="00890823">
        <w:t xml:space="preserve">from </w:t>
      </w:r>
      <w:hyperlink r:id="rId72" w:history="1">
        <w:r w:rsidR="00697E99" w:rsidRPr="00697E99">
          <w:rPr>
            <w:rStyle w:val="Hyperlink"/>
          </w:rPr>
          <w:t>CMS155v14, Weight Assessment and Counseling for Nutrition and Physical Activity for Children/Adolescents</w:t>
        </w:r>
      </w:hyperlink>
      <w:r w:rsidR="00890823">
        <w:t xml:space="preserve"> shows, the measure developer uses the function "</w:t>
      </w:r>
      <w:proofErr w:type="spellStart"/>
      <w:r w:rsidR="00890823">
        <w:t>NormalizeInterval</w:t>
      </w:r>
      <w:proofErr w:type="spellEnd"/>
      <w:r w:rsidR="00890823">
        <w:t xml:space="preserve">" from the </w:t>
      </w:r>
      <w:r w:rsidR="00720AF4">
        <w:t>"</w:t>
      </w:r>
      <w:r w:rsidR="007B710C">
        <w:t>g</w:t>
      </w:r>
      <w:r w:rsidR="00890823">
        <w:t>lobal</w:t>
      </w:r>
      <w:r w:rsidR="00720AF4">
        <w:t>"</w:t>
      </w:r>
      <w:r w:rsidR="00890823">
        <w:t xml:space="preserve"> shared library.</w:t>
      </w:r>
    </w:p>
    <w:p w14:paraId="41405DBB" w14:textId="0C97A668" w:rsidR="00161739" w:rsidRDefault="00161739" w:rsidP="002B19E7">
      <w:pPr>
        <w:pStyle w:val="FigureTitle"/>
      </w:pPr>
      <w:bookmarkStart w:id="390" w:name="_heading=h.206ipza" w:colFirst="0" w:colLast="0"/>
      <w:bookmarkStart w:id="391" w:name="_Ref512868311"/>
      <w:bookmarkStart w:id="392" w:name="_Toc159577878"/>
      <w:bookmarkStart w:id="393" w:name="_Toc195047214"/>
      <w:bookmarkEnd w:id="390"/>
      <w:r w:rsidRPr="001141A7">
        <w:t xml:space="preserve">Figure </w:t>
      </w:r>
      <w:bookmarkEnd w:id="391"/>
      <w:r w:rsidRPr="001141A7">
        <w:t>4.5. Example of CQL Function</w:t>
      </w:r>
      <w:bookmarkEnd w:id="392"/>
      <w:bookmarkEnd w:id="393"/>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2B19E7" w:rsidRPr="002973D7" w14:paraId="18C13281" w14:textId="77777777" w:rsidTr="00BA3DF1">
        <w:tc>
          <w:tcPr>
            <w:tcW w:w="5000" w:type="pct"/>
            <w:shd w:val="clear" w:color="auto" w:fill="auto"/>
          </w:tcPr>
          <w:p w14:paraId="0B410BA3" w14:textId="6EE068B7" w:rsidR="00621D97" w:rsidRDefault="00621D97" w:rsidP="0049395E">
            <w:pPr>
              <w:pStyle w:val="FigureHeader"/>
              <w:ind w:left="0"/>
            </w:pPr>
            <w:r w:rsidRPr="005E64B8">
              <w:rPr>
                <w:rFonts w:ascii="Cambria Math" w:hAnsi="Cambria Math"/>
              </w:rPr>
              <w:t>◢</w:t>
            </w:r>
            <w:r>
              <w:rPr>
                <w:rFonts w:ascii="Cambria Math" w:hAnsi="Cambria Math"/>
              </w:rPr>
              <w:t xml:space="preserve"> </w:t>
            </w:r>
            <w:r w:rsidR="00763D41">
              <w:t>Numerator</w:t>
            </w:r>
          </w:p>
          <w:p w14:paraId="67EFD8B3" w14:textId="77777777" w:rsidR="002B19E7" w:rsidRPr="00621D97" w:rsidRDefault="002B19E7" w:rsidP="00B320B3">
            <w:pPr>
              <w:pStyle w:val="Figure"/>
              <w:spacing w:before="60"/>
              <w:ind w:left="720"/>
              <w:rPr>
                <w:rFonts w:cs="Courier New"/>
                <w:sz w:val="17"/>
                <w:szCs w:val="17"/>
              </w:rPr>
            </w:pPr>
            <w:r w:rsidRPr="00621D97">
              <w:rPr>
                <w:rFonts w:cs="Courier New"/>
                <w:sz w:val="17"/>
                <w:szCs w:val="17"/>
              </w:rPr>
              <w:t xml:space="preserve">exists ["Intervention, Performed": "Counseling for Nutrition"] </w:t>
            </w:r>
            <w:proofErr w:type="spellStart"/>
            <w:r w:rsidRPr="00621D97">
              <w:rPr>
                <w:rFonts w:cs="Courier New"/>
                <w:sz w:val="17"/>
                <w:szCs w:val="17"/>
              </w:rPr>
              <w:t>NutritionCounseling</w:t>
            </w:r>
            <w:proofErr w:type="spellEnd"/>
          </w:p>
          <w:p w14:paraId="40E127D0" w14:textId="27C777A2" w:rsidR="002B19E7" w:rsidRPr="002973D7" w:rsidRDefault="002B19E7" w:rsidP="00B320B3">
            <w:pPr>
              <w:pStyle w:val="Figure"/>
              <w:spacing w:after="60"/>
              <w:ind w:left="720"/>
              <w:rPr>
                <w:rFonts w:ascii="Courier New" w:hAnsi="Courier New" w:cs="Courier New"/>
                <w:sz w:val="20"/>
                <w:szCs w:val="20"/>
              </w:rPr>
            </w:pPr>
            <w:r w:rsidRPr="00621D97">
              <w:rPr>
                <w:rFonts w:cs="Courier New"/>
                <w:sz w:val="17"/>
                <w:szCs w:val="17"/>
              </w:rPr>
              <w:t xml:space="preserve">  where Global."NormalizeInterval" ( </w:t>
            </w:r>
            <w:proofErr w:type="spellStart"/>
            <w:r w:rsidRPr="00621D97">
              <w:rPr>
                <w:rFonts w:cs="Courier New"/>
                <w:sz w:val="17"/>
                <w:szCs w:val="17"/>
              </w:rPr>
              <w:t>NutritionCounseling.relevantDatetime</w:t>
            </w:r>
            <w:proofErr w:type="spellEnd"/>
            <w:r w:rsidRPr="00621D97">
              <w:rPr>
                <w:rFonts w:cs="Courier New"/>
                <w:sz w:val="17"/>
                <w:szCs w:val="17"/>
              </w:rPr>
              <w:t xml:space="preserve">, </w:t>
            </w:r>
            <w:proofErr w:type="spellStart"/>
            <w:r w:rsidRPr="00621D97">
              <w:rPr>
                <w:rFonts w:cs="Courier New"/>
                <w:sz w:val="17"/>
                <w:szCs w:val="17"/>
              </w:rPr>
              <w:t>NutritionCounseling.relevantPeriod</w:t>
            </w:r>
            <w:proofErr w:type="spellEnd"/>
            <w:r w:rsidRPr="00621D97">
              <w:rPr>
                <w:rFonts w:cs="Courier New"/>
                <w:sz w:val="17"/>
                <w:szCs w:val="17"/>
              </w:rPr>
              <w:t xml:space="preserve"> ) during</w:t>
            </w:r>
            <w:r w:rsidR="00697E99">
              <w:rPr>
                <w:rFonts w:cs="Courier New"/>
                <w:sz w:val="17"/>
                <w:szCs w:val="17"/>
              </w:rPr>
              <w:t xml:space="preserve"> day of</w:t>
            </w:r>
            <w:r w:rsidRPr="00621D97">
              <w:rPr>
                <w:rFonts w:cs="Courier New"/>
                <w:sz w:val="17"/>
                <w:szCs w:val="17"/>
              </w:rPr>
              <w:t xml:space="preserve"> "Measurement Period"</w:t>
            </w:r>
          </w:p>
        </w:tc>
      </w:tr>
    </w:tbl>
    <w:p w14:paraId="5D58B25D" w14:textId="48E983BD" w:rsidR="00161739" w:rsidRDefault="00161739" w:rsidP="009A5E20">
      <w:pPr>
        <w:pStyle w:val="ParagraphContinued"/>
      </w:pPr>
      <w:r>
        <w:t xml:space="preserve">Some functions </w:t>
      </w:r>
      <w:r w:rsidR="00720AF4">
        <w:t>exist</w:t>
      </w:r>
      <w:r>
        <w:t xml:space="preserve"> in the global shared library so that they can be easily used across eCQMs. Figure 4.6 depicts the “NormalizeInterval” function as an example of a calendar function from the </w:t>
      </w:r>
      <w:r w:rsidR="00720AF4">
        <w:t>"</w:t>
      </w:r>
      <w:r>
        <w:t>global</w:t>
      </w:r>
      <w:r w:rsidR="00720AF4">
        <w:t>"</w:t>
      </w:r>
      <w:r>
        <w:t xml:space="preserve"> shared library.</w:t>
      </w:r>
    </w:p>
    <w:p w14:paraId="01FA3058" w14:textId="40DA7B98" w:rsidR="00161739" w:rsidRDefault="00161739" w:rsidP="002B19E7">
      <w:pPr>
        <w:pStyle w:val="FigureTitle"/>
      </w:pPr>
      <w:bookmarkStart w:id="394" w:name="_heading=h.4k668n3" w:colFirst="0" w:colLast="0"/>
      <w:bookmarkStart w:id="395" w:name="_Ref512868389"/>
      <w:bookmarkStart w:id="396" w:name="_Toc159577879"/>
      <w:bookmarkStart w:id="397" w:name="_Toc195047215"/>
      <w:bookmarkEnd w:id="394"/>
      <w:r w:rsidRPr="001141A7">
        <w:t xml:space="preserve">Figure </w:t>
      </w:r>
      <w:bookmarkEnd w:id="395"/>
      <w:r w:rsidRPr="001141A7">
        <w:t>4.6. Example of CQL Global Function</w:t>
      </w:r>
      <w:bookmarkEnd w:id="396"/>
      <w:bookmarkEnd w:id="397"/>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D841BF" w:rsidRPr="002973D7" w14:paraId="55D5B94C" w14:textId="77777777" w:rsidTr="00BA3DF1">
        <w:tc>
          <w:tcPr>
            <w:tcW w:w="5000" w:type="pct"/>
            <w:shd w:val="clear" w:color="auto" w:fill="auto"/>
          </w:tcPr>
          <w:p w14:paraId="4EB86A09" w14:textId="46DC527E" w:rsidR="00D841BF" w:rsidRPr="000E0028" w:rsidRDefault="000E0028" w:rsidP="000E0028">
            <w:pPr>
              <w:pStyle w:val="FigureHeader"/>
              <w:ind w:left="0"/>
              <w:rPr>
                <w:rFonts w:cs="Courier New"/>
                <w:b w:val="0"/>
                <w:sz w:val="17"/>
                <w:szCs w:val="17"/>
              </w:rPr>
            </w:pPr>
            <w:r w:rsidRPr="005E64B8">
              <w:rPr>
                <w:rFonts w:ascii="Cambria Math" w:hAnsi="Cambria Math"/>
              </w:rPr>
              <w:t>◢</w:t>
            </w:r>
            <w:r>
              <w:rPr>
                <w:rFonts w:ascii="Cambria Math" w:hAnsi="Cambria Math"/>
              </w:rPr>
              <w:t xml:space="preserve"> </w:t>
            </w:r>
            <w:proofErr w:type="spellStart"/>
            <w:r w:rsidR="00D841BF" w:rsidRPr="00621D97">
              <w:rPr>
                <w:rFonts w:cs="Courier New"/>
                <w:sz w:val="17"/>
                <w:szCs w:val="17"/>
              </w:rPr>
              <w:t>Global.NormalizeInterval</w:t>
            </w:r>
            <w:proofErr w:type="spellEnd"/>
            <w:r w:rsidR="00D841BF" w:rsidRPr="00621D97">
              <w:rPr>
                <w:rFonts w:cs="Courier New"/>
                <w:sz w:val="17"/>
                <w:szCs w:val="17"/>
              </w:rPr>
              <w:t>(</w:t>
            </w:r>
            <w:proofErr w:type="spellStart"/>
            <w:r w:rsidR="00D841BF" w:rsidRPr="00621D97">
              <w:rPr>
                <w:rFonts w:cs="Courier New"/>
                <w:sz w:val="17"/>
                <w:szCs w:val="17"/>
              </w:rPr>
              <w:t>pointInTime</w:t>
            </w:r>
            <w:proofErr w:type="spellEnd"/>
            <w:r w:rsidR="00D841BF" w:rsidRPr="00621D97">
              <w:rPr>
                <w:rFonts w:cs="Courier New"/>
                <w:sz w:val="17"/>
                <w:szCs w:val="17"/>
              </w:rPr>
              <w:t xml:space="preserve"> </w:t>
            </w:r>
            <w:proofErr w:type="spellStart"/>
            <w:r w:rsidR="00D841BF" w:rsidRPr="00621D97">
              <w:rPr>
                <w:rFonts w:cs="Courier New"/>
                <w:sz w:val="17"/>
                <w:szCs w:val="17"/>
              </w:rPr>
              <w:t>DateTime</w:t>
            </w:r>
            <w:proofErr w:type="spellEnd"/>
            <w:r w:rsidR="00D841BF" w:rsidRPr="00621D97">
              <w:rPr>
                <w:rFonts w:cs="Courier New"/>
                <w:sz w:val="17"/>
                <w:szCs w:val="17"/>
              </w:rPr>
              <w:t>, period Interval&lt;</w:t>
            </w:r>
            <w:proofErr w:type="spellStart"/>
            <w:r w:rsidR="00D841BF" w:rsidRPr="00621D97">
              <w:rPr>
                <w:rFonts w:cs="Courier New"/>
                <w:sz w:val="17"/>
                <w:szCs w:val="17"/>
              </w:rPr>
              <w:t>DateTime</w:t>
            </w:r>
            <w:proofErr w:type="spellEnd"/>
            <w:r w:rsidR="00D841BF" w:rsidRPr="00621D97">
              <w:rPr>
                <w:rFonts w:cs="Courier New"/>
                <w:sz w:val="17"/>
                <w:szCs w:val="17"/>
              </w:rPr>
              <w:t>&gt;)</w:t>
            </w:r>
          </w:p>
          <w:p w14:paraId="13C8ACCB" w14:textId="77777777" w:rsidR="00D841BF" w:rsidRPr="00621D97" w:rsidRDefault="00D841BF" w:rsidP="000E0028">
            <w:pPr>
              <w:pStyle w:val="Figure"/>
              <w:ind w:left="720"/>
              <w:rPr>
                <w:rFonts w:cs="Courier New"/>
                <w:sz w:val="17"/>
                <w:szCs w:val="17"/>
              </w:rPr>
            </w:pPr>
            <w:r w:rsidRPr="00621D97">
              <w:rPr>
                <w:rFonts w:cs="Courier New"/>
                <w:sz w:val="17"/>
                <w:szCs w:val="17"/>
              </w:rPr>
              <w:t xml:space="preserve">if </w:t>
            </w:r>
            <w:proofErr w:type="spellStart"/>
            <w:r w:rsidRPr="00621D97">
              <w:rPr>
                <w:rFonts w:cs="Courier New"/>
                <w:sz w:val="17"/>
                <w:szCs w:val="17"/>
              </w:rPr>
              <w:t>pointInTime</w:t>
            </w:r>
            <w:proofErr w:type="spellEnd"/>
            <w:r w:rsidRPr="00621D97">
              <w:rPr>
                <w:rFonts w:cs="Courier New"/>
                <w:sz w:val="17"/>
                <w:szCs w:val="17"/>
              </w:rPr>
              <w:t xml:space="preserve"> is not null then Interval[</w:t>
            </w:r>
            <w:proofErr w:type="spellStart"/>
            <w:r w:rsidRPr="00621D97">
              <w:rPr>
                <w:rFonts w:cs="Courier New"/>
                <w:sz w:val="17"/>
                <w:szCs w:val="17"/>
              </w:rPr>
              <w:t>pointInTime</w:t>
            </w:r>
            <w:proofErr w:type="spellEnd"/>
            <w:r w:rsidRPr="00621D97">
              <w:rPr>
                <w:rFonts w:cs="Courier New"/>
                <w:sz w:val="17"/>
                <w:szCs w:val="17"/>
              </w:rPr>
              <w:t xml:space="preserve">, </w:t>
            </w:r>
            <w:proofErr w:type="spellStart"/>
            <w:r w:rsidRPr="00621D97">
              <w:rPr>
                <w:rFonts w:cs="Courier New"/>
                <w:sz w:val="17"/>
                <w:szCs w:val="17"/>
              </w:rPr>
              <w:t>pointInTime</w:t>
            </w:r>
            <w:proofErr w:type="spellEnd"/>
            <w:r w:rsidRPr="00621D97">
              <w:rPr>
                <w:rFonts w:cs="Courier New"/>
                <w:sz w:val="17"/>
                <w:szCs w:val="17"/>
              </w:rPr>
              <w:t>]</w:t>
            </w:r>
          </w:p>
          <w:p w14:paraId="1499B334" w14:textId="77777777" w:rsidR="00D841BF" w:rsidRPr="00621D97" w:rsidRDefault="00D841BF" w:rsidP="000E0028">
            <w:pPr>
              <w:pStyle w:val="Figure"/>
              <w:ind w:left="720"/>
              <w:rPr>
                <w:rFonts w:cs="Courier New"/>
                <w:sz w:val="17"/>
                <w:szCs w:val="17"/>
              </w:rPr>
            </w:pPr>
            <w:r w:rsidRPr="00621D97">
              <w:rPr>
                <w:rFonts w:cs="Courier New"/>
                <w:sz w:val="17"/>
                <w:szCs w:val="17"/>
              </w:rPr>
              <w:t xml:space="preserve">  else if period is not null then period </w:t>
            </w:r>
          </w:p>
          <w:p w14:paraId="4B74AB20" w14:textId="0D0A49CB" w:rsidR="002B19E7" w:rsidRPr="002973D7" w:rsidRDefault="00D841BF" w:rsidP="000E0028">
            <w:pPr>
              <w:pStyle w:val="Figure"/>
              <w:ind w:left="720"/>
              <w:rPr>
                <w:rFonts w:ascii="Courier New" w:hAnsi="Courier New" w:cs="Courier New"/>
                <w:sz w:val="20"/>
                <w:szCs w:val="20"/>
              </w:rPr>
            </w:pPr>
            <w:r w:rsidRPr="00621D97">
              <w:rPr>
                <w:rFonts w:cs="Courier New"/>
                <w:sz w:val="17"/>
                <w:szCs w:val="17"/>
              </w:rPr>
              <w:t xml:space="preserve">  else null as Interval&lt;</w:t>
            </w:r>
            <w:proofErr w:type="spellStart"/>
            <w:r w:rsidRPr="00621D97">
              <w:rPr>
                <w:rFonts w:cs="Courier New"/>
                <w:sz w:val="17"/>
                <w:szCs w:val="17"/>
              </w:rPr>
              <w:t>DateTime</w:t>
            </w:r>
            <w:proofErr w:type="spellEnd"/>
            <w:r w:rsidRPr="00621D97">
              <w:rPr>
                <w:rFonts w:cs="Courier New"/>
                <w:sz w:val="17"/>
                <w:szCs w:val="17"/>
              </w:rPr>
              <w:t>&gt;</w:t>
            </w:r>
          </w:p>
        </w:tc>
      </w:tr>
    </w:tbl>
    <w:p w14:paraId="761D516B" w14:textId="3E9BE742" w:rsidR="00161739" w:rsidRDefault="009A5E20" w:rsidP="009A5E20">
      <w:pPr>
        <w:pStyle w:val="H4-Num"/>
      </w:pPr>
      <w:bookmarkStart w:id="398" w:name="_Libraries"/>
      <w:bookmarkStart w:id="399" w:name="_Toc184039796"/>
      <w:bookmarkStart w:id="400" w:name="_Toc159575009"/>
      <w:bookmarkStart w:id="401" w:name="_Toc159575161"/>
      <w:bookmarkEnd w:id="398"/>
      <w:r>
        <w:t>4.2.2.1</w:t>
      </w:r>
      <w:r>
        <w:tab/>
      </w:r>
      <w:r w:rsidR="00161739">
        <w:t>Libraries</w:t>
      </w:r>
      <w:bookmarkEnd w:id="399"/>
      <w:bookmarkEnd w:id="400"/>
      <w:bookmarkEnd w:id="401"/>
      <w:r w:rsidR="00161739">
        <w:t xml:space="preserve"> </w:t>
      </w:r>
    </w:p>
    <w:p w14:paraId="5DC97194" w14:textId="416FB3C4" w:rsidR="00161739" w:rsidRDefault="00161739" w:rsidP="009A5E20">
      <w:pPr>
        <w:pStyle w:val="ParagraphContinued"/>
      </w:pPr>
      <w:r>
        <w:t xml:space="preserve">Measure authors can share definitions or functions across eCQMs </w:t>
      </w:r>
      <w:r w:rsidR="00D74AE0">
        <w:t>by including additional</w:t>
      </w:r>
      <w:r>
        <w:t xml:space="preserve"> libraries. Sharing can occur locally—that is, for use across several eCQMs—or globally through the </w:t>
      </w:r>
      <w:r w:rsidR="00720AF4">
        <w:t>"</w:t>
      </w:r>
      <w:r>
        <w:t>global</w:t>
      </w:r>
      <w:r w:rsidR="00720AF4">
        <w:t>"</w:t>
      </w:r>
      <w:r>
        <w:t xml:space="preserve"> shared library for use across all eCQMs. Figure 4.6 shows the referenced function of “</w:t>
      </w:r>
      <w:proofErr w:type="spellStart"/>
      <w:r>
        <w:t>Global.NormalizeInterval</w:t>
      </w:r>
      <w:proofErr w:type="spellEnd"/>
      <w:r>
        <w:t xml:space="preserve">()” from the global shared library, </w:t>
      </w:r>
      <w:proofErr w:type="spellStart"/>
      <w:r>
        <w:t>CQMCommonQDM</w:t>
      </w:r>
      <w:proofErr w:type="spellEnd"/>
      <w:r>
        <w:t>. Figure 4.7 shows the referenced definition of “</w:t>
      </w:r>
      <w:proofErr w:type="spellStart"/>
      <w:r>
        <w:t>Hospice.Has</w:t>
      </w:r>
      <w:proofErr w:type="spellEnd"/>
      <w:r>
        <w:t xml:space="preserve"> Hospice Services,” </w:t>
      </w:r>
      <w:r w:rsidRPr="00A02ADB">
        <w:t>which determines whether the patient is receiving hospice care</w:t>
      </w:r>
      <w:r>
        <w:t xml:space="preserve">, from the local shared </w:t>
      </w:r>
      <w:proofErr w:type="spellStart"/>
      <w:r>
        <w:t>HospiceQDM</w:t>
      </w:r>
      <w:proofErr w:type="spellEnd"/>
      <w:r>
        <w:t xml:space="preserve"> library. </w:t>
      </w:r>
    </w:p>
    <w:p w14:paraId="7A27971F" w14:textId="77777777" w:rsidR="00D841BF" w:rsidRDefault="00161739" w:rsidP="00495DD4">
      <w:pPr>
        <w:pStyle w:val="FigureTitle"/>
        <w:spacing w:after="240"/>
      </w:pPr>
      <w:bookmarkStart w:id="402" w:name="_heading=h.1egqt2p" w:colFirst="0" w:colLast="0"/>
      <w:bookmarkStart w:id="403" w:name="_Ref512868564"/>
      <w:bookmarkStart w:id="404" w:name="_Toc159577880"/>
      <w:bookmarkStart w:id="405" w:name="_Toc195047216"/>
      <w:bookmarkEnd w:id="402"/>
      <w:r w:rsidRPr="001141A7">
        <w:t xml:space="preserve">Figure </w:t>
      </w:r>
      <w:bookmarkEnd w:id="403"/>
      <w:r w:rsidRPr="001141A7">
        <w:t xml:space="preserve">4.7. Example of Population Criteria Using a </w:t>
      </w:r>
      <w:r>
        <w:t xml:space="preserve">Definition from a </w:t>
      </w:r>
      <w:r w:rsidRPr="001141A7">
        <w:t xml:space="preserve">Local </w:t>
      </w:r>
      <w:r>
        <w:t xml:space="preserve">Shared </w:t>
      </w:r>
      <w:r w:rsidRPr="001141A7">
        <w:t>Library</w:t>
      </w:r>
      <w:bookmarkEnd w:id="404"/>
      <w:bookmarkEnd w:id="405"/>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D841BF" w:rsidRPr="002973D7" w14:paraId="4BCB4D5B" w14:textId="77777777" w:rsidTr="00BA3DF1">
        <w:tc>
          <w:tcPr>
            <w:tcW w:w="5000" w:type="pct"/>
            <w:shd w:val="clear" w:color="auto" w:fill="auto"/>
          </w:tcPr>
          <w:p w14:paraId="5390AE2D" w14:textId="0F76223F" w:rsidR="00D841BF" w:rsidRPr="0049395E" w:rsidRDefault="0049395E" w:rsidP="0049395E">
            <w:pPr>
              <w:pStyle w:val="FigureHeader"/>
              <w:ind w:left="0"/>
            </w:pPr>
            <w:r w:rsidRPr="005E64B8">
              <w:rPr>
                <w:rFonts w:ascii="Cambria Math" w:hAnsi="Cambria Math"/>
              </w:rPr>
              <w:t>◢</w:t>
            </w:r>
            <w:r>
              <w:rPr>
                <w:rFonts w:ascii="Cambria Math" w:hAnsi="Cambria Math"/>
              </w:rPr>
              <w:t xml:space="preserve"> </w:t>
            </w:r>
            <w:proofErr w:type="spellStart"/>
            <w:r>
              <w:t>Hospice.Has</w:t>
            </w:r>
            <w:proofErr w:type="spellEnd"/>
            <w:r>
              <w:t xml:space="preserve"> Hospice Services</w:t>
            </w:r>
          </w:p>
          <w:p w14:paraId="7076E7F6"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lastRenderedPageBreak/>
              <w:t xml:space="preserve">exists ( ["Encounter, Performed": "Encounter Inpatient"] </w:t>
            </w:r>
            <w:proofErr w:type="spellStart"/>
            <w:r w:rsidRPr="00621D97">
              <w:rPr>
                <w:rFonts w:ascii="Verdana" w:hAnsi="Verdana" w:cs="Courier New"/>
                <w:color w:val="000000"/>
                <w:sz w:val="17"/>
                <w:szCs w:val="17"/>
              </w:rPr>
              <w:t>InpatientEncounter</w:t>
            </w:r>
            <w:proofErr w:type="spellEnd"/>
          </w:p>
          <w:p w14:paraId="1CADACA0"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where ( </w:t>
            </w:r>
            <w:proofErr w:type="spellStart"/>
            <w:r w:rsidRPr="00621D97">
              <w:rPr>
                <w:rFonts w:ascii="Verdana" w:hAnsi="Verdana" w:cs="Courier New"/>
                <w:color w:val="000000"/>
                <w:sz w:val="17"/>
                <w:szCs w:val="17"/>
              </w:rPr>
              <w:t>InpatientEncounter.dischargeDisposition</w:t>
            </w:r>
            <w:proofErr w:type="spellEnd"/>
            <w:r w:rsidRPr="00621D97">
              <w:rPr>
                <w:rFonts w:ascii="Verdana" w:hAnsi="Verdana" w:cs="Courier New"/>
                <w:color w:val="000000"/>
                <w:sz w:val="17"/>
                <w:szCs w:val="17"/>
              </w:rPr>
              <w:t xml:space="preserve"> ~ "Discharge to home for hospice care (procedure)"</w:t>
            </w:r>
          </w:p>
          <w:p w14:paraId="4DC42B19"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or </w:t>
            </w:r>
            <w:proofErr w:type="spellStart"/>
            <w:r w:rsidRPr="00621D97">
              <w:rPr>
                <w:rFonts w:ascii="Verdana" w:hAnsi="Verdana" w:cs="Courier New"/>
                <w:color w:val="000000"/>
                <w:sz w:val="17"/>
                <w:szCs w:val="17"/>
              </w:rPr>
              <w:t>InpatientEncounter.dischargeDisposition</w:t>
            </w:r>
            <w:proofErr w:type="spellEnd"/>
            <w:r w:rsidRPr="00621D97">
              <w:rPr>
                <w:rFonts w:ascii="Verdana" w:hAnsi="Verdana" w:cs="Courier New"/>
                <w:color w:val="000000"/>
                <w:sz w:val="17"/>
                <w:szCs w:val="17"/>
              </w:rPr>
              <w:t xml:space="preserve"> ~ "Discharge to healthcare facility for hospice care (procedure)"</w:t>
            </w:r>
          </w:p>
          <w:p w14:paraId="79B64807"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t>
            </w:r>
          </w:p>
          <w:p w14:paraId="60F62E99"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and </w:t>
            </w:r>
            <w:proofErr w:type="spellStart"/>
            <w:r w:rsidRPr="00621D97">
              <w:rPr>
                <w:rFonts w:ascii="Verdana" w:hAnsi="Verdana" w:cs="Courier New"/>
                <w:color w:val="000000"/>
                <w:sz w:val="17"/>
                <w:szCs w:val="17"/>
              </w:rPr>
              <w:t>InpatientEncounter.relevantPeriod</w:t>
            </w:r>
            <w:proofErr w:type="spellEnd"/>
            <w:r w:rsidRPr="00621D97">
              <w:rPr>
                <w:rFonts w:ascii="Verdana" w:hAnsi="Verdana" w:cs="Courier New"/>
                <w:color w:val="000000"/>
                <w:sz w:val="17"/>
                <w:szCs w:val="17"/>
              </w:rPr>
              <w:t xml:space="preserve"> ends during day of "Measurement Period"</w:t>
            </w:r>
          </w:p>
          <w:p w14:paraId="5F669FBD"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w:t>
            </w:r>
          </w:p>
          <w:p w14:paraId="7F0AEEAC"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or exists ( ["Encounter, Performed": "Hospice Encounter"] </w:t>
            </w:r>
            <w:proofErr w:type="spellStart"/>
            <w:r w:rsidRPr="00621D97">
              <w:rPr>
                <w:rFonts w:ascii="Verdana" w:hAnsi="Verdana" w:cs="Courier New"/>
                <w:color w:val="000000"/>
                <w:sz w:val="17"/>
                <w:szCs w:val="17"/>
              </w:rPr>
              <w:t>HospiceEncounter</w:t>
            </w:r>
            <w:proofErr w:type="spellEnd"/>
          </w:p>
          <w:p w14:paraId="61733498"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where </w:t>
            </w:r>
            <w:proofErr w:type="spellStart"/>
            <w:r w:rsidRPr="00621D97">
              <w:rPr>
                <w:rFonts w:ascii="Verdana" w:hAnsi="Verdana" w:cs="Courier New"/>
                <w:color w:val="000000"/>
                <w:sz w:val="17"/>
                <w:szCs w:val="17"/>
              </w:rPr>
              <w:t>HospiceEncounter.relevantPeriod</w:t>
            </w:r>
            <w:proofErr w:type="spellEnd"/>
            <w:r w:rsidRPr="00621D97">
              <w:rPr>
                <w:rFonts w:ascii="Verdana" w:hAnsi="Verdana" w:cs="Courier New"/>
                <w:color w:val="000000"/>
                <w:sz w:val="17"/>
                <w:szCs w:val="17"/>
              </w:rPr>
              <w:t xml:space="preserve"> overlaps day of "Measurement Period"</w:t>
            </w:r>
          </w:p>
          <w:p w14:paraId="1BB58BA7"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t>
            </w:r>
          </w:p>
          <w:p w14:paraId="1EBB56BE"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or exists ( ["Assessment, Performed": "Hospice care [Minimum Data Set]"] </w:t>
            </w:r>
            <w:proofErr w:type="spellStart"/>
            <w:r w:rsidRPr="00621D97">
              <w:rPr>
                <w:rFonts w:ascii="Verdana" w:hAnsi="Verdana" w:cs="Courier New"/>
                <w:color w:val="000000"/>
                <w:sz w:val="17"/>
                <w:szCs w:val="17"/>
              </w:rPr>
              <w:t>HospiceAssessment</w:t>
            </w:r>
            <w:proofErr w:type="spellEnd"/>
          </w:p>
          <w:p w14:paraId="13FB7F08"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where </w:t>
            </w:r>
            <w:proofErr w:type="spellStart"/>
            <w:r w:rsidRPr="00621D97">
              <w:rPr>
                <w:rFonts w:ascii="Verdana" w:hAnsi="Verdana" w:cs="Courier New"/>
                <w:color w:val="000000"/>
                <w:sz w:val="17"/>
                <w:szCs w:val="17"/>
              </w:rPr>
              <w:t>HospiceAssessment.result</w:t>
            </w:r>
            <w:proofErr w:type="spellEnd"/>
            <w:r w:rsidRPr="00621D97">
              <w:rPr>
                <w:rFonts w:ascii="Verdana" w:hAnsi="Verdana" w:cs="Courier New"/>
                <w:color w:val="000000"/>
                <w:sz w:val="17"/>
                <w:szCs w:val="17"/>
              </w:rPr>
              <w:t xml:space="preserve"> ~ "Yes (qualifier value)"</w:t>
            </w:r>
          </w:p>
          <w:p w14:paraId="32451EBD"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and Global."NormalizeInterval" ( </w:t>
            </w:r>
            <w:proofErr w:type="spellStart"/>
            <w:r w:rsidRPr="00621D97">
              <w:rPr>
                <w:rFonts w:ascii="Verdana" w:hAnsi="Verdana" w:cs="Courier New"/>
                <w:color w:val="000000"/>
                <w:sz w:val="17"/>
                <w:szCs w:val="17"/>
              </w:rPr>
              <w:t>HospiceAssessment.relevantDatetime</w:t>
            </w:r>
            <w:proofErr w:type="spellEnd"/>
            <w:r w:rsidRPr="00621D97">
              <w:rPr>
                <w:rFonts w:ascii="Verdana" w:hAnsi="Verdana" w:cs="Courier New"/>
                <w:color w:val="000000"/>
                <w:sz w:val="17"/>
                <w:szCs w:val="17"/>
              </w:rPr>
              <w:t xml:space="preserve">, </w:t>
            </w:r>
            <w:proofErr w:type="spellStart"/>
            <w:r w:rsidRPr="00621D97">
              <w:rPr>
                <w:rFonts w:ascii="Verdana" w:hAnsi="Verdana" w:cs="Courier New"/>
                <w:color w:val="000000"/>
                <w:sz w:val="17"/>
                <w:szCs w:val="17"/>
              </w:rPr>
              <w:t>HospiceAssessment.relevantPeriod</w:t>
            </w:r>
            <w:proofErr w:type="spellEnd"/>
            <w:r w:rsidRPr="00621D97">
              <w:rPr>
                <w:rFonts w:ascii="Verdana" w:hAnsi="Verdana" w:cs="Courier New"/>
                <w:color w:val="000000"/>
                <w:sz w:val="17"/>
                <w:szCs w:val="17"/>
              </w:rPr>
              <w:t xml:space="preserve"> ) overlaps day of "Measurement Period"</w:t>
            </w:r>
          </w:p>
          <w:p w14:paraId="20B9016B"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t>
            </w:r>
          </w:p>
          <w:p w14:paraId="747827A8"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or exists ( ["Intervention, Order": "Hospice Care Ambulatory"] </w:t>
            </w:r>
            <w:proofErr w:type="spellStart"/>
            <w:r w:rsidRPr="00621D97">
              <w:rPr>
                <w:rFonts w:ascii="Verdana" w:hAnsi="Verdana" w:cs="Courier New"/>
                <w:color w:val="000000"/>
                <w:sz w:val="17"/>
                <w:szCs w:val="17"/>
              </w:rPr>
              <w:t>HospiceOrder</w:t>
            </w:r>
            <w:proofErr w:type="spellEnd"/>
          </w:p>
          <w:p w14:paraId="4096444E"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where </w:t>
            </w:r>
            <w:proofErr w:type="spellStart"/>
            <w:r w:rsidRPr="00621D97">
              <w:rPr>
                <w:rFonts w:ascii="Verdana" w:hAnsi="Verdana" w:cs="Courier New"/>
                <w:color w:val="000000"/>
                <w:sz w:val="17"/>
                <w:szCs w:val="17"/>
              </w:rPr>
              <w:t>HospiceOrder.authorDatetime</w:t>
            </w:r>
            <w:proofErr w:type="spellEnd"/>
            <w:r w:rsidRPr="00621D97">
              <w:rPr>
                <w:rFonts w:ascii="Verdana" w:hAnsi="Verdana" w:cs="Courier New"/>
                <w:color w:val="000000"/>
                <w:sz w:val="17"/>
                <w:szCs w:val="17"/>
              </w:rPr>
              <w:t xml:space="preserve"> during day of "Measurement Period"</w:t>
            </w:r>
          </w:p>
          <w:p w14:paraId="5FC729F1"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t>
            </w:r>
          </w:p>
          <w:p w14:paraId="76A0F8EF"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or exists ( ["Intervention, Performed": "Hospice Care Ambulatory"] </w:t>
            </w:r>
            <w:proofErr w:type="spellStart"/>
            <w:r w:rsidRPr="00621D97">
              <w:rPr>
                <w:rFonts w:ascii="Verdana" w:hAnsi="Verdana" w:cs="Courier New"/>
                <w:color w:val="000000"/>
                <w:sz w:val="17"/>
                <w:szCs w:val="17"/>
              </w:rPr>
              <w:t>HospicePerformed</w:t>
            </w:r>
            <w:proofErr w:type="spellEnd"/>
          </w:p>
          <w:p w14:paraId="187AE8BB"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where Global."NormalizeInterval" ( </w:t>
            </w:r>
            <w:proofErr w:type="spellStart"/>
            <w:r w:rsidRPr="00621D97">
              <w:rPr>
                <w:rFonts w:ascii="Verdana" w:hAnsi="Verdana" w:cs="Courier New"/>
                <w:color w:val="000000"/>
                <w:sz w:val="17"/>
                <w:szCs w:val="17"/>
              </w:rPr>
              <w:t>HospicePerformed.relevantDatetime</w:t>
            </w:r>
            <w:proofErr w:type="spellEnd"/>
            <w:r w:rsidRPr="00621D97">
              <w:rPr>
                <w:rFonts w:ascii="Verdana" w:hAnsi="Verdana" w:cs="Courier New"/>
                <w:color w:val="000000"/>
                <w:sz w:val="17"/>
                <w:szCs w:val="17"/>
              </w:rPr>
              <w:t xml:space="preserve">, </w:t>
            </w:r>
            <w:proofErr w:type="spellStart"/>
            <w:r w:rsidRPr="00621D97">
              <w:rPr>
                <w:rFonts w:ascii="Verdana" w:hAnsi="Verdana" w:cs="Courier New"/>
                <w:color w:val="000000"/>
                <w:sz w:val="17"/>
                <w:szCs w:val="17"/>
              </w:rPr>
              <w:t>HospicePerformed.relevantPeriod</w:t>
            </w:r>
            <w:proofErr w:type="spellEnd"/>
            <w:r w:rsidRPr="00621D97">
              <w:rPr>
                <w:rFonts w:ascii="Verdana" w:hAnsi="Verdana" w:cs="Courier New"/>
                <w:color w:val="000000"/>
                <w:sz w:val="17"/>
                <w:szCs w:val="17"/>
              </w:rPr>
              <w:t xml:space="preserve"> ) overlaps day of "Measurement Period"</w:t>
            </w:r>
          </w:p>
          <w:p w14:paraId="3E3F03CF"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t>
            </w:r>
          </w:p>
          <w:p w14:paraId="1281E6AE"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or exists ( ["Diagnosis": "Hospice Diagnosis"] </w:t>
            </w:r>
            <w:proofErr w:type="spellStart"/>
            <w:r w:rsidRPr="00621D97">
              <w:rPr>
                <w:rFonts w:ascii="Verdana" w:hAnsi="Verdana" w:cs="Courier New"/>
                <w:color w:val="000000"/>
                <w:sz w:val="17"/>
                <w:szCs w:val="17"/>
              </w:rPr>
              <w:t>HospiceCareDiagnosis</w:t>
            </w:r>
            <w:proofErr w:type="spellEnd"/>
          </w:p>
          <w:p w14:paraId="1C7B69D2" w14:textId="77777777" w:rsidR="00D841BF" w:rsidRPr="00621D97" w:rsidRDefault="00D841BF" w:rsidP="00E03612">
            <w:pPr>
              <w:keepNext/>
              <w:keepLines/>
              <w:spacing w:after="0" w:line="240" w:lineRule="auto"/>
              <w:ind w:left="720"/>
              <w:rPr>
                <w:rFonts w:ascii="Verdana" w:hAnsi="Verdana" w:cs="Courier New"/>
                <w:color w:val="000000"/>
                <w:sz w:val="17"/>
                <w:szCs w:val="17"/>
              </w:rPr>
            </w:pPr>
            <w:r w:rsidRPr="00621D97">
              <w:rPr>
                <w:rFonts w:ascii="Verdana" w:hAnsi="Verdana" w:cs="Courier New"/>
                <w:color w:val="000000"/>
                <w:sz w:val="17"/>
                <w:szCs w:val="17"/>
              </w:rPr>
              <w:t xml:space="preserve">      where </w:t>
            </w:r>
            <w:proofErr w:type="spellStart"/>
            <w:r w:rsidRPr="00621D97">
              <w:rPr>
                <w:rFonts w:ascii="Verdana" w:hAnsi="Verdana" w:cs="Courier New"/>
                <w:color w:val="000000"/>
                <w:sz w:val="17"/>
                <w:szCs w:val="17"/>
              </w:rPr>
              <w:t>HospiceCareDiagnosis.prevalencePeriod</w:t>
            </w:r>
            <w:proofErr w:type="spellEnd"/>
            <w:r w:rsidRPr="00621D97">
              <w:rPr>
                <w:rFonts w:ascii="Verdana" w:hAnsi="Verdana" w:cs="Courier New"/>
                <w:color w:val="000000"/>
                <w:sz w:val="17"/>
                <w:szCs w:val="17"/>
              </w:rPr>
              <w:t xml:space="preserve"> overlaps day of "Measurement Period"</w:t>
            </w:r>
          </w:p>
          <w:p w14:paraId="1B529FDB" w14:textId="5910A03A" w:rsidR="00D841BF" w:rsidRPr="002973D7" w:rsidRDefault="00D841BF" w:rsidP="00E03612">
            <w:pPr>
              <w:keepNext/>
              <w:keepLines/>
              <w:spacing w:after="0" w:line="240" w:lineRule="auto"/>
              <w:ind w:left="720" w:firstLine="720"/>
              <w:textDirection w:val="btLr"/>
              <w:rPr>
                <w:sz w:val="20"/>
                <w:szCs w:val="20"/>
              </w:rPr>
            </w:pPr>
            <w:r w:rsidRPr="00621D97">
              <w:rPr>
                <w:rFonts w:ascii="Verdana" w:hAnsi="Verdana" w:cs="Courier New"/>
                <w:color w:val="000000"/>
                <w:sz w:val="17"/>
                <w:szCs w:val="17"/>
              </w:rPr>
              <w:t xml:space="preserve">  )</w:t>
            </w:r>
          </w:p>
        </w:tc>
      </w:tr>
    </w:tbl>
    <w:p w14:paraId="574CEFA6" w14:textId="30505842" w:rsidR="00161739" w:rsidRDefault="009A5E20" w:rsidP="009A5E20">
      <w:pPr>
        <w:pStyle w:val="H3-Num"/>
      </w:pPr>
      <w:bookmarkStart w:id="406" w:name="_Terminology_and_Data"/>
      <w:bookmarkStart w:id="407" w:name="_Toc184039797"/>
      <w:bookmarkStart w:id="408" w:name="_Toc159575162"/>
      <w:bookmarkStart w:id="409" w:name="_Toc190852971"/>
      <w:bookmarkStart w:id="410" w:name="_Toc195047573"/>
      <w:bookmarkEnd w:id="406"/>
      <w:r>
        <w:lastRenderedPageBreak/>
        <w:t>4.2.3</w:t>
      </w:r>
      <w:r>
        <w:tab/>
      </w:r>
      <w:r w:rsidR="00161739">
        <w:t xml:space="preserve">Terminology and </w:t>
      </w:r>
      <w:bookmarkStart w:id="411" w:name="_Toc511856737"/>
      <w:bookmarkStart w:id="412" w:name="_Toc511856866"/>
      <w:bookmarkStart w:id="413" w:name="_Toc511856998"/>
      <w:bookmarkStart w:id="414" w:name="_Toc511982847"/>
      <w:bookmarkStart w:id="415" w:name="_Toc511984747"/>
      <w:bookmarkStart w:id="416" w:name="_Toc511984896"/>
      <w:bookmarkStart w:id="417" w:name="_Toc511985045"/>
      <w:bookmarkStart w:id="418" w:name="_Toc511985195"/>
      <w:bookmarkStart w:id="419" w:name="_Toc511985345"/>
      <w:bookmarkStart w:id="420" w:name="_Toc511824914"/>
      <w:bookmarkStart w:id="421" w:name="_Toc511856738"/>
      <w:bookmarkStart w:id="422" w:name="_Toc511856867"/>
      <w:bookmarkStart w:id="423" w:name="_Toc511856999"/>
      <w:bookmarkStart w:id="424" w:name="_Toc511982848"/>
      <w:bookmarkStart w:id="425" w:name="_Toc511984748"/>
      <w:bookmarkStart w:id="426" w:name="_Toc511984897"/>
      <w:bookmarkStart w:id="427" w:name="_Toc511985046"/>
      <w:bookmarkStart w:id="428" w:name="_Toc511985196"/>
      <w:bookmarkStart w:id="429" w:name="_Toc511985346"/>
      <w:bookmarkStart w:id="430" w:name="_Toc511991134"/>
      <w:bookmarkStart w:id="431" w:name="_Toc511998104"/>
      <w:bookmarkStart w:id="432" w:name="_Toc511998271"/>
      <w:bookmarkStart w:id="433" w:name="_Toc512003248"/>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sidR="00161739">
        <w:t>Data Criteria (QDM Data Elements)</w:t>
      </w:r>
      <w:bookmarkEnd w:id="407"/>
      <w:bookmarkEnd w:id="408"/>
      <w:bookmarkEnd w:id="409"/>
      <w:bookmarkEnd w:id="410"/>
    </w:p>
    <w:p w14:paraId="3D92923D" w14:textId="77777777" w:rsidR="00161739" w:rsidRDefault="00161739" w:rsidP="009A5E20">
      <w:pPr>
        <w:pStyle w:val="ParagraphContinued"/>
      </w:pPr>
      <w:r>
        <w:t>The Terminology section provides a complete list of value sets and DRCs used in an eCQM, including the value set name with its unique OID. For DRCs, the list contains the code, code system version, and the OID of the code system that each DRC uses.</w:t>
      </w:r>
    </w:p>
    <w:p w14:paraId="3B010D52" w14:textId="75503254" w:rsidR="00161739" w:rsidRDefault="00161739" w:rsidP="009A5E20">
      <w:pPr>
        <w:pStyle w:val="Paragraph"/>
      </w:pPr>
      <w:r>
        <w:t xml:space="preserve">The Data Criteria (QDM Data Elements) section shows how to assemble the population criteria of an eCQM. Data criteria consist of QDM data elements and the </w:t>
      </w:r>
      <w:r w:rsidR="00D74AE0">
        <w:t xml:space="preserve">DRCs </w:t>
      </w:r>
      <w:r>
        <w:t>or value sets that define them. The Data Criteria (QDM Data Elements) section of the human-readable HTML file lists alphabetically all unique QDM data elements</w:t>
      </w:r>
      <w:r>
        <w:rPr>
          <w:i/>
        </w:rPr>
        <w:t>,</w:t>
      </w:r>
      <w:r>
        <w:t xml:space="preserve"> with corresponding value sets, that an eCQM uses.</w:t>
      </w:r>
    </w:p>
    <w:p w14:paraId="3268D07E" w14:textId="77777777" w:rsidR="00161739" w:rsidRDefault="00161739" w:rsidP="009A5E20">
      <w:pPr>
        <w:pStyle w:val="Paragraph"/>
      </w:pPr>
      <w:r>
        <w:t xml:space="preserve">QDM also defines additional information about a data element that an eCQM might contain, referred to as attributes. All QDM datatypes have a code attribute that an eCQM expression must bind to the terminology, either a value set or a DRC. eCQMs represent other QDM attributes in a “where” clause to further narrow the instances of QDM data elements within a population. For example, a </w:t>
      </w:r>
      <w:proofErr w:type="spellStart"/>
      <w:r>
        <w:rPr>
          <w:i/>
        </w:rPr>
        <w:t>relevantPeriod</w:t>
      </w:r>
      <w:proofErr w:type="spellEnd"/>
      <w:r>
        <w:t xml:space="preserve"> attribute could provide the time interval for a hospital admission and discharge. CQL logic can assess whether this </w:t>
      </w:r>
      <w:proofErr w:type="spellStart"/>
      <w:r>
        <w:rPr>
          <w:i/>
        </w:rPr>
        <w:t>relevantPeriod</w:t>
      </w:r>
      <w:proofErr w:type="spellEnd"/>
      <w:r>
        <w:t xml:space="preserve"> is within the measurement period.</w:t>
      </w:r>
    </w:p>
    <w:p w14:paraId="7A13331C" w14:textId="77777777" w:rsidR="00161739" w:rsidRDefault="00161739" w:rsidP="009A5E20">
      <w:pPr>
        <w:pStyle w:val="Paragraph"/>
      </w:pPr>
      <w:r>
        <w:t xml:space="preserve">CQL expressions reference the attributes of QDM data elements to further refine and restrict the criteria. Sometimes these criteria involve quantities, such as restricting lab results to a certain threshold. In other cases, the attributes reference values or codes, such as indicating that the </w:t>
      </w:r>
      <w:proofErr w:type="spellStart"/>
      <w:r>
        <w:rPr>
          <w:i/>
        </w:rPr>
        <w:t>negationRationale</w:t>
      </w:r>
      <w:proofErr w:type="spellEnd"/>
      <w:r>
        <w:t xml:space="preserve"> must be a value from the “Patient Refusal” value set. When the CQL uses values to reference attributes, the value sets display in the Terminology section and not in the Data Criteria (QDM Data Elements) section, which is limited to values or value sets referenced with QDM datatypes. Attributes include concepts such as </w:t>
      </w:r>
      <w:r>
        <w:rPr>
          <w:i/>
        </w:rPr>
        <w:t xml:space="preserve">result, </w:t>
      </w:r>
      <w:proofErr w:type="spellStart"/>
      <w:r>
        <w:rPr>
          <w:i/>
        </w:rPr>
        <w:t>negationRationale</w:t>
      </w:r>
      <w:proofErr w:type="spellEnd"/>
      <w:r>
        <w:rPr>
          <w:i/>
        </w:rPr>
        <w:t>,</w:t>
      </w:r>
      <w:r>
        <w:t xml:space="preserve"> and </w:t>
      </w:r>
      <w:r>
        <w:rPr>
          <w:i/>
        </w:rPr>
        <w:t>severity</w:t>
      </w:r>
      <w:r>
        <w:t>, all of which provide further context for the data element expressed with the QDM datatype.</w:t>
      </w:r>
    </w:p>
    <w:p w14:paraId="4D9CA1FF" w14:textId="6620A0AA" w:rsidR="00161739" w:rsidRDefault="00161739" w:rsidP="009A5E20">
      <w:pPr>
        <w:pStyle w:val="Paragraph"/>
      </w:pPr>
      <w:bookmarkStart w:id="434" w:name="_heading=h.2dlolyb" w:colFirst="0" w:colLast="0"/>
      <w:bookmarkEnd w:id="434"/>
      <w:r>
        <w:lastRenderedPageBreak/>
        <w:t xml:space="preserve">For example, </w:t>
      </w:r>
      <w:hyperlink r:id="rId73" w:history="1">
        <w:r w:rsidRPr="00697E99">
          <w:rPr>
            <w:rStyle w:val="Hyperlink"/>
          </w:rPr>
          <w:t>CMS138v1</w:t>
        </w:r>
        <w:r w:rsidR="00697E99" w:rsidRPr="00697E99">
          <w:rPr>
            <w:rStyle w:val="Hyperlink"/>
          </w:rPr>
          <w:t>4</w:t>
        </w:r>
        <w:r w:rsidRPr="00697E99">
          <w:rPr>
            <w:rStyle w:val="Hyperlink"/>
          </w:rPr>
          <w:t>, Preventive Care and Screening: Tobacco Use: Screening and Cessation Intervention</w:t>
        </w:r>
      </w:hyperlink>
      <w:r>
        <w:t xml:space="preserve">, includes all patients receiving a tobacco screening in its numerator. To identify a tobacco screening, the logic looks for an assessment performed </w:t>
      </w:r>
      <w:bookmarkStart w:id="435" w:name="_Hlk26191157"/>
      <w:r>
        <w:t>during the measurement period. T</w:t>
      </w:r>
      <w:bookmarkEnd w:id="435"/>
      <w:r>
        <w:t>he result is a QDM data element of [“</w:t>
      </w:r>
      <w:r w:rsidRPr="001141A7">
        <w:t>Assessment, Performed”: “Tobacco Use Screening</w:t>
      </w:r>
      <w:r>
        <w:t>”]. Figure 4.8 shows an example of this CQL expression.</w:t>
      </w:r>
    </w:p>
    <w:p w14:paraId="40EEBAE7" w14:textId="77777777" w:rsidR="00110E29" w:rsidRDefault="00161739" w:rsidP="00110E29">
      <w:pPr>
        <w:pStyle w:val="FigureTitle"/>
      </w:pPr>
      <w:bookmarkStart w:id="436" w:name="_heading=h.sqyw64" w:colFirst="0" w:colLast="0"/>
      <w:bookmarkStart w:id="437" w:name="_Ref512868875"/>
      <w:bookmarkStart w:id="438" w:name="_Ref5785026"/>
      <w:bookmarkStart w:id="439" w:name="_Toc159577881"/>
      <w:bookmarkStart w:id="440" w:name="_Toc195047217"/>
      <w:bookmarkEnd w:id="436"/>
      <w:r w:rsidRPr="001141A7">
        <w:t>Figure</w:t>
      </w:r>
      <w:bookmarkEnd w:id="437"/>
      <w:r w:rsidRPr="001141A7">
        <w:t xml:space="preserve"> </w:t>
      </w:r>
      <w:bookmarkEnd w:id="438"/>
      <w:r w:rsidRPr="001141A7">
        <w:t>4.8. Example of a CQL Expression for a Tobacco Screening</w:t>
      </w:r>
      <w:bookmarkEnd w:id="439"/>
      <w:bookmarkEnd w:id="440"/>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110E29" w14:paraId="2EFD72CE" w14:textId="77777777" w:rsidTr="00BA3DF1">
        <w:tc>
          <w:tcPr>
            <w:tcW w:w="5000" w:type="pct"/>
            <w:shd w:val="clear" w:color="auto" w:fill="auto"/>
          </w:tcPr>
          <w:p w14:paraId="2184FB39" w14:textId="4EF1F825" w:rsidR="00110E29" w:rsidRDefault="00110E29" w:rsidP="00110E29">
            <w:pPr>
              <w:pStyle w:val="FigureHeader"/>
            </w:pPr>
            <w:r w:rsidRPr="005E64B8">
              <w:rPr>
                <w:rFonts w:ascii="Cambria Math" w:hAnsi="Cambria Math"/>
              </w:rPr>
              <w:t>◢</w:t>
            </w:r>
            <w:r>
              <w:rPr>
                <w:rFonts w:ascii="Cambria Math" w:hAnsi="Cambria Math"/>
              </w:rPr>
              <w:t xml:space="preserve"> </w:t>
            </w:r>
            <w:r>
              <w:t>Most Recent Tobacco Use Screening Indicates Tobacco User</w:t>
            </w:r>
          </w:p>
          <w:p w14:paraId="0A245CAF" w14:textId="77777777" w:rsidR="00585ABB" w:rsidRPr="00585ABB" w:rsidRDefault="00585ABB" w:rsidP="00585A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rPr>
                <w:rFonts w:ascii="Verdana" w:eastAsia="Times New Roman" w:hAnsi="Verdana" w:cs="Courier New"/>
                <w:color w:val="000000"/>
                <w:sz w:val="17"/>
                <w:szCs w:val="17"/>
              </w:rPr>
            </w:pPr>
            <w:r w:rsidRPr="00585ABB">
              <w:rPr>
                <w:rFonts w:ascii="Verdana" w:eastAsia="Times New Roman" w:hAnsi="Verdana" w:cs="Courier New"/>
                <w:color w:val="000000"/>
                <w:sz w:val="17"/>
                <w:szCs w:val="17"/>
              </w:rPr>
              <w:t xml:space="preserve">  ( Last(["Assessment, Performed": "Tobacco Use Screening"] TobaccoUseScreening</w:t>
            </w:r>
          </w:p>
          <w:p w14:paraId="3004565B" w14:textId="77777777" w:rsidR="00585ABB" w:rsidRPr="00585ABB" w:rsidRDefault="00585ABB" w:rsidP="00585A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rPr>
                <w:rFonts w:ascii="Verdana" w:eastAsia="Times New Roman" w:hAnsi="Verdana" w:cs="Courier New"/>
                <w:color w:val="000000"/>
                <w:sz w:val="17"/>
                <w:szCs w:val="17"/>
              </w:rPr>
            </w:pPr>
            <w:r w:rsidRPr="00585ABB">
              <w:rPr>
                <w:rFonts w:ascii="Verdana" w:eastAsia="Times New Roman" w:hAnsi="Verdana" w:cs="Courier New"/>
                <w:color w:val="000000"/>
                <w:sz w:val="17"/>
                <w:szCs w:val="17"/>
              </w:rPr>
              <w:t xml:space="preserve">      where Global."</w:t>
            </w:r>
            <w:proofErr w:type="spellStart"/>
            <w:r w:rsidRPr="00585ABB">
              <w:rPr>
                <w:rFonts w:ascii="Verdana" w:eastAsia="Times New Roman" w:hAnsi="Verdana" w:cs="Courier New"/>
                <w:color w:val="000000"/>
                <w:sz w:val="17"/>
                <w:szCs w:val="17"/>
              </w:rPr>
              <w:t>NormalizeInterval</w:t>
            </w:r>
            <w:proofErr w:type="spellEnd"/>
            <w:r w:rsidRPr="00585ABB">
              <w:rPr>
                <w:rFonts w:ascii="Verdana" w:eastAsia="Times New Roman" w:hAnsi="Verdana" w:cs="Courier New"/>
                <w:color w:val="000000"/>
                <w:sz w:val="17"/>
                <w:szCs w:val="17"/>
              </w:rPr>
              <w:t>"(</w:t>
            </w:r>
            <w:proofErr w:type="spellStart"/>
            <w:r w:rsidRPr="00585ABB">
              <w:rPr>
                <w:rFonts w:ascii="Verdana" w:eastAsia="Times New Roman" w:hAnsi="Verdana" w:cs="Courier New"/>
                <w:color w:val="000000"/>
                <w:sz w:val="17"/>
                <w:szCs w:val="17"/>
              </w:rPr>
              <w:t>TobaccoUseScreening.relevantDatetime</w:t>
            </w:r>
            <w:proofErr w:type="spellEnd"/>
            <w:r w:rsidRPr="00585ABB">
              <w:rPr>
                <w:rFonts w:ascii="Verdana" w:eastAsia="Times New Roman" w:hAnsi="Verdana" w:cs="Courier New"/>
                <w:color w:val="000000"/>
                <w:sz w:val="17"/>
                <w:szCs w:val="17"/>
              </w:rPr>
              <w:t xml:space="preserve">, </w:t>
            </w:r>
            <w:proofErr w:type="spellStart"/>
            <w:r w:rsidRPr="00585ABB">
              <w:rPr>
                <w:rFonts w:ascii="Verdana" w:eastAsia="Times New Roman" w:hAnsi="Verdana" w:cs="Courier New"/>
                <w:color w:val="000000"/>
                <w:sz w:val="17"/>
                <w:szCs w:val="17"/>
              </w:rPr>
              <w:t>TobaccoUseScreening.relevantPeriod</w:t>
            </w:r>
            <w:proofErr w:type="spellEnd"/>
            <w:r w:rsidRPr="00585ABB">
              <w:rPr>
                <w:rFonts w:ascii="Verdana" w:eastAsia="Times New Roman" w:hAnsi="Verdana" w:cs="Courier New"/>
                <w:color w:val="000000"/>
                <w:sz w:val="17"/>
                <w:szCs w:val="17"/>
              </w:rPr>
              <w:t>) during day of "Measurement Period"</w:t>
            </w:r>
          </w:p>
          <w:p w14:paraId="31719E0D" w14:textId="77777777" w:rsidR="00585ABB" w:rsidRPr="00585ABB" w:rsidRDefault="00585ABB" w:rsidP="00585A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rPr>
                <w:rFonts w:ascii="Verdana" w:eastAsia="Times New Roman" w:hAnsi="Verdana" w:cs="Courier New"/>
                <w:color w:val="000000"/>
                <w:sz w:val="17"/>
                <w:szCs w:val="17"/>
              </w:rPr>
            </w:pPr>
            <w:r w:rsidRPr="00585ABB">
              <w:rPr>
                <w:rFonts w:ascii="Verdana" w:eastAsia="Times New Roman" w:hAnsi="Verdana" w:cs="Courier New"/>
                <w:color w:val="000000"/>
                <w:sz w:val="17"/>
                <w:szCs w:val="17"/>
              </w:rPr>
              <w:t xml:space="preserve">      sort by start of Global."</w:t>
            </w:r>
            <w:proofErr w:type="spellStart"/>
            <w:r w:rsidRPr="00585ABB">
              <w:rPr>
                <w:rFonts w:ascii="Verdana" w:eastAsia="Times New Roman" w:hAnsi="Verdana" w:cs="Courier New"/>
                <w:color w:val="000000"/>
                <w:sz w:val="17"/>
                <w:szCs w:val="17"/>
              </w:rPr>
              <w:t>NormalizeInterval</w:t>
            </w:r>
            <w:proofErr w:type="spellEnd"/>
            <w:r w:rsidRPr="00585ABB">
              <w:rPr>
                <w:rFonts w:ascii="Verdana" w:eastAsia="Times New Roman" w:hAnsi="Verdana" w:cs="Courier New"/>
                <w:color w:val="000000"/>
                <w:sz w:val="17"/>
                <w:szCs w:val="17"/>
              </w:rPr>
              <w:t>"(</w:t>
            </w:r>
            <w:proofErr w:type="spellStart"/>
            <w:r w:rsidRPr="00585ABB">
              <w:rPr>
                <w:rFonts w:ascii="Verdana" w:eastAsia="Times New Roman" w:hAnsi="Verdana" w:cs="Courier New"/>
                <w:color w:val="000000"/>
                <w:sz w:val="17"/>
                <w:szCs w:val="17"/>
              </w:rPr>
              <w:t>relevantDatetime</w:t>
            </w:r>
            <w:proofErr w:type="spellEnd"/>
            <w:r w:rsidRPr="00585ABB">
              <w:rPr>
                <w:rFonts w:ascii="Verdana" w:eastAsia="Times New Roman" w:hAnsi="Verdana" w:cs="Courier New"/>
                <w:color w:val="000000"/>
                <w:sz w:val="17"/>
                <w:szCs w:val="17"/>
              </w:rPr>
              <w:t xml:space="preserve">, </w:t>
            </w:r>
            <w:proofErr w:type="spellStart"/>
            <w:r w:rsidRPr="00585ABB">
              <w:rPr>
                <w:rFonts w:ascii="Verdana" w:eastAsia="Times New Roman" w:hAnsi="Verdana" w:cs="Courier New"/>
                <w:color w:val="000000"/>
                <w:sz w:val="17"/>
                <w:szCs w:val="17"/>
              </w:rPr>
              <w:t>relevantPeriod</w:t>
            </w:r>
            <w:proofErr w:type="spellEnd"/>
            <w:r w:rsidRPr="00585ABB">
              <w:rPr>
                <w:rFonts w:ascii="Verdana" w:eastAsia="Times New Roman" w:hAnsi="Verdana" w:cs="Courier New"/>
                <w:color w:val="000000"/>
                <w:sz w:val="17"/>
                <w:szCs w:val="17"/>
              </w:rPr>
              <w:t>)</w:t>
            </w:r>
          </w:p>
          <w:p w14:paraId="6EC92D04" w14:textId="77777777" w:rsidR="00585ABB" w:rsidRPr="00585ABB" w:rsidRDefault="00585ABB" w:rsidP="00585A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rPr>
                <w:rFonts w:ascii="Verdana" w:eastAsia="Times New Roman" w:hAnsi="Verdana" w:cs="Courier New"/>
                <w:color w:val="000000"/>
                <w:sz w:val="17"/>
                <w:szCs w:val="17"/>
              </w:rPr>
            </w:pPr>
            <w:r w:rsidRPr="00585ABB">
              <w:rPr>
                <w:rFonts w:ascii="Verdana" w:eastAsia="Times New Roman" w:hAnsi="Verdana" w:cs="Courier New"/>
                <w:color w:val="000000"/>
                <w:sz w:val="17"/>
                <w:szCs w:val="17"/>
              </w:rPr>
              <w:t xml:space="preserve">  ) ) </w:t>
            </w:r>
            <w:proofErr w:type="spellStart"/>
            <w:r w:rsidRPr="00585ABB">
              <w:rPr>
                <w:rFonts w:ascii="Verdana" w:eastAsia="Times New Roman" w:hAnsi="Verdana" w:cs="Courier New"/>
                <w:color w:val="000000"/>
                <w:sz w:val="17"/>
                <w:szCs w:val="17"/>
              </w:rPr>
              <w:t>MostRecentTobaccoUseScreening</w:t>
            </w:r>
            <w:proofErr w:type="spellEnd"/>
          </w:p>
          <w:p w14:paraId="38FBCD3D" w14:textId="4BB092CB" w:rsidR="00110E29" w:rsidRPr="00585ABB" w:rsidRDefault="00585ABB" w:rsidP="00585AB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360"/>
              <w:rPr>
                <w:rFonts w:ascii="Verdana" w:eastAsia="Times New Roman" w:hAnsi="Verdana" w:cs="Courier New"/>
                <w:color w:val="000000"/>
                <w:sz w:val="17"/>
                <w:szCs w:val="17"/>
              </w:rPr>
            </w:pPr>
            <w:r w:rsidRPr="00585ABB">
              <w:rPr>
                <w:rFonts w:ascii="Verdana" w:eastAsia="Times New Roman" w:hAnsi="Verdana" w:cs="Courier New"/>
                <w:color w:val="000000"/>
                <w:sz w:val="17"/>
                <w:szCs w:val="17"/>
              </w:rPr>
              <w:t xml:space="preserve">    where </w:t>
            </w:r>
            <w:proofErr w:type="spellStart"/>
            <w:r w:rsidRPr="00585ABB">
              <w:rPr>
                <w:rFonts w:ascii="Verdana" w:eastAsia="Times New Roman" w:hAnsi="Verdana" w:cs="Courier New"/>
                <w:color w:val="000000"/>
                <w:sz w:val="17"/>
                <w:szCs w:val="17"/>
              </w:rPr>
              <w:t>MostRecentTobaccoUseScreening.</w:t>
            </w:r>
            <w:r w:rsidRPr="00585ABB">
              <w:rPr>
                <w:rFonts w:ascii="Verdana" w:eastAsia="Times New Roman" w:hAnsi="Verdana" w:cs="Courier New"/>
                <w:b/>
                <w:bCs/>
                <w:color w:val="000000"/>
                <w:sz w:val="17"/>
                <w:szCs w:val="17"/>
              </w:rPr>
              <w:t>result</w:t>
            </w:r>
            <w:proofErr w:type="spellEnd"/>
            <w:r w:rsidRPr="00585ABB">
              <w:rPr>
                <w:rFonts w:ascii="Verdana" w:eastAsia="Times New Roman" w:hAnsi="Verdana" w:cs="Courier New"/>
                <w:color w:val="000000"/>
                <w:sz w:val="17"/>
                <w:szCs w:val="17"/>
              </w:rPr>
              <w:t xml:space="preserve"> in "Tobacco User"</w:t>
            </w:r>
          </w:p>
        </w:tc>
      </w:tr>
    </w:tbl>
    <w:p w14:paraId="41DE5DCD" w14:textId="77777777" w:rsidR="00161739" w:rsidRDefault="00161739" w:rsidP="009A5E20">
      <w:pPr>
        <w:pStyle w:val="ParagraphContinued"/>
      </w:pPr>
      <w:r>
        <w:t xml:space="preserve">The </w:t>
      </w:r>
      <w:r>
        <w:rPr>
          <w:i/>
        </w:rPr>
        <w:t>result</w:t>
      </w:r>
      <w:r>
        <w:t xml:space="preserve"> attribute references a value set “Tobacco User.” However, the Data Criteria (QDM Data Elements) section does not include the value set reference, because the </w:t>
      </w:r>
      <w:r>
        <w:rPr>
          <w:i/>
        </w:rPr>
        <w:t>result</w:t>
      </w:r>
      <w:r>
        <w:t xml:space="preserve"> attribute (and associated value set) is not in the CQL retrieve filter. In this case, a measured entity can consider the Data Criteria (QDM Data Elements) section as criteria used in the retrieve filter. The value set reference appears only in the eCQM Terminology section. </w:t>
      </w:r>
    </w:p>
    <w:p w14:paraId="0AC1662E" w14:textId="750CD60E" w:rsidR="00161739" w:rsidRDefault="009A5E20" w:rsidP="009A5E20">
      <w:pPr>
        <w:pStyle w:val="H3-Num"/>
      </w:pPr>
      <w:bookmarkStart w:id="441" w:name="bookmark=id.1rvwp1q" w:colFirst="0" w:colLast="0"/>
      <w:bookmarkStart w:id="442" w:name="_Toc511824916"/>
      <w:bookmarkStart w:id="443" w:name="_Toc511856740"/>
      <w:bookmarkStart w:id="444" w:name="_Toc511856869"/>
      <w:bookmarkStart w:id="445" w:name="_Toc511857001"/>
      <w:bookmarkStart w:id="446" w:name="_Toc511982850"/>
      <w:bookmarkStart w:id="447" w:name="_Toc511984750"/>
      <w:bookmarkStart w:id="448" w:name="_Toc511984899"/>
      <w:bookmarkStart w:id="449" w:name="_Toc511985048"/>
      <w:bookmarkStart w:id="450" w:name="_Toc511985198"/>
      <w:bookmarkStart w:id="451" w:name="_Toc511985348"/>
      <w:bookmarkStart w:id="452" w:name="_Toc511991136"/>
      <w:bookmarkStart w:id="453" w:name="_Toc511998106"/>
      <w:bookmarkStart w:id="454" w:name="_Toc511998273"/>
      <w:bookmarkStart w:id="455" w:name="_Toc512003250"/>
      <w:bookmarkStart w:id="456" w:name="_TOC_250010"/>
      <w:bookmarkStart w:id="457" w:name="_Toc511856741"/>
      <w:bookmarkStart w:id="458" w:name="_Toc511856870"/>
      <w:bookmarkStart w:id="459" w:name="_Toc511857002"/>
      <w:bookmarkStart w:id="460" w:name="_Toc511982851"/>
      <w:bookmarkStart w:id="461" w:name="_Toc511984751"/>
      <w:bookmarkStart w:id="462" w:name="_Toc511984900"/>
      <w:bookmarkStart w:id="463" w:name="_Toc511985049"/>
      <w:bookmarkStart w:id="464" w:name="_Toc511985199"/>
      <w:bookmarkStart w:id="465" w:name="_Toc511985349"/>
      <w:bookmarkStart w:id="466" w:name="_Toc511991137"/>
      <w:bookmarkStart w:id="467" w:name="_Toc511998107"/>
      <w:bookmarkStart w:id="468" w:name="_Toc511998274"/>
      <w:bookmarkStart w:id="469" w:name="_Toc512003251"/>
      <w:bookmarkStart w:id="470" w:name="_Toc511856742"/>
      <w:bookmarkStart w:id="471" w:name="_Toc511856871"/>
      <w:bookmarkStart w:id="472" w:name="_Toc511857003"/>
      <w:bookmarkStart w:id="473" w:name="_Toc511982852"/>
      <w:bookmarkStart w:id="474" w:name="_Toc511984752"/>
      <w:bookmarkStart w:id="475" w:name="_Toc511984901"/>
      <w:bookmarkStart w:id="476" w:name="_Toc511985050"/>
      <w:bookmarkStart w:id="477" w:name="_Toc511985200"/>
      <w:bookmarkStart w:id="478" w:name="_Toc511985350"/>
      <w:bookmarkStart w:id="479" w:name="_Toc511991138"/>
      <w:bookmarkStart w:id="480" w:name="_Toc511998108"/>
      <w:bookmarkStart w:id="481" w:name="_Toc511998275"/>
      <w:bookmarkStart w:id="482" w:name="_Toc512003252"/>
      <w:bookmarkStart w:id="483" w:name="_Toc511856743"/>
      <w:bookmarkStart w:id="484" w:name="_Toc511856872"/>
      <w:bookmarkStart w:id="485" w:name="_Toc511857004"/>
      <w:bookmarkStart w:id="486" w:name="_Toc511982853"/>
      <w:bookmarkStart w:id="487" w:name="_Toc511984753"/>
      <w:bookmarkStart w:id="488" w:name="_Toc511984902"/>
      <w:bookmarkStart w:id="489" w:name="_Toc511985051"/>
      <w:bookmarkStart w:id="490" w:name="_Toc511985201"/>
      <w:bookmarkStart w:id="491" w:name="_Toc511985351"/>
      <w:bookmarkStart w:id="492" w:name="_Toc511991139"/>
      <w:bookmarkStart w:id="493" w:name="_Toc511998109"/>
      <w:bookmarkStart w:id="494" w:name="_Toc511998276"/>
      <w:bookmarkStart w:id="495" w:name="_Toc512003253"/>
      <w:bookmarkStart w:id="496" w:name="_Toc511856744"/>
      <w:bookmarkStart w:id="497" w:name="_Toc511856873"/>
      <w:bookmarkStart w:id="498" w:name="_Toc511857005"/>
      <w:bookmarkStart w:id="499" w:name="_Toc511982854"/>
      <w:bookmarkStart w:id="500" w:name="_Toc511984754"/>
      <w:bookmarkStart w:id="501" w:name="_Toc511984903"/>
      <w:bookmarkStart w:id="502" w:name="_Toc511985052"/>
      <w:bookmarkStart w:id="503" w:name="_Toc511985202"/>
      <w:bookmarkStart w:id="504" w:name="_Toc511985352"/>
      <w:bookmarkStart w:id="505" w:name="_Toc511991140"/>
      <w:bookmarkStart w:id="506" w:name="_Toc511998110"/>
      <w:bookmarkStart w:id="507" w:name="_Toc511998277"/>
      <w:bookmarkStart w:id="508" w:name="_Toc512003254"/>
      <w:bookmarkStart w:id="509" w:name="_Toc511856745"/>
      <w:bookmarkStart w:id="510" w:name="_Toc511856874"/>
      <w:bookmarkStart w:id="511" w:name="_Toc511857006"/>
      <w:bookmarkStart w:id="512" w:name="_Toc511982855"/>
      <w:bookmarkStart w:id="513" w:name="_Toc511984755"/>
      <w:bookmarkStart w:id="514" w:name="_Toc511984904"/>
      <w:bookmarkStart w:id="515" w:name="_Toc511985053"/>
      <w:bookmarkStart w:id="516" w:name="_Toc511985203"/>
      <w:bookmarkStart w:id="517" w:name="_Toc511985353"/>
      <w:bookmarkStart w:id="518" w:name="_Toc511991141"/>
      <w:bookmarkStart w:id="519" w:name="_Toc511998111"/>
      <w:bookmarkStart w:id="520" w:name="_Toc511998278"/>
      <w:bookmarkStart w:id="521" w:name="_Toc512003255"/>
      <w:bookmarkStart w:id="522" w:name="_Toc511856746"/>
      <w:bookmarkStart w:id="523" w:name="_Toc511856875"/>
      <w:bookmarkStart w:id="524" w:name="_Toc511857007"/>
      <w:bookmarkStart w:id="525" w:name="_Toc511982856"/>
      <w:bookmarkStart w:id="526" w:name="_Toc511984756"/>
      <w:bookmarkStart w:id="527" w:name="_Toc511984905"/>
      <w:bookmarkStart w:id="528" w:name="_Toc511985054"/>
      <w:bookmarkStart w:id="529" w:name="_Toc511985204"/>
      <w:bookmarkStart w:id="530" w:name="_Toc511985354"/>
      <w:bookmarkStart w:id="531" w:name="_Toc511991142"/>
      <w:bookmarkStart w:id="532" w:name="_Toc511998112"/>
      <w:bookmarkStart w:id="533" w:name="_Toc511998279"/>
      <w:bookmarkStart w:id="534" w:name="_Toc512003256"/>
      <w:bookmarkStart w:id="535" w:name="_Toc511856747"/>
      <w:bookmarkStart w:id="536" w:name="_Toc511856876"/>
      <w:bookmarkStart w:id="537" w:name="_Toc511857008"/>
      <w:bookmarkStart w:id="538" w:name="_Toc511982857"/>
      <w:bookmarkStart w:id="539" w:name="_Toc511984757"/>
      <w:bookmarkStart w:id="540" w:name="_Toc511984906"/>
      <w:bookmarkStart w:id="541" w:name="_Toc511985055"/>
      <w:bookmarkStart w:id="542" w:name="_Toc511985205"/>
      <w:bookmarkStart w:id="543" w:name="_Toc511985355"/>
      <w:bookmarkStart w:id="544" w:name="_Toc511991143"/>
      <w:bookmarkStart w:id="545" w:name="_Toc511998113"/>
      <w:bookmarkStart w:id="546" w:name="_Toc511998280"/>
      <w:bookmarkStart w:id="547" w:name="_Toc512003257"/>
      <w:bookmarkStart w:id="548" w:name="_Toc511856748"/>
      <w:bookmarkStart w:id="549" w:name="_Toc511856877"/>
      <w:bookmarkStart w:id="550" w:name="_Toc511857009"/>
      <w:bookmarkStart w:id="551" w:name="_Toc511982858"/>
      <w:bookmarkStart w:id="552" w:name="_Toc511984758"/>
      <w:bookmarkStart w:id="553" w:name="_Toc511984907"/>
      <w:bookmarkStart w:id="554" w:name="_Toc511985056"/>
      <w:bookmarkStart w:id="555" w:name="_Toc511985206"/>
      <w:bookmarkStart w:id="556" w:name="_Toc511985356"/>
      <w:bookmarkStart w:id="557" w:name="_Toc511991144"/>
      <w:bookmarkStart w:id="558" w:name="_Toc511998114"/>
      <w:bookmarkStart w:id="559" w:name="_Toc511998281"/>
      <w:bookmarkStart w:id="560" w:name="_Toc512003258"/>
      <w:bookmarkStart w:id="561" w:name="_Toc511856749"/>
      <w:bookmarkStart w:id="562" w:name="_Toc511856878"/>
      <w:bookmarkStart w:id="563" w:name="_Toc511857010"/>
      <w:bookmarkStart w:id="564" w:name="_Toc511982859"/>
      <w:bookmarkStart w:id="565" w:name="_Toc511984759"/>
      <w:bookmarkStart w:id="566" w:name="_Toc511984908"/>
      <w:bookmarkStart w:id="567" w:name="_Toc511985057"/>
      <w:bookmarkStart w:id="568" w:name="_Toc511985207"/>
      <w:bookmarkStart w:id="569" w:name="_Toc511985357"/>
      <w:bookmarkStart w:id="570" w:name="_Toc511991145"/>
      <w:bookmarkStart w:id="571" w:name="_Toc511998115"/>
      <w:bookmarkStart w:id="572" w:name="_Toc511998282"/>
      <w:bookmarkStart w:id="573" w:name="_Toc512003259"/>
      <w:bookmarkStart w:id="574" w:name="_Toc511856750"/>
      <w:bookmarkStart w:id="575" w:name="_Toc511856879"/>
      <w:bookmarkStart w:id="576" w:name="_Toc511857011"/>
      <w:bookmarkStart w:id="577" w:name="_Toc511982860"/>
      <w:bookmarkStart w:id="578" w:name="_Toc511984760"/>
      <w:bookmarkStart w:id="579" w:name="_Toc511984909"/>
      <w:bookmarkStart w:id="580" w:name="_Toc511985058"/>
      <w:bookmarkStart w:id="581" w:name="_Toc511985208"/>
      <w:bookmarkStart w:id="582" w:name="_Toc511985358"/>
      <w:bookmarkStart w:id="583" w:name="_Toc511991146"/>
      <w:bookmarkStart w:id="584" w:name="_Toc511998116"/>
      <w:bookmarkStart w:id="585" w:name="_Toc511998283"/>
      <w:bookmarkStart w:id="586" w:name="_Toc512003260"/>
      <w:bookmarkStart w:id="587" w:name="_Toc511856751"/>
      <w:bookmarkStart w:id="588" w:name="_Toc511856880"/>
      <w:bookmarkStart w:id="589" w:name="_Toc511857012"/>
      <w:bookmarkStart w:id="590" w:name="_Toc511982861"/>
      <w:bookmarkStart w:id="591" w:name="_Toc511984761"/>
      <w:bookmarkStart w:id="592" w:name="_Toc511984910"/>
      <w:bookmarkStart w:id="593" w:name="_Toc511985059"/>
      <w:bookmarkStart w:id="594" w:name="_Toc511985209"/>
      <w:bookmarkStart w:id="595" w:name="_Toc511985359"/>
      <w:bookmarkStart w:id="596" w:name="_Toc511991147"/>
      <w:bookmarkStart w:id="597" w:name="_Toc511998117"/>
      <w:bookmarkStart w:id="598" w:name="_Toc511998284"/>
      <w:bookmarkStart w:id="599" w:name="_Toc512003261"/>
      <w:bookmarkStart w:id="600" w:name="_Toc511856752"/>
      <w:bookmarkStart w:id="601" w:name="_Toc511856881"/>
      <w:bookmarkStart w:id="602" w:name="_Toc511857013"/>
      <w:bookmarkStart w:id="603" w:name="_Toc511982862"/>
      <w:bookmarkStart w:id="604" w:name="_Toc511984762"/>
      <w:bookmarkStart w:id="605" w:name="_Toc511984911"/>
      <w:bookmarkStart w:id="606" w:name="_Toc511985060"/>
      <w:bookmarkStart w:id="607" w:name="_Toc511985210"/>
      <w:bookmarkStart w:id="608" w:name="_Toc511985360"/>
      <w:bookmarkStart w:id="609" w:name="_Toc511991148"/>
      <w:bookmarkStart w:id="610" w:name="_Toc511998118"/>
      <w:bookmarkStart w:id="611" w:name="_Toc511998285"/>
      <w:bookmarkStart w:id="612" w:name="_Toc512003262"/>
      <w:bookmarkStart w:id="613" w:name="_Toc511856753"/>
      <w:bookmarkStart w:id="614" w:name="_Toc511856882"/>
      <w:bookmarkStart w:id="615" w:name="_Toc511857014"/>
      <w:bookmarkStart w:id="616" w:name="_Toc511982863"/>
      <w:bookmarkStart w:id="617" w:name="_Toc511984763"/>
      <w:bookmarkStart w:id="618" w:name="_Toc511984912"/>
      <w:bookmarkStart w:id="619" w:name="_Toc511985061"/>
      <w:bookmarkStart w:id="620" w:name="_Toc511985211"/>
      <w:bookmarkStart w:id="621" w:name="_Toc511985361"/>
      <w:bookmarkStart w:id="622" w:name="_Toc511991149"/>
      <w:bookmarkStart w:id="623" w:name="_Toc511998119"/>
      <w:bookmarkStart w:id="624" w:name="_Toc511998286"/>
      <w:bookmarkStart w:id="625" w:name="_Toc512003263"/>
      <w:bookmarkStart w:id="626" w:name="_Toc510719485"/>
      <w:bookmarkStart w:id="627" w:name="_Toc511824918"/>
      <w:bookmarkStart w:id="628" w:name="_Toc511856754"/>
      <w:bookmarkStart w:id="629" w:name="_Toc511856883"/>
      <w:bookmarkStart w:id="630" w:name="_Toc511857015"/>
      <w:bookmarkStart w:id="631" w:name="_Toc511982864"/>
      <w:bookmarkStart w:id="632" w:name="_Toc511984764"/>
      <w:bookmarkStart w:id="633" w:name="_Toc511984913"/>
      <w:bookmarkStart w:id="634" w:name="_Toc511985062"/>
      <w:bookmarkStart w:id="635" w:name="_Toc511985212"/>
      <w:bookmarkStart w:id="636" w:name="_Toc511985362"/>
      <w:bookmarkStart w:id="637" w:name="_Toc511991150"/>
      <w:bookmarkStart w:id="638" w:name="_Toc511998120"/>
      <w:bookmarkStart w:id="639" w:name="_Toc511998287"/>
      <w:bookmarkStart w:id="640" w:name="_Toc512003264"/>
      <w:bookmarkStart w:id="641" w:name="_Toc510719486"/>
      <w:bookmarkStart w:id="642" w:name="_Toc511824919"/>
      <w:bookmarkStart w:id="643" w:name="_Toc511856755"/>
      <w:bookmarkStart w:id="644" w:name="_Toc511856884"/>
      <w:bookmarkStart w:id="645" w:name="_Toc511857016"/>
      <w:bookmarkStart w:id="646" w:name="_Toc511982865"/>
      <w:bookmarkStart w:id="647" w:name="_Toc511984765"/>
      <w:bookmarkStart w:id="648" w:name="_Toc511984914"/>
      <w:bookmarkStart w:id="649" w:name="_Toc511985063"/>
      <w:bookmarkStart w:id="650" w:name="_Toc511985213"/>
      <w:bookmarkStart w:id="651" w:name="_Toc511985363"/>
      <w:bookmarkStart w:id="652" w:name="_Toc511991151"/>
      <w:bookmarkStart w:id="653" w:name="_Toc511998121"/>
      <w:bookmarkStart w:id="654" w:name="_Toc511998288"/>
      <w:bookmarkStart w:id="655" w:name="_Toc512003265"/>
      <w:bookmarkStart w:id="656" w:name="_Toc510719487"/>
      <w:bookmarkStart w:id="657" w:name="_Toc511824920"/>
      <w:bookmarkStart w:id="658" w:name="_Toc511856756"/>
      <w:bookmarkStart w:id="659" w:name="_Toc511856885"/>
      <w:bookmarkStart w:id="660" w:name="_Toc511857017"/>
      <w:bookmarkStart w:id="661" w:name="_Toc511982866"/>
      <w:bookmarkStart w:id="662" w:name="_Toc511984766"/>
      <w:bookmarkStart w:id="663" w:name="_Toc511984915"/>
      <w:bookmarkStart w:id="664" w:name="_Toc511985064"/>
      <w:bookmarkStart w:id="665" w:name="_Toc511985214"/>
      <w:bookmarkStart w:id="666" w:name="_Toc511985364"/>
      <w:bookmarkStart w:id="667" w:name="_Toc511991152"/>
      <w:bookmarkStart w:id="668" w:name="_Toc511998122"/>
      <w:bookmarkStart w:id="669" w:name="_Toc511998289"/>
      <w:bookmarkStart w:id="670" w:name="_Toc512003266"/>
      <w:bookmarkStart w:id="671" w:name="_Toc510719488"/>
      <w:bookmarkStart w:id="672" w:name="_Toc511824921"/>
      <w:bookmarkStart w:id="673" w:name="_Toc511856757"/>
      <w:bookmarkStart w:id="674" w:name="_Toc511856886"/>
      <w:bookmarkStart w:id="675" w:name="_Toc511857018"/>
      <w:bookmarkStart w:id="676" w:name="_Toc511982867"/>
      <w:bookmarkStart w:id="677" w:name="_Toc511984767"/>
      <w:bookmarkStart w:id="678" w:name="_Toc511984916"/>
      <w:bookmarkStart w:id="679" w:name="_Toc511985065"/>
      <w:bookmarkStart w:id="680" w:name="_Toc511985215"/>
      <w:bookmarkStart w:id="681" w:name="_Toc511985365"/>
      <w:bookmarkStart w:id="682" w:name="_Toc511991153"/>
      <w:bookmarkStart w:id="683" w:name="_Toc511998123"/>
      <w:bookmarkStart w:id="684" w:name="_Toc511998290"/>
      <w:bookmarkStart w:id="685" w:name="_Toc512003267"/>
      <w:bookmarkStart w:id="686" w:name="_Toc510719489"/>
      <w:bookmarkStart w:id="687" w:name="_Toc511824922"/>
      <w:bookmarkStart w:id="688" w:name="_Toc511856758"/>
      <w:bookmarkStart w:id="689" w:name="_Toc511856887"/>
      <w:bookmarkStart w:id="690" w:name="_Toc511857019"/>
      <w:bookmarkStart w:id="691" w:name="_Toc511982868"/>
      <w:bookmarkStart w:id="692" w:name="_Toc511984768"/>
      <w:bookmarkStart w:id="693" w:name="_Toc511984917"/>
      <w:bookmarkStart w:id="694" w:name="_Toc511985066"/>
      <w:bookmarkStart w:id="695" w:name="_Toc511985216"/>
      <w:bookmarkStart w:id="696" w:name="_Toc511985366"/>
      <w:bookmarkStart w:id="697" w:name="_Toc511991154"/>
      <w:bookmarkStart w:id="698" w:name="_Toc511998124"/>
      <w:bookmarkStart w:id="699" w:name="_Toc511998291"/>
      <w:bookmarkStart w:id="700" w:name="_Toc512003268"/>
      <w:bookmarkStart w:id="701" w:name="_Toc510719490"/>
      <w:bookmarkStart w:id="702" w:name="_Toc511824923"/>
      <w:bookmarkStart w:id="703" w:name="_Toc511856759"/>
      <w:bookmarkStart w:id="704" w:name="_Toc511856888"/>
      <w:bookmarkStart w:id="705" w:name="_Toc511857020"/>
      <w:bookmarkStart w:id="706" w:name="_Toc511982869"/>
      <w:bookmarkStart w:id="707" w:name="_Toc511984769"/>
      <w:bookmarkStart w:id="708" w:name="_Toc511984918"/>
      <w:bookmarkStart w:id="709" w:name="_Toc511985067"/>
      <w:bookmarkStart w:id="710" w:name="_Toc511985217"/>
      <w:bookmarkStart w:id="711" w:name="_Toc511985367"/>
      <w:bookmarkStart w:id="712" w:name="_Toc511991155"/>
      <w:bookmarkStart w:id="713" w:name="_Toc511998125"/>
      <w:bookmarkStart w:id="714" w:name="_Toc511998292"/>
      <w:bookmarkStart w:id="715" w:name="_Toc512003269"/>
      <w:bookmarkStart w:id="716" w:name="_bookmark11"/>
      <w:bookmarkStart w:id="717" w:name="_TOC_250009"/>
      <w:bookmarkStart w:id="718" w:name="_Toc510719491"/>
      <w:bookmarkStart w:id="719" w:name="_Toc511824924"/>
      <w:bookmarkStart w:id="720" w:name="_Toc511856760"/>
      <w:bookmarkStart w:id="721" w:name="_Toc511856889"/>
      <w:bookmarkStart w:id="722" w:name="_Toc511857021"/>
      <w:bookmarkStart w:id="723" w:name="_Toc511982870"/>
      <w:bookmarkStart w:id="724" w:name="_Toc511984770"/>
      <w:bookmarkStart w:id="725" w:name="_Toc511984919"/>
      <w:bookmarkStart w:id="726" w:name="_Toc511985068"/>
      <w:bookmarkStart w:id="727" w:name="_Toc511985218"/>
      <w:bookmarkStart w:id="728" w:name="_Toc511985368"/>
      <w:bookmarkStart w:id="729" w:name="_Toc511991156"/>
      <w:bookmarkStart w:id="730" w:name="_Toc511998126"/>
      <w:bookmarkStart w:id="731" w:name="_Toc511998293"/>
      <w:bookmarkStart w:id="732" w:name="_Toc512003270"/>
      <w:bookmarkStart w:id="733" w:name="_Toc512504883"/>
      <w:bookmarkStart w:id="734" w:name="_Toc510719492"/>
      <w:bookmarkStart w:id="735" w:name="_Toc511824925"/>
      <w:bookmarkStart w:id="736" w:name="_Toc511856761"/>
      <w:bookmarkStart w:id="737" w:name="_Toc511856890"/>
      <w:bookmarkStart w:id="738" w:name="_Toc511857022"/>
      <w:bookmarkStart w:id="739" w:name="_Toc511982871"/>
      <w:bookmarkStart w:id="740" w:name="_Toc511984771"/>
      <w:bookmarkStart w:id="741" w:name="_Toc511984920"/>
      <w:bookmarkStart w:id="742" w:name="_Toc511985069"/>
      <w:bookmarkStart w:id="743" w:name="_Toc511985219"/>
      <w:bookmarkStart w:id="744" w:name="_Toc511985369"/>
      <w:bookmarkStart w:id="745" w:name="_Toc511991157"/>
      <w:bookmarkStart w:id="746" w:name="_Toc511998127"/>
      <w:bookmarkStart w:id="747" w:name="_Toc511998294"/>
      <w:bookmarkStart w:id="748" w:name="_Toc512003271"/>
      <w:bookmarkStart w:id="749" w:name="_Toc511856762"/>
      <w:bookmarkStart w:id="750" w:name="_Toc511856891"/>
      <w:bookmarkStart w:id="751" w:name="_Toc511857023"/>
      <w:bookmarkStart w:id="752" w:name="_Toc511982872"/>
      <w:bookmarkStart w:id="753" w:name="_Toc511984772"/>
      <w:bookmarkStart w:id="754" w:name="_Toc511984921"/>
      <w:bookmarkStart w:id="755" w:name="_Toc511985070"/>
      <w:bookmarkStart w:id="756" w:name="_Toc511985220"/>
      <w:bookmarkStart w:id="757" w:name="_Toc511985370"/>
      <w:bookmarkStart w:id="758" w:name="_Toc511991158"/>
      <w:bookmarkStart w:id="759" w:name="_Toc511998128"/>
      <w:bookmarkStart w:id="760" w:name="_Toc511998295"/>
      <w:bookmarkStart w:id="761" w:name="_Toc512003272"/>
      <w:bookmarkStart w:id="762" w:name="_Toc511856763"/>
      <w:bookmarkStart w:id="763" w:name="_Toc511856892"/>
      <w:bookmarkStart w:id="764" w:name="_Toc511857024"/>
      <w:bookmarkStart w:id="765" w:name="_Toc511982873"/>
      <w:bookmarkStart w:id="766" w:name="_Toc511984773"/>
      <w:bookmarkStart w:id="767" w:name="_Toc511984922"/>
      <w:bookmarkStart w:id="768" w:name="_Toc511985071"/>
      <w:bookmarkStart w:id="769" w:name="_Toc511985221"/>
      <w:bookmarkStart w:id="770" w:name="_Toc511985371"/>
      <w:bookmarkStart w:id="771" w:name="_Toc511991159"/>
      <w:bookmarkStart w:id="772" w:name="_Toc511998129"/>
      <w:bookmarkStart w:id="773" w:name="_Toc511998296"/>
      <w:bookmarkStart w:id="774" w:name="_Toc512003273"/>
      <w:bookmarkStart w:id="775" w:name="_Toc511856764"/>
      <w:bookmarkStart w:id="776" w:name="_Toc511856893"/>
      <w:bookmarkStart w:id="777" w:name="_Toc511857025"/>
      <w:bookmarkStart w:id="778" w:name="_Toc511982874"/>
      <w:bookmarkStart w:id="779" w:name="_Toc511984774"/>
      <w:bookmarkStart w:id="780" w:name="_Toc511984923"/>
      <w:bookmarkStart w:id="781" w:name="_Toc511985072"/>
      <w:bookmarkStart w:id="782" w:name="_Toc511985222"/>
      <w:bookmarkStart w:id="783" w:name="_Toc511985372"/>
      <w:bookmarkStart w:id="784" w:name="_Toc511991160"/>
      <w:bookmarkStart w:id="785" w:name="_Toc511998130"/>
      <w:bookmarkStart w:id="786" w:name="_Toc511998297"/>
      <w:bookmarkStart w:id="787" w:name="_Toc512003274"/>
      <w:bookmarkStart w:id="788" w:name="_Toc511856765"/>
      <w:bookmarkStart w:id="789" w:name="_Toc511856894"/>
      <w:bookmarkStart w:id="790" w:name="_Toc511857026"/>
      <w:bookmarkStart w:id="791" w:name="_Toc511982875"/>
      <w:bookmarkStart w:id="792" w:name="_Toc511984775"/>
      <w:bookmarkStart w:id="793" w:name="_Toc511984924"/>
      <w:bookmarkStart w:id="794" w:name="_Toc511985073"/>
      <w:bookmarkStart w:id="795" w:name="_Toc511985223"/>
      <w:bookmarkStart w:id="796" w:name="_Toc511985373"/>
      <w:bookmarkStart w:id="797" w:name="_Toc511991161"/>
      <w:bookmarkStart w:id="798" w:name="_Toc511998131"/>
      <w:bookmarkStart w:id="799" w:name="_Toc511998298"/>
      <w:bookmarkStart w:id="800" w:name="_Toc512003275"/>
      <w:bookmarkStart w:id="801" w:name="_Toc511856766"/>
      <w:bookmarkStart w:id="802" w:name="_Toc511856895"/>
      <w:bookmarkStart w:id="803" w:name="_Toc511857027"/>
      <w:bookmarkStart w:id="804" w:name="_Toc511982876"/>
      <w:bookmarkStart w:id="805" w:name="_Toc511984776"/>
      <w:bookmarkStart w:id="806" w:name="_Toc511984925"/>
      <w:bookmarkStart w:id="807" w:name="_Toc511985074"/>
      <w:bookmarkStart w:id="808" w:name="_Toc511985224"/>
      <w:bookmarkStart w:id="809" w:name="_Toc511985374"/>
      <w:bookmarkStart w:id="810" w:name="_Toc511991162"/>
      <w:bookmarkStart w:id="811" w:name="_Toc511998132"/>
      <w:bookmarkStart w:id="812" w:name="_Toc511998299"/>
      <w:bookmarkStart w:id="813" w:name="_Toc512003276"/>
      <w:bookmarkStart w:id="814" w:name="Versioning_Value_Sets"/>
      <w:bookmarkStart w:id="815" w:name="_Toc511856767"/>
      <w:bookmarkStart w:id="816" w:name="_Toc511856896"/>
      <w:bookmarkStart w:id="817" w:name="_Toc511857028"/>
      <w:bookmarkStart w:id="818" w:name="_Toc511982877"/>
      <w:bookmarkStart w:id="819" w:name="_Toc511984777"/>
      <w:bookmarkStart w:id="820" w:name="_Toc511984926"/>
      <w:bookmarkStart w:id="821" w:name="_Toc511985075"/>
      <w:bookmarkStart w:id="822" w:name="_Toc511985225"/>
      <w:bookmarkStart w:id="823" w:name="_Toc511985375"/>
      <w:bookmarkStart w:id="824" w:name="_Toc511991163"/>
      <w:bookmarkStart w:id="825" w:name="_Toc511998133"/>
      <w:bookmarkStart w:id="826" w:name="_Toc511998300"/>
      <w:bookmarkStart w:id="827" w:name="_Toc512003277"/>
      <w:bookmarkStart w:id="828" w:name="_Toc511856768"/>
      <w:bookmarkStart w:id="829" w:name="_Toc511856897"/>
      <w:bookmarkStart w:id="830" w:name="_Toc511857029"/>
      <w:bookmarkStart w:id="831" w:name="_Toc511982878"/>
      <w:bookmarkStart w:id="832" w:name="_Toc511984778"/>
      <w:bookmarkStart w:id="833" w:name="_Toc511984927"/>
      <w:bookmarkStart w:id="834" w:name="_Toc511985076"/>
      <w:bookmarkStart w:id="835" w:name="_Toc511985226"/>
      <w:bookmarkStart w:id="836" w:name="_Toc511985376"/>
      <w:bookmarkStart w:id="837" w:name="_Toc511991164"/>
      <w:bookmarkStart w:id="838" w:name="_Toc511998134"/>
      <w:bookmarkStart w:id="839" w:name="_Toc511998301"/>
      <w:bookmarkStart w:id="840" w:name="_Toc512003278"/>
      <w:bookmarkStart w:id="841" w:name="_Toc511856769"/>
      <w:bookmarkStart w:id="842" w:name="_Toc511856898"/>
      <w:bookmarkStart w:id="843" w:name="_Toc511857030"/>
      <w:bookmarkStart w:id="844" w:name="_Toc511982879"/>
      <w:bookmarkStart w:id="845" w:name="_Toc511984779"/>
      <w:bookmarkStart w:id="846" w:name="_Toc511984928"/>
      <w:bookmarkStart w:id="847" w:name="_Toc511985077"/>
      <w:bookmarkStart w:id="848" w:name="_Toc511985227"/>
      <w:bookmarkStart w:id="849" w:name="_Toc511985377"/>
      <w:bookmarkStart w:id="850" w:name="_Toc511991165"/>
      <w:bookmarkStart w:id="851" w:name="_Toc511998135"/>
      <w:bookmarkStart w:id="852" w:name="_Toc511998302"/>
      <w:bookmarkStart w:id="853" w:name="_Toc512003279"/>
      <w:bookmarkStart w:id="854" w:name="_Toc511856770"/>
      <w:bookmarkStart w:id="855" w:name="_Toc511856899"/>
      <w:bookmarkStart w:id="856" w:name="_Toc511857031"/>
      <w:bookmarkStart w:id="857" w:name="_Toc511982880"/>
      <w:bookmarkStart w:id="858" w:name="_Toc511984780"/>
      <w:bookmarkStart w:id="859" w:name="_Toc511984929"/>
      <w:bookmarkStart w:id="860" w:name="_Toc511985078"/>
      <w:bookmarkStart w:id="861" w:name="_Toc511985228"/>
      <w:bookmarkStart w:id="862" w:name="_Toc511985378"/>
      <w:bookmarkStart w:id="863" w:name="_Toc511991166"/>
      <w:bookmarkStart w:id="864" w:name="_Toc511998136"/>
      <w:bookmarkStart w:id="865" w:name="_Toc511998303"/>
      <w:bookmarkStart w:id="866" w:name="_Toc512003280"/>
      <w:bookmarkStart w:id="867" w:name="_Toc511856771"/>
      <w:bookmarkStart w:id="868" w:name="_Toc511856900"/>
      <w:bookmarkStart w:id="869" w:name="_Toc511857032"/>
      <w:bookmarkStart w:id="870" w:name="_Toc511982881"/>
      <w:bookmarkStart w:id="871" w:name="_Toc511984781"/>
      <w:bookmarkStart w:id="872" w:name="_Toc511984930"/>
      <w:bookmarkStart w:id="873" w:name="_Toc511985079"/>
      <w:bookmarkStart w:id="874" w:name="_Toc511985229"/>
      <w:bookmarkStart w:id="875" w:name="_Toc511985379"/>
      <w:bookmarkStart w:id="876" w:name="_Toc511991167"/>
      <w:bookmarkStart w:id="877" w:name="_Toc511998137"/>
      <w:bookmarkStart w:id="878" w:name="_Toc511998304"/>
      <w:bookmarkStart w:id="879" w:name="_Toc512003281"/>
      <w:bookmarkStart w:id="880" w:name="_Toc511856772"/>
      <w:bookmarkStart w:id="881" w:name="_Toc511856901"/>
      <w:bookmarkStart w:id="882" w:name="_Toc511857033"/>
      <w:bookmarkStart w:id="883" w:name="_Toc511982882"/>
      <w:bookmarkStart w:id="884" w:name="_Toc511984782"/>
      <w:bookmarkStart w:id="885" w:name="_Toc511984931"/>
      <w:bookmarkStart w:id="886" w:name="_Toc511985080"/>
      <w:bookmarkStart w:id="887" w:name="_Toc511985230"/>
      <w:bookmarkStart w:id="888" w:name="_Toc511985380"/>
      <w:bookmarkStart w:id="889" w:name="_Toc511991168"/>
      <w:bookmarkStart w:id="890" w:name="_Toc511998138"/>
      <w:bookmarkStart w:id="891" w:name="_Toc511998305"/>
      <w:bookmarkStart w:id="892" w:name="_Toc512003282"/>
      <w:bookmarkStart w:id="893" w:name="_bookmark12"/>
      <w:bookmarkStart w:id="894" w:name="_Toc511856773"/>
      <w:bookmarkStart w:id="895" w:name="_Toc511856902"/>
      <w:bookmarkStart w:id="896" w:name="_Toc511857034"/>
      <w:bookmarkStart w:id="897" w:name="_Toc511982883"/>
      <w:bookmarkStart w:id="898" w:name="_Toc511984783"/>
      <w:bookmarkStart w:id="899" w:name="_Toc511984932"/>
      <w:bookmarkStart w:id="900" w:name="_Toc511985081"/>
      <w:bookmarkStart w:id="901" w:name="_Toc511985231"/>
      <w:bookmarkStart w:id="902" w:name="_Toc511985381"/>
      <w:bookmarkStart w:id="903" w:name="_Toc511991169"/>
      <w:bookmarkStart w:id="904" w:name="_Toc511998139"/>
      <w:bookmarkStart w:id="905" w:name="_Toc511998306"/>
      <w:bookmarkStart w:id="906" w:name="_Toc512003283"/>
      <w:bookmarkStart w:id="907" w:name="_TOC_250008"/>
      <w:bookmarkStart w:id="908" w:name="_bookmark13"/>
      <w:bookmarkStart w:id="909" w:name="_Toc511856774"/>
      <w:bookmarkStart w:id="910" w:name="_Toc511856903"/>
      <w:bookmarkStart w:id="911" w:name="_Toc511857035"/>
      <w:bookmarkStart w:id="912" w:name="_Toc511982884"/>
      <w:bookmarkStart w:id="913" w:name="_Toc511984784"/>
      <w:bookmarkStart w:id="914" w:name="_Toc511984933"/>
      <w:bookmarkStart w:id="915" w:name="_Toc511985082"/>
      <w:bookmarkStart w:id="916" w:name="_Toc511985232"/>
      <w:bookmarkStart w:id="917" w:name="_Toc511985382"/>
      <w:bookmarkStart w:id="918" w:name="_Toc511991170"/>
      <w:bookmarkStart w:id="919" w:name="_Toc511998140"/>
      <w:bookmarkStart w:id="920" w:name="_Toc511998307"/>
      <w:bookmarkStart w:id="921" w:name="_Toc512003284"/>
      <w:bookmarkStart w:id="922" w:name="_Toc511856775"/>
      <w:bookmarkStart w:id="923" w:name="_Toc511856904"/>
      <w:bookmarkStart w:id="924" w:name="_Toc511857036"/>
      <w:bookmarkStart w:id="925" w:name="_Toc511982885"/>
      <w:bookmarkStart w:id="926" w:name="_Toc511984785"/>
      <w:bookmarkStart w:id="927" w:name="_Toc511984934"/>
      <w:bookmarkStart w:id="928" w:name="_Toc511985083"/>
      <w:bookmarkStart w:id="929" w:name="_Toc511985233"/>
      <w:bookmarkStart w:id="930" w:name="_Toc511985383"/>
      <w:bookmarkStart w:id="931" w:name="_Toc511991171"/>
      <w:bookmarkStart w:id="932" w:name="_Toc511998141"/>
      <w:bookmarkStart w:id="933" w:name="_Toc511998308"/>
      <w:bookmarkStart w:id="934" w:name="_Toc512003285"/>
      <w:bookmarkStart w:id="935" w:name="_Toc511856776"/>
      <w:bookmarkStart w:id="936" w:name="_Toc511856905"/>
      <w:bookmarkStart w:id="937" w:name="_Toc511857037"/>
      <w:bookmarkStart w:id="938" w:name="_Toc511982886"/>
      <w:bookmarkStart w:id="939" w:name="_Toc511984786"/>
      <w:bookmarkStart w:id="940" w:name="_Toc511984935"/>
      <w:bookmarkStart w:id="941" w:name="_Toc511985084"/>
      <w:bookmarkStart w:id="942" w:name="_Toc511985234"/>
      <w:bookmarkStart w:id="943" w:name="_Toc511985384"/>
      <w:bookmarkStart w:id="944" w:name="_Toc511991172"/>
      <w:bookmarkStart w:id="945" w:name="_Toc511998142"/>
      <w:bookmarkStart w:id="946" w:name="_Toc511998309"/>
      <w:bookmarkStart w:id="947" w:name="_Toc512003286"/>
      <w:bookmarkStart w:id="948" w:name="_Toc511856777"/>
      <w:bookmarkStart w:id="949" w:name="_Toc511856906"/>
      <w:bookmarkStart w:id="950" w:name="_Toc511857038"/>
      <w:bookmarkStart w:id="951" w:name="_Toc511982887"/>
      <w:bookmarkStart w:id="952" w:name="_Toc511984787"/>
      <w:bookmarkStart w:id="953" w:name="_Toc511984936"/>
      <w:bookmarkStart w:id="954" w:name="_Toc511985085"/>
      <w:bookmarkStart w:id="955" w:name="_Toc511985235"/>
      <w:bookmarkStart w:id="956" w:name="_Toc511985385"/>
      <w:bookmarkStart w:id="957" w:name="_Toc511991173"/>
      <w:bookmarkStart w:id="958" w:name="_Toc511998143"/>
      <w:bookmarkStart w:id="959" w:name="_Toc511998310"/>
      <w:bookmarkStart w:id="960" w:name="_Toc512003287"/>
      <w:bookmarkStart w:id="961" w:name="_Toc511856778"/>
      <w:bookmarkStart w:id="962" w:name="_Toc511856907"/>
      <w:bookmarkStart w:id="963" w:name="_Toc511857039"/>
      <w:bookmarkStart w:id="964" w:name="_Toc511982888"/>
      <w:bookmarkStart w:id="965" w:name="_Toc511984788"/>
      <w:bookmarkStart w:id="966" w:name="_Toc511984937"/>
      <w:bookmarkStart w:id="967" w:name="_Toc511985086"/>
      <w:bookmarkStart w:id="968" w:name="_Toc511985236"/>
      <w:bookmarkStart w:id="969" w:name="_Toc511985386"/>
      <w:bookmarkStart w:id="970" w:name="_Toc511991174"/>
      <w:bookmarkStart w:id="971" w:name="_Toc511998144"/>
      <w:bookmarkStart w:id="972" w:name="_Toc511998311"/>
      <w:bookmarkStart w:id="973" w:name="_Toc512003288"/>
      <w:bookmarkStart w:id="974" w:name="_Toc511856779"/>
      <w:bookmarkStart w:id="975" w:name="_Toc511856908"/>
      <w:bookmarkStart w:id="976" w:name="_Toc511857040"/>
      <w:bookmarkStart w:id="977" w:name="_Toc511982889"/>
      <w:bookmarkStart w:id="978" w:name="_Toc511984789"/>
      <w:bookmarkStart w:id="979" w:name="_Toc511984938"/>
      <w:bookmarkStart w:id="980" w:name="_Toc511985087"/>
      <w:bookmarkStart w:id="981" w:name="_Toc511985237"/>
      <w:bookmarkStart w:id="982" w:name="_Toc511985387"/>
      <w:bookmarkStart w:id="983" w:name="_Toc511991175"/>
      <w:bookmarkStart w:id="984" w:name="_Toc511998145"/>
      <w:bookmarkStart w:id="985" w:name="_Toc511998312"/>
      <w:bookmarkStart w:id="986" w:name="_Toc512003289"/>
      <w:bookmarkStart w:id="987" w:name="_Toc511856780"/>
      <w:bookmarkStart w:id="988" w:name="_Toc511856909"/>
      <w:bookmarkStart w:id="989" w:name="_Toc511857041"/>
      <w:bookmarkStart w:id="990" w:name="_Toc511982890"/>
      <w:bookmarkStart w:id="991" w:name="_Toc511984790"/>
      <w:bookmarkStart w:id="992" w:name="_Toc511984939"/>
      <w:bookmarkStart w:id="993" w:name="_Toc511985088"/>
      <w:bookmarkStart w:id="994" w:name="_Toc511985238"/>
      <w:bookmarkStart w:id="995" w:name="_Toc511985388"/>
      <w:bookmarkStart w:id="996" w:name="_Toc511991176"/>
      <w:bookmarkStart w:id="997" w:name="_Toc511998146"/>
      <w:bookmarkStart w:id="998" w:name="_Toc511998313"/>
      <w:bookmarkStart w:id="999" w:name="_Toc512003290"/>
      <w:bookmarkStart w:id="1000" w:name="_Toc511856781"/>
      <w:bookmarkStart w:id="1001" w:name="_Toc511856910"/>
      <w:bookmarkStart w:id="1002" w:name="_Toc511857042"/>
      <w:bookmarkStart w:id="1003" w:name="_Toc511982891"/>
      <w:bookmarkStart w:id="1004" w:name="_Toc511984791"/>
      <w:bookmarkStart w:id="1005" w:name="_Toc511984940"/>
      <w:bookmarkStart w:id="1006" w:name="_Toc511985089"/>
      <w:bookmarkStart w:id="1007" w:name="_Toc511985239"/>
      <w:bookmarkStart w:id="1008" w:name="_Toc511985389"/>
      <w:bookmarkStart w:id="1009" w:name="_Toc511991177"/>
      <w:bookmarkStart w:id="1010" w:name="_Toc511998147"/>
      <w:bookmarkStart w:id="1011" w:name="_Toc511998314"/>
      <w:bookmarkStart w:id="1012" w:name="_Toc512003291"/>
      <w:bookmarkStart w:id="1013" w:name="_Toc511856782"/>
      <w:bookmarkStart w:id="1014" w:name="_Toc511856911"/>
      <w:bookmarkStart w:id="1015" w:name="_Toc511857043"/>
      <w:bookmarkStart w:id="1016" w:name="_Toc511982892"/>
      <w:bookmarkStart w:id="1017" w:name="_Toc511984792"/>
      <w:bookmarkStart w:id="1018" w:name="_Toc511984941"/>
      <w:bookmarkStart w:id="1019" w:name="_Toc511985090"/>
      <w:bookmarkStart w:id="1020" w:name="_Toc511985240"/>
      <w:bookmarkStart w:id="1021" w:name="_Toc511985390"/>
      <w:bookmarkStart w:id="1022" w:name="_Toc511991178"/>
      <w:bookmarkStart w:id="1023" w:name="_Toc511998148"/>
      <w:bookmarkStart w:id="1024" w:name="_Toc511998315"/>
      <w:bookmarkStart w:id="1025" w:name="_Toc512003292"/>
      <w:bookmarkStart w:id="1026" w:name="_Toc511856783"/>
      <w:bookmarkStart w:id="1027" w:name="_Toc511856912"/>
      <w:bookmarkStart w:id="1028" w:name="_Toc511857044"/>
      <w:bookmarkStart w:id="1029" w:name="_Toc511982893"/>
      <w:bookmarkStart w:id="1030" w:name="_Toc511984793"/>
      <w:bookmarkStart w:id="1031" w:name="_Toc511984942"/>
      <w:bookmarkStart w:id="1032" w:name="_Toc511985091"/>
      <w:bookmarkStart w:id="1033" w:name="_Toc511985241"/>
      <w:bookmarkStart w:id="1034" w:name="_Toc511985391"/>
      <w:bookmarkStart w:id="1035" w:name="_Toc511991179"/>
      <w:bookmarkStart w:id="1036" w:name="_Toc511998149"/>
      <w:bookmarkStart w:id="1037" w:name="_Toc511998316"/>
      <w:bookmarkStart w:id="1038" w:name="_Toc512003293"/>
      <w:bookmarkStart w:id="1039" w:name="_Toc511856784"/>
      <w:bookmarkStart w:id="1040" w:name="_Toc511856913"/>
      <w:bookmarkStart w:id="1041" w:name="_Toc511857045"/>
      <w:bookmarkStart w:id="1042" w:name="_Toc511982894"/>
      <w:bookmarkStart w:id="1043" w:name="_Toc511984794"/>
      <w:bookmarkStart w:id="1044" w:name="_Toc511984943"/>
      <w:bookmarkStart w:id="1045" w:name="_Toc511985092"/>
      <w:bookmarkStart w:id="1046" w:name="_Toc511985242"/>
      <w:bookmarkStart w:id="1047" w:name="_Toc511985392"/>
      <w:bookmarkStart w:id="1048" w:name="_Toc511991180"/>
      <w:bookmarkStart w:id="1049" w:name="_Toc511998150"/>
      <w:bookmarkStart w:id="1050" w:name="_Toc511998317"/>
      <w:bookmarkStart w:id="1051" w:name="_Toc512003294"/>
      <w:bookmarkStart w:id="1052" w:name="_Toc511856785"/>
      <w:bookmarkStart w:id="1053" w:name="_Toc511856914"/>
      <w:bookmarkStart w:id="1054" w:name="_Toc511857046"/>
      <w:bookmarkStart w:id="1055" w:name="_Toc511982895"/>
      <w:bookmarkStart w:id="1056" w:name="_Toc511984795"/>
      <w:bookmarkStart w:id="1057" w:name="_Toc511984944"/>
      <w:bookmarkStart w:id="1058" w:name="_Toc511985093"/>
      <w:bookmarkStart w:id="1059" w:name="_Toc511985243"/>
      <w:bookmarkStart w:id="1060" w:name="_Toc511985393"/>
      <w:bookmarkStart w:id="1061" w:name="_Toc511991181"/>
      <w:bookmarkStart w:id="1062" w:name="_Toc511998151"/>
      <w:bookmarkStart w:id="1063" w:name="_Toc511998318"/>
      <w:bookmarkStart w:id="1064" w:name="_Toc512003295"/>
      <w:bookmarkStart w:id="1065" w:name="_Toc511856786"/>
      <w:bookmarkStart w:id="1066" w:name="_Toc511856915"/>
      <w:bookmarkStart w:id="1067" w:name="_Toc511857047"/>
      <w:bookmarkStart w:id="1068" w:name="_Toc511982896"/>
      <w:bookmarkStart w:id="1069" w:name="_Toc511984796"/>
      <w:bookmarkStart w:id="1070" w:name="_Toc511984945"/>
      <w:bookmarkStart w:id="1071" w:name="_Toc511985094"/>
      <w:bookmarkStart w:id="1072" w:name="_Toc511985244"/>
      <w:bookmarkStart w:id="1073" w:name="_Toc511985394"/>
      <w:bookmarkStart w:id="1074" w:name="_Toc511991182"/>
      <w:bookmarkStart w:id="1075" w:name="_Toc511998152"/>
      <w:bookmarkStart w:id="1076" w:name="_Toc511998319"/>
      <w:bookmarkStart w:id="1077" w:name="_Toc512003296"/>
      <w:bookmarkStart w:id="1078" w:name="_Toc511856787"/>
      <w:bookmarkStart w:id="1079" w:name="_Toc511856916"/>
      <w:bookmarkStart w:id="1080" w:name="_Toc511857048"/>
      <w:bookmarkStart w:id="1081" w:name="_Toc511982897"/>
      <w:bookmarkStart w:id="1082" w:name="_Toc511984797"/>
      <w:bookmarkStart w:id="1083" w:name="_Toc511984946"/>
      <w:bookmarkStart w:id="1084" w:name="_Toc511985095"/>
      <w:bookmarkStart w:id="1085" w:name="_Toc511985245"/>
      <w:bookmarkStart w:id="1086" w:name="_Toc511985395"/>
      <w:bookmarkStart w:id="1087" w:name="_Toc511991183"/>
      <w:bookmarkStart w:id="1088" w:name="_Toc511998153"/>
      <w:bookmarkStart w:id="1089" w:name="_Toc511998320"/>
      <w:bookmarkStart w:id="1090" w:name="_Toc512003297"/>
      <w:bookmarkStart w:id="1091" w:name="_Toc511856788"/>
      <w:bookmarkStart w:id="1092" w:name="_Toc511856917"/>
      <w:bookmarkStart w:id="1093" w:name="_Toc511857049"/>
      <w:bookmarkStart w:id="1094" w:name="_Toc511982898"/>
      <w:bookmarkStart w:id="1095" w:name="_Toc511984798"/>
      <w:bookmarkStart w:id="1096" w:name="_Toc511984947"/>
      <w:bookmarkStart w:id="1097" w:name="_Toc511985096"/>
      <w:bookmarkStart w:id="1098" w:name="_Toc511985246"/>
      <w:bookmarkStart w:id="1099" w:name="_Toc511985396"/>
      <w:bookmarkStart w:id="1100" w:name="_Toc511991184"/>
      <w:bookmarkStart w:id="1101" w:name="_Toc511998154"/>
      <w:bookmarkStart w:id="1102" w:name="_Toc511998321"/>
      <w:bookmarkStart w:id="1103" w:name="_Toc512003298"/>
      <w:bookmarkStart w:id="1104" w:name="_Toc511856789"/>
      <w:bookmarkStart w:id="1105" w:name="_Toc511856918"/>
      <w:bookmarkStart w:id="1106" w:name="_Toc511857050"/>
      <w:bookmarkStart w:id="1107" w:name="_Toc511982899"/>
      <w:bookmarkStart w:id="1108" w:name="_Toc511984799"/>
      <w:bookmarkStart w:id="1109" w:name="_Toc511984948"/>
      <w:bookmarkStart w:id="1110" w:name="_Toc511985097"/>
      <w:bookmarkStart w:id="1111" w:name="_Toc511985247"/>
      <w:bookmarkStart w:id="1112" w:name="_Toc511985397"/>
      <w:bookmarkStart w:id="1113" w:name="_Toc511991185"/>
      <w:bookmarkStart w:id="1114" w:name="_Toc511998155"/>
      <w:bookmarkStart w:id="1115" w:name="_Toc511998322"/>
      <w:bookmarkStart w:id="1116" w:name="_Toc512003299"/>
      <w:bookmarkStart w:id="1117" w:name="_Toc511856790"/>
      <w:bookmarkStart w:id="1118" w:name="_Toc511856919"/>
      <w:bookmarkStart w:id="1119" w:name="_Toc511857051"/>
      <w:bookmarkStart w:id="1120" w:name="_Toc511982900"/>
      <w:bookmarkStart w:id="1121" w:name="_Toc511984800"/>
      <w:bookmarkStart w:id="1122" w:name="_Toc511984949"/>
      <w:bookmarkStart w:id="1123" w:name="_Toc511985098"/>
      <w:bookmarkStart w:id="1124" w:name="_Toc511985248"/>
      <w:bookmarkStart w:id="1125" w:name="_Toc511985398"/>
      <w:bookmarkStart w:id="1126" w:name="_Toc511991186"/>
      <w:bookmarkStart w:id="1127" w:name="_Toc511998156"/>
      <w:bookmarkStart w:id="1128" w:name="_Toc511998323"/>
      <w:bookmarkStart w:id="1129" w:name="_Toc512003300"/>
      <w:bookmarkStart w:id="1130" w:name="_Toc511856791"/>
      <w:bookmarkStart w:id="1131" w:name="_Toc511856920"/>
      <w:bookmarkStart w:id="1132" w:name="_Toc511857052"/>
      <w:bookmarkStart w:id="1133" w:name="_Toc511982901"/>
      <w:bookmarkStart w:id="1134" w:name="_Toc511984801"/>
      <w:bookmarkStart w:id="1135" w:name="_Toc511984950"/>
      <w:bookmarkStart w:id="1136" w:name="_Toc511985099"/>
      <w:bookmarkStart w:id="1137" w:name="_Toc511985249"/>
      <w:bookmarkStart w:id="1138" w:name="_Toc511985399"/>
      <w:bookmarkStart w:id="1139" w:name="_Toc511991187"/>
      <w:bookmarkStart w:id="1140" w:name="_Toc511998157"/>
      <w:bookmarkStart w:id="1141" w:name="_Toc511998324"/>
      <w:bookmarkStart w:id="1142" w:name="_Toc512003301"/>
      <w:bookmarkStart w:id="1143" w:name="_Toc511991188"/>
      <w:bookmarkStart w:id="1144" w:name="_Toc511998158"/>
      <w:bookmarkStart w:id="1145" w:name="_Toc511998325"/>
      <w:bookmarkStart w:id="1146" w:name="_Toc512003302"/>
      <w:bookmarkStart w:id="1147" w:name="_Toc511991189"/>
      <w:bookmarkStart w:id="1148" w:name="_Toc511998159"/>
      <w:bookmarkStart w:id="1149" w:name="_Toc511998326"/>
      <w:bookmarkStart w:id="1150" w:name="_Toc512003303"/>
      <w:bookmarkStart w:id="1151" w:name="_Toc511991190"/>
      <w:bookmarkStart w:id="1152" w:name="_Toc511998160"/>
      <w:bookmarkStart w:id="1153" w:name="_Toc511998327"/>
      <w:bookmarkStart w:id="1154" w:name="_Toc512003304"/>
      <w:bookmarkStart w:id="1155" w:name="_Toc511991191"/>
      <w:bookmarkStart w:id="1156" w:name="_Toc511998161"/>
      <w:bookmarkStart w:id="1157" w:name="_Toc511998328"/>
      <w:bookmarkStart w:id="1158" w:name="_Toc512003305"/>
      <w:bookmarkStart w:id="1159" w:name="_Toc511991192"/>
      <w:bookmarkStart w:id="1160" w:name="_Toc511998162"/>
      <w:bookmarkStart w:id="1161" w:name="_Toc511998329"/>
      <w:bookmarkStart w:id="1162" w:name="_Toc512003306"/>
      <w:bookmarkStart w:id="1163" w:name="_Toc511991193"/>
      <w:bookmarkStart w:id="1164" w:name="_Toc511998163"/>
      <w:bookmarkStart w:id="1165" w:name="_Toc511998330"/>
      <w:bookmarkStart w:id="1166" w:name="_Toc512003307"/>
      <w:bookmarkStart w:id="1167" w:name="_Toc511991194"/>
      <w:bookmarkStart w:id="1168" w:name="_Toc511998164"/>
      <w:bookmarkStart w:id="1169" w:name="_Toc511998331"/>
      <w:bookmarkStart w:id="1170" w:name="_Toc512003308"/>
      <w:bookmarkStart w:id="1171" w:name="_Toc511991195"/>
      <w:bookmarkStart w:id="1172" w:name="_Toc511998165"/>
      <w:bookmarkStart w:id="1173" w:name="_Toc511998332"/>
      <w:bookmarkStart w:id="1174" w:name="_Toc512003309"/>
      <w:bookmarkStart w:id="1175" w:name="_Supplemental_Data_Elements"/>
      <w:bookmarkStart w:id="1176" w:name="_Toc184039798"/>
      <w:bookmarkStart w:id="1177" w:name="_Toc159575163"/>
      <w:bookmarkStart w:id="1178" w:name="_Toc190852972"/>
      <w:bookmarkStart w:id="1179" w:name="_Toc195047574"/>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r>
        <w:t>4.2.4</w:t>
      </w:r>
      <w:r>
        <w:tab/>
      </w:r>
      <w:r w:rsidR="00161739">
        <w:t>Supplemental Data Elements</w:t>
      </w:r>
      <w:bookmarkEnd w:id="1176"/>
      <w:bookmarkEnd w:id="1177"/>
      <w:bookmarkEnd w:id="1178"/>
      <w:bookmarkEnd w:id="1179"/>
    </w:p>
    <w:p w14:paraId="3879AAFC" w14:textId="5BFE4298" w:rsidR="00161739" w:rsidRDefault="00161739" w:rsidP="009A5E20">
      <w:pPr>
        <w:pStyle w:val="ParagraphContinued"/>
      </w:pPr>
      <w:bookmarkStart w:id="1180" w:name="_heading=h.4bvk7pj" w:colFirst="0" w:colLast="0"/>
      <w:bookmarkEnd w:id="1180"/>
      <w:r>
        <w:t>All CMS eCQMs include a supplemental data element section. This section requests that a measured entity retrieve specific information for each patient reported in the eCQM. The report recipient can use this information for risk adjustment or population analytics, but the supplemental elements are not included in the calculation as part of the measure logic. Figure 4.9 shows an example of the supplemental data element section with the four elements that CMS requires (ethnicity, payer, race, and sex). Individual eCQMs might include additional supplemental data elements. For example, hybrid measures identify the list of additional patient data that is required in the Supplemental Data Element section of the eCQM.</w:t>
      </w:r>
      <w:bookmarkStart w:id="1181" w:name="_Ref5785144"/>
    </w:p>
    <w:p w14:paraId="2EA148D5" w14:textId="77777777" w:rsidR="00161739" w:rsidRDefault="00161739" w:rsidP="00E03612">
      <w:pPr>
        <w:pStyle w:val="FigureTitle"/>
      </w:pPr>
      <w:bookmarkStart w:id="1182" w:name="_heading=h.2r0uhxc" w:colFirst="0" w:colLast="0"/>
      <w:bookmarkStart w:id="1183" w:name="_Toc159577882"/>
      <w:bookmarkStart w:id="1184" w:name="_Toc195047218"/>
      <w:bookmarkEnd w:id="1182"/>
      <w:r w:rsidRPr="001141A7">
        <w:t xml:space="preserve">Figure </w:t>
      </w:r>
      <w:bookmarkEnd w:id="1181"/>
      <w:r w:rsidRPr="001141A7">
        <w:t>4.9. Supplemental Data Element Section of an eCQM</w:t>
      </w:r>
      <w:bookmarkEnd w:id="1183"/>
      <w:bookmarkEnd w:id="1184"/>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110E29" w:rsidRPr="002973D7" w14:paraId="0FEFEE0F" w14:textId="77777777" w:rsidTr="00BA3DF1">
        <w:tc>
          <w:tcPr>
            <w:tcW w:w="5000" w:type="pct"/>
            <w:shd w:val="clear" w:color="auto" w:fill="auto"/>
          </w:tcPr>
          <w:bookmarkStart w:id="1185" w:name="d1e767"/>
          <w:p w14:paraId="1D2B7F12" w14:textId="77777777" w:rsidR="0049395E" w:rsidRPr="0049395E" w:rsidRDefault="0049395E" w:rsidP="0049395E">
            <w:pPr>
              <w:spacing w:before="100" w:beforeAutospacing="1" w:after="100" w:afterAutospacing="1" w:line="240" w:lineRule="auto"/>
              <w:outlineLvl w:val="2"/>
              <w:rPr>
                <w:rFonts w:ascii="Verdana" w:eastAsia="Times New Roman" w:hAnsi="Verdana" w:cs="Times New Roman"/>
                <w:b/>
                <w:bCs/>
                <w:color w:val="000000"/>
                <w:szCs w:val="20"/>
              </w:rPr>
            </w:pPr>
            <w:r w:rsidRPr="0049395E">
              <w:rPr>
                <w:rFonts w:ascii="Verdana" w:eastAsia="Times New Roman" w:hAnsi="Verdana" w:cs="Times New Roman"/>
                <w:b/>
                <w:bCs/>
                <w:color w:val="000000"/>
                <w:szCs w:val="20"/>
              </w:rPr>
              <w:fldChar w:fldCharType="begin"/>
            </w:r>
            <w:r w:rsidRPr="0049395E">
              <w:rPr>
                <w:rFonts w:ascii="Verdana" w:eastAsia="Times New Roman" w:hAnsi="Verdana" w:cs="Times New Roman"/>
                <w:b/>
                <w:bCs/>
                <w:color w:val="000000"/>
                <w:szCs w:val="20"/>
              </w:rPr>
              <w:instrText>HYPERLINK "https://ecqi.healthit.gov/sites/default/files/ecqm/measures/CMS125v13.html" \l "toc"</w:instrText>
            </w:r>
            <w:r w:rsidRPr="0049395E">
              <w:rPr>
                <w:rFonts w:ascii="Verdana" w:eastAsia="Times New Roman" w:hAnsi="Verdana" w:cs="Times New Roman"/>
                <w:b/>
                <w:bCs/>
                <w:color w:val="000000"/>
                <w:szCs w:val="20"/>
              </w:rPr>
            </w:r>
            <w:r w:rsidRPr="0049395E">
              <w:rPr>
                <w:rFonts w:ascii="Verdana" w:eastAsia="Times New Roman" w:hAnsi="Verdana" w:cs="Times New Roman"/>
                <w:b/>
                <w:bCs/>
                <w:color w:val="000000"/>
                <w:szCs w:val="20"/>
              </w:rPr>
              <w:fldChar w:fldCharType="separate"/>
            </w:r>
            <w:r w:rsidRPr="0049395E">
              <w:rPr>
                <w:rFonts w:ascii="Verdana" w:eastAsia="Times New Roman" w:hAnsi="Verdana" w:cs="Times New Roman"/>
                <w:b/>
                <w:bCs/>
                <w:color w:val="0000FF"/>
                <w:szCs w:val="20"/>
                <w:u w:val="single"/>
              </w:rPr>
              <w:t>Supplemental Data Elements</w:t>
            </w:r>
            <w:r w:rsidRPr="0049395E">
              <w:rPr>
                <w:rFonts w:ascii="Verdana" w:eastAsia="Times New Roman" w:hAnsi="Verdana" w:cs="Times New Roman"/>
                <w:b/>
                <w:bCs/>
                <w:color w:val="000000"/>
                <w:szCs w:val="20"/>
              </w:rPr>
              <w:fldChar w:fldCharType="end"/>
            </w:r>
            <w:bookmarkEnd w:id="1185"/>
          </w:p>
          <w:p w14:paraId="13100245" w14:textId="0F9DA704" w:rsidR="0049395E" w:rsidRDefault="0049395E" w:rsidP="00495DD4">
            <w:pPr>
              <w:pStyle w:val="FigureHeader"/>
              <w:spacing w:before="60"/>
              <w:contextualSpacing/>
            </w:pPr>
            <w:r w:rsidRPr="005E64B8">
              <w:rPr>
                <w:rFonts w:ascii="Cambria Math" w:hAnsi="Cambria Math"/>
              </w:rPr>
              <w:t>◢</w:t>
            </w:r>
            <w:r>
              <w:rPr>
                <w:rFonts w:ascii="Cambria Math" w:hAnsi="Cambria Math"/>
              </w:rPr>
              <w:t xml:space="preserve"> </w:t>
            </w:r>
            <w:r>
              <w:t>SDE Ethnicity</w:t>
            </w:r>
          </w:p>
          <w:p w14:paraId="0A56A2AD" w14:textId="6178F8D7" w:rsidR="0049395E" w:rsidRDefault="0049395E" w:rsidP="00495DD4">
            <w:pPr>
              <w:spacing w:before="60" w:after="60" w:line="240" w:lineRule="auto"/>
              <w:ind w:left="720"/>
              <w:contextualSpacing/>
              <w:rPr>
                <w:rFonts w:ascii="Verdana" w:eastAsia="Times New Roman" w:hAnsi="Verdana" w:cs="Courier New"/>
                <w:color w:val="000000"/>
                <w:sz w:val="17"/>
                <w:szCs w:val="17"/>
              </w:rPr>
            </w:pPr>
            <w:r w:rsidRPr="0049395E">
              <w:rPr>
                <w:rFonts w:ascii="Verdana" w:eastAsia="Times New Roman" w:hAnsi="Verdana" w:cs="Courier New"/>
                <w:color w:val="000000"/>
                <w:sz w:val="17"/>
                <w:szCs w:val="17"/>
              </w:rPr>
              <w:t>["Patient Characteristic Ethnicity": "Ethnicity"]</w:t>
            </w:r>
          </w:p>
          <w:p w14:paraId="407FAE6F" w14:textId="77777777" w:rsidR="00495DD4" w:rsidRPr="0049395E" w:rsidRDefault="00495DD4" w:rsidP="00495DD4">
            <w:pPr>
              <w:spacing w:before="60" w:after="60" w:line="240" w:lineRule="auto"/>
              <w:ind w:left="720"/>
              <w:contextualSpacing/>
              <w:rPr>
                <w:rFonts w:ascii="Consolas" w:eastAsia="Times New Roman" w:hAnsi="Consolas" w:cs="Times New Roman"/>
                <w:color w:val="000000"/>
                <w:szCs w:val="18"/>
              </w:rPr>
            </w:pPr>
          </w:p>
          <w:p w14:paraId="0ECE0A1A" w14:textId="2149FE98" w:rsidR="0049395E" w:rsidRDefault="0049395E" w:rsidP="00495DD4">
            <w:pPr>
              <w:pStyle w:val="FigureHeader"/>
              <w:spacing w:before="60"/>
              <w:contextualSpacing/>
            </w:pPr>
            <w:r w:rsidRPr="005E64B8">
              <w:rPr>
                <w:rFonts w:ascii="Cambria Math" w:hAnsi="Cambria Math"/>
              </w:rPr>
              <w:t>◢</w:t>
            </w:r>
            <w:r>
              <w:rPr>
                <w:rFonts w:ascii="Cambria Math" w:hAnsi="Cambria Math"/>
              </w:rPr>
              <w:t xml:space="preserve"> </w:t>
            </w:r>
            <w:r>
              <w:t>SDE Payer</w:t>
            </w:r>
          </w:p>
          <w:p w14:paraId="7474D3FD" w14:textId="77777777" w:rsidR="0049395E" w:rsidRDefault="0049395E" w:rsidP="00495DD4">
            <w:pPr>
              <w:spacing w:before="60" w:after="60" w:line="240" w:lineRule="auto"/>
              <w:ind w:left="720"/>
              <w:contextualSpacing/>
              <w:rPr>
                <w:rFonts w:ascii="Verdana" w:eastAsia="Times New Roman" w:hAnsi="Verdana" w:cs="Courier New"/>
                <w:color w:val="000000"/>
                <w:sz w:val="17"/>
                <w:szCs w:val="17"/>
              </w:rPr>
            </w:pPr>
            <w:r w:rsidRPr="0049395E">
              <w:rPr>
                <w:rFonts w:ascii="Verdana" w:eastAsia="Times New Roman" w:hAnsi="Verdana" w:cs="Courier New"/>
                <w:color w:val="000000"/>
                <w:sz w:val="17"/>
                <w:szCs w:val="17"/>
              </w:rPr>
              <w:t>["Patient Characteristic Payer": "Payer Type"]</w:t>
            </w:r>
          </w:p>
          <w:p w14:paraId="0EAD4985" w14:textId="77777777" w:rsidR="00495DD4" w:rsidRPr="0049395E" w:rsidRDefault="00495DD4" w:rsidP="00495DD4">
            <w:pPr>
              <w:spacing w:before="60" w:after="60" w:line="240" w:lineRule="auto"/>
              <w:ind w:left="720"/>
              <w:contextualSpacing/>
              <w:rPr>
                <w:rFonts w:ascii="Consolas" w:eastAsia="Times New Roman" w:hAnsi="Consolas" w:cs="Times New Roman"/>
                <w:color w:val="000000"/>
                <w:szCs w:val="18"/>
              </w:rPr>
            </w:pPr>
          </w:p>
          <w:p w14:paraId="78F9E08C" w14:textId="28EA2C30" w:rsidR="0049395E" w:rsidRPr="0049395E" w:rsidRDefault="0049395E" w:rsidP="00495DD4">
            <w:pPr>
              <w:pStyle w:val="FigureHeader"/>
              <w:spacing w:before="60"/>
              <w:contextualSpacing/>
            </w:pPr>
            <w:r w:rsidRPr="0049395E">
              <w:rPr>
                <w:rFonts w:ascii="Consolas" w:eastAsia="Times New Roman" w:hAnsi="Consolas" w:cs="Times New Roman"/>
                <w:color w:val="000000"/>
                <w:szCs w:val="18"/>
              </w:rPr>
              <w:t> </w:t>
            </w:r>
            <w:r w:rsidRPr="005E64B8">
              <w:rPr>
                <w:rFonts w:ascii="Cambria Math" w:hAnsi="Cambria Math"/>
              </w:rPr>
              <w:t>◢</w:t>
            </w:r>
            <w:r>
              <w:rPr>
                <w:rFonts w:ascii="Cambria Math" w:hAnsi="Cambria Math"/>
              </w:rPr>
              <w:t xml:space="preserve"> </w:t>
            </w:r>
            <w:r>
              <w:t>SDE Race</w:t>
            </w:r>
          </w:p>
          <w:p w14:paraId="3D6CDF72" w14:textId="0F666D12" w:rsidR="0049395E" w:rsidRDefault="0049395E" w:rsidP="00495D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line="240" w:lineRule="auto"/>
              <w:ind w:left="720"/>
              <w:contextualSpacing/>
              <w:rPr>
                <w:rFonts w:ascii="Verdana" w:eastAsia="Times New Roman" w:hAnsi="Verdana" w:cs="Courier New"/>
                <w:color w:val="000000"/>
                <w:sz w:val="17"/>
                <w:szCs w:val="17"/>
              </w:rPr>
            </w:pPr>
            <w:r w:rsidRPr="0049395E">
              <w:rPr>
                <w:rFonts w:ascii="Verdana" w:eastAsia="Times New Roman" w:hAnsi="Verdana" w:cs="Courier New"/>
                <w:color w:val="000000"/>
                <w:sz w:val="17"/>
                <w:szCs w:val="17"/>
              </w:rPr>
              <w:t>["Patient Characteristic Race": "Race"]</w:t>
            </w:r>
          </w:p>
          <w:p w14:paraId="45402500" w14:textId="77777777" w:rsidR="0049395E" w:rsidRDefault="0049395E" w:rsidP="00495D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line="240" w:lineRule="auto"/>
              <w:contextualSpacing/>
              <w:rPr>
                <w:rFonts w:ascii="Verdana" w:eastAsia="Times New Roman" w:hAnsi="Verdana" w:cs="Courier New"/>
                <w:color w:val="000000"/>
                <w:sz w:val="17"/>
                <w:szCs w:val="17"/>
              </w:rPr>
            </w:pPr>
          </w:p>
          <w:p w14:paraId="44EC72D7" w14:textId="3AAE021B" w:rsidR="0049395E" w:rsidRPr="00495DD4" w:rsidRDefault="0049395E" w:rsidP="00495DD4">
            <w:pPr>
              <w:pStyle w:val="FigureHeader"/>
              <w:spacing w:before="60"/>
              <w:contextualSpacing/>
            </w:pPr>
            <w:r w:rsidRPr="005E64B8">
              <w:rPr>
                <w:rFonts w:ascii="Cambria Math" w:hAnsi="Cambria Math"/>
              </w:rPr>
              <w:t>◢</w:t>
            </w:r>
            <w:r>
              <w:rPr>
                <w:rFonts w:ascii="Cambria Math" w:hAnsi="Cambria Math"/>
              </w:rPr>
              <w:t xml:space="preserve"> </w:t>
            </w:r>
            <w:r>
              <w:t>SDE Sex</w:t>
            </w:r>
          </w:p>
          <w:p w14:paraId="642C3B68" w14:textId="4093A963" w:rsidR="00110E29" w:rsidRPr="00495DD4" w:rsidRDefault="0049395E" w:rsidP="00495DD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60" w:after="60" w:line="240" w:lineRule="auto"/>
              <w:ind w:left="720"/>
              <w:contextualSpacing/>
              <w:rPr>
                <w:rFonts w:ascii="Verdana" w:eastAsia="Times New Roman" w:hAnsi="Verdana" w:cs="Courier New"/>
                <w:color w:val="000000"/>
                <w:sz w:val="17"/>
                <w:szCs w:val="17"/>
              </w:rPr>
            </w:pPr>
            <w:r w:rsidRPr="0049395E">
              <w:rPr>
                <w:rFonts w:ascii="Verdana" w:eastAsia="Times New Roman" w:hAnsi="Verdana" w:cs="Courier New"/>
                <w:color w:val="000000"/>
                <w:sz w:val="17"/>
                <w:szCs w:val="17"/>
              </w:rPr>
              <w:t>["Patient Characteristic Sex": "</w:t>
            </w:r>
            <w:r>
              <w:rPr>
                <w:rFonts w:ascii="Verdana" w:eastAsia="Times New Roman" w:hAnsi="Verdana" w:cs="Courier New"/>
                <w:color w:val="000000"/>
                <w:sz w:val="17"/>
                <w:szCs w:val="17"/>
              </w:rPr>
              <w:t>Federal</w:t>
            </w:r>
            <w:r w:rsidRPr="0049395E">
              <w:rPr>
                <w:rFonts w:ascii="Verdana" w:eastAsia="Times New Roman" w:hAnsi="Verdana" w:cs="Courier New"/>
                <w:color w:val="000000"/>
                <w:sz w:val="17"/>
                <w:szCs w:val="17"/>
              </w:rPr>
              <w:t xml:space="preserve"> Administrative Sex"]</w:t>
            </w:r>
          </w:p>
        </w:tc>
      </w:tr>
    </w:tbl>
    <w:p w14:paraId="07070785" w14:textId="29E62657" w:rsidR="00161739" w:rsidRDefault="009A5E20" w:rsidP="009A5E20">
      <w:pPr>
        <w:pStyle w:val="H3-Num"/>
      </w:pPr>
      <w:bookmarkStart w:id="1186" w:name="_Toc184039799"/>
      <w:bookmarkStart w:id="1187" w:name="_Toc159575164"/>
      <w:bookmarkStart w:id="1188" w:name="_Toc190852973"/>
      <w:bookmarkStart w:id="1189" w:name="_Toc195047575"/>
      <w:r>
        <w:lastRenderedPageBreak/>
        <w:t>4.2.5</w:t>
      </w:r>
      <w:r>
        <w:tab/>
      </w:r>
      <w:r w:rsidR="00161739">
        <w:t>Reporting Stratification</w:t>
      </w:r>
      <w:bookmarkEnd w:id="1186"/>
      <w:bookmarkEnd w:id="1187"/>
      <w:bookmarkEnd w:id="1188"/>
      <w:bookmarkEnd w:id="1189"/>
    </w:p>
    <w:p w14:paraId="33B82381" w14:textId="6DB6C625" w:rsidR="00161739" w:rsidRDefault="00161739" w:rsidP="009A5E20">
      <w:pPr>
        <w:pStyle w:val="ParagraphContinued"/>
      </w:pPr>
      <w:r>
        <w:t>Measure developers might define reporting strata</w:t>
      </w:r>
      <w:r w:rsidR="00720366">
        <w:t>—</w:t>
      </w:r>
      <w:r>
        <w:t>that is, variable groupings a measured entity should include in the eCQM report. For example, they might report different rates by age or by type of intensive care unit in a facility.</w:t>
      </w:r>
      <w:r w:rsidR="00720AF4" w:rsidRPr="00720AF4">
        <w:t xml:space="preserve"> As a requirement for reporting measures with stratifications, these measures are always calculated and reported both with stratifications applied to the populations and without the stratifications applied.</w:t>
      </w:r>
    </w:p>
    <w:p w14:paraId="3A36C974" w14:textId="63B0B841" w:rsidR="00161739" w:rsidRDefault="00161739" w:rsidP="009A5E20">
      <w:pPr>
        <w:pStyle w:val="Paragraph"/>
      </w:pPr>
      <w:r>
        <w:t xml:space="preserve">The eCQM human-readable document (HTML) always includes a Stratification section. If an eCQM does not have reporting strata defined, the section displays “None” by default. If an eCQM contains reporting stratifications, the section lists each of the reporting strata under its own heading, as shown in Figure 4.10 (example from the eligible clinician measure </w:t>
      </w:r>
      <w:hyperlink r:id="rId74" w:history="1">
        <w:r w:rsidR="008A3821" w:rsidRPr="00697E99">
          <w:rPr>
            <w:rStyle w:val="Hyperlink"/>
          </w:rPr>
          <w:t>CMS155v14, Weight Assessment and Counseling for Nutrition and Physical Activity for Children/Adolescents</w:t>
        </w:r>
      </w:hyperlink>
      <w:r>
        <w:t>).</w:t>
      </w:r>
    </w:p>
    <w:p w14:paraId="62DB4CD1" w14:textId="77777777" w:rsidR="00161739" w:rsidRDefault="00161739" w:rsidP="001C1202">
      <w:pPr>
        <w:pStyle w:val="FigureTitle"/>
      </w:pPr>
      <w:bookmarkStart w:id="1190" w:name="_heading=h.3q5sasy" w:colFirst="0" w:colLast="0"/>
      <w:bookmarkStart w:id="1191" w:name="_Ref5785207"/>
      <w:bookmarkStart w:id="1192" w:name="_Toc159577883"/>
      <w:bookmarkStart w:id="1193" w:name="_Toc195047219"/>
      <w:bookmarkEnd w:id="1190"/>
      <w:r w:rsidRPr="001141A7">
        <w:t xml:space="preserve">Figure </w:t>
      </w:r>
      <w:bookmarkEnd w:id="1191"/>
      <w:r w:rsidRPr="001141A7">
        <w:t>4.10. Reporting Stratification</w:t>
      </w:r>
      <w:bookmarkEnd w:id="1192"/>
      <w:bookmarkEnd w:id="1193"/>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494718" w:rsidRPr="001C1202" w14:paraId="43C0FBCF" w14:textId="77777777" w:rsidTr="00DD50C0">
        <w:tc>
          <w:tcPr>
            <w:tcW w:w="5000" w:type="pct"/>
            <w:shd w:val="clear" w:color="auto" w:fill="auto"/>
          </w:tcPr>
          <w:p w14:paraId="6C3351BF" w14:textId="77777777" w:rsidR="00494718" w:rsidRDefault="00494718" w:rsidP="00494718">
            <w:pPr>
              <w:pStyle w:val="ParagraphContinued"/>
            </w:pPr>
            <w:r>
              <w:t xml:space="preserve">(a) </w:t>
            </w:r>
            <w:r w:rsidRPr="001141A7">
              <w:t>Stratification Section in Header</w:t>
            </w:r>
          </w:p>
          <w:tbl>
            <w:tblPr>
              <w:tblW w:w="89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705"/>
              <w:gridCol w:w="7285"/>
            </w:tblGrid>
            <w:tr w:rsidR="00494718" w14:paraId="57FA0F63" w14:textId="77777777" w:rsidTr="005967FA">
              <w:trPr>
                <w:trHeight w:val="755"/>
              </w:trPr>
              <w:tc>
                <w:tcPr>
                  <w:tcW w:w="1705" w:type="dxa"/>
                  <w:shd w:val="clear" w:color="auto" w:fill="656565"/>
                </w:tcPr>
                <w:p w14:paraId="2CE06DA1" w14:textId="77777777" w:rsidR="000D1E76" w:rsidRDefault="000D1E76" w:rsidP="00494718">
                  <w:pPr>
                    <w:pStyle w:val="TableTextLeft"/>
                    <w:rPr>
                      <w:rFonts w:ascii="Verdana" w:hAnsi="Verdana"/>
                      <w:b/>
                      <w:bCs/>
                      <w:color w:val="FFFFFF" w:themeColor="background1"/>
                      <w:sz w:val="17"/>
                      <w:szCs w:val="17"/>
                    </w:rPr>
                  </w:pPr>
                </w:p>
                <w:p w14:paraId="07D3F105" w14:textId="50BE3ABE" w:rsidR="00494718" w:rsidRPr="005967FA" w:rsidRDefault="00494718" w:rsidP="00494718">
                  <w:pPr>
                    <w:pStyle w:val="TableTextLeft"/>
                    <w:rPr>
                      <w:rFonts w:ascii="Verdana" w:hAnsi="Verdana"/>
                      <w:b/>
                      <w:bCs/>
                      <w:sz w:val="17"/>
                      <w:szCs w:val="17"/>
                    </w:rPr>
                  </w:pPr>
                  <w:r w:rsidRPr="005967FA">
                    <w:rPr>
                      <w:rFonts w:ascii="Verdana" w:hAnsi="Verdana"/>
                      <w:b/>
                      <w:bCs/>
                      <w:color w:val="FFFFFF" w:themeColor="background1"/>
                      <w:sz w:val="17"/>
                      <w:szCs w:val="17"/>
                    </w:rPr>
                    <w:t>Stratification</w:t>
                  </w:r>
                </w:p>
              </w:tc>
              <w:tc>
                <w:tcPr>
                  <w:tcW w:w="7285" w:type="dxa"/>
                </w:tcPr>
                <w:p w14:paraId="68D1FE31" w14:textId="77777777" w:rsidR="00494718" w:rsidRPr="0049395E" w:rsidRDefault="00494718" w:rsidP="00494718">
                  <w:pPr>
                    <w:pStyle w:val="TableTextLeft"/>
                    <w:rPr>
                      <w:rFonts w:ascii="Verdana" w:hAnsi="Verdana"/>
                      <w:sz w:val="17"/>
                      <w:szCs w:val="17"/>
                    </w:rPr>
                  </w:pPr>
                  <w:r w:rsidRPr="0049395E">
                    <w:rPr>
                      <w:rFonts w:ascii="Verdana" w:hAnsi="Verdana"/>
                      <w:sz w:val="17"/>
                      <w:szCs w:val="17"/>
                    </w:rPr>
                    <w:t>Report a total score, and each of the following strata:</w:t>
                  </w:r>
                </w:p>
                <w:p w14:paraId="5B11928A" w14:textId="77777777" w:rsidR="00494718" w:rsidRPr="0049395E" w:rsidRDefault="00494718" w:rsidP="00494718">
                  <w:pPr>
                    <w:pStyle w:val="TableTextLeft"/>
                    <w:rPr>
                      <w:rFonts w:ascii="Verdana" w:hAnsi="Verdana"/>
                      <w:sz w:val="17"/>
                      <w:szCs w:val="17"/>
                    </w:rPr>
                  </w:pPr>
                  <w:r w:rsidRPr="0049395E">
                    <w:rPr>
                      <w:rFonts w:ascii="Verdana" w:hAnsi="Verdana"/>
                      <w:sz w:val="17"/>
                      <w:szCs w:val="17"/>
                    </w:rPr>
                    <w:t>Stratum 1 - Patients age 3–11 years at the end of the measurement period</w:t>
                  </w:r>
                </w:p>
                <w:p w14:paraId="4C2F91D2" w14:textId="77777777" w:rsidR="00494718" w:rsidRPr="0049395E" w:rsidRDefault="00494718" w:rsidP="00494718">
                  <w:pPr>
                    <w:pStyle w:val="TableTextLeft"/>
                    <w:rPr>
                      <w:rFonts w:ascii="Verdana" w:hAnsi="Verdana"/>
                      <w:sz w:val="17"/>
                      <w:szCs w:val="17"/>
                    </w:rPr>
                  </w:pPr>
                  <w:r w:rsidRPr="0049395E">
                    <w:rPr>
                      <w:rFonts w:ascii="Verdana" w:hAnsi="Verdana"/>
                      <w:sz w:val="17"/>
                      <w:szCs w:val="17"/>
                    </w:rPr>
                    <w:t>Stratum 2 - Patients age 12–17 years at the end of the measurement period</w:t>
                  </w:r>
                </w:p>
              </w:tc>
            </w:tr>
          </w:tbl>
          <w:p w14:paraId="2F2D2A99" w14:textId="77777777" w:rsidR="00494718" w:rsidRDefault="00494718" w:rsidP="00494718">
            <w:pPr>
              <w:pStyle w:val="ParagraphContinued"/>
            </w:pPr>
            <w:r>
              <w:t xml:space="preserve">(b) </w:t>
            </w:r>
            <w:r w:rsidRPr="001141A7">
              <w:t>Stratification Section in CQL Logic Definitions</w:t>
            </w:r>
          </w:p>
          <w:p w14:paraId="72C7FD0E" w14:textId="77777777" w:rsidR="00494718" w:rsidRDefault="00494718" w:rsidP="00494718">
            <w:pPr>
              <w:pStyle w:val="FigureHeader"/>
            </w:pPr>
            <w:r w:rsidRPr="005E64B8">
              <w:rPr>
                <w:rFonts w:ascii="Cambria Math" w:hAnsi="Cambria Math"/>
              </w:rPr>
              <w:t>◢</w:t>
            </w:r>
            <w:r>
              <w:rPr>
                <w:rFonts w:ascii="Cambria Math" w:hAnsi="Cambria Math"/>
              </w:rPr>
              <w:t xml:space="preserve"> </w:t>
            </w:r>
            <w:r>
              <w:t>Stratification 1</w:t>
            </w:r>
          </w:p>
          <w:p w14:paraId="7D43FB3E" w14:textId="77777777" w:rsidR="00494718" w:rsidRDefault="00494718" w:rsidP="00494718">
            <w:pPr>
              <w:pStyle w:val="Figure"/>
              <w:ind w:left="720"/>
            </w:pPr>
            <w:proofErr w:type="spellStart"/>
            <w:r>
              <w:t>AgeInYearsAt</w:t>
            </w:r>
            <w:proofErr w:type="spellEnd"/>
            <w:r>
              <w:t xml:space="preserve">(date from </w:t>
            </w:r>
          </w:p>
          <w:p w14:paraId="340A6ECA" w14:textId="77777777" w:rsidR="00494718" w:rsidRDefault="00494718" w:rsidP="00494718">
            <w:pPr>
              <w:pStyle w:val="Figure"/>
              <w:ind w:left="720"/>
            </w:pPr>
            <w:r>
              <w:t xml:space="preserve">  end of "Measurement Period"</w:t>
            </w:r>
          </w:p>
          <w:p w14:paraId="0F48F934" w14:textId="77777777" w:rsidR="00494718" w:rsidRDefault="00494718" w:rsidP="00494718">
            <w:pPr>
              <w:pStyle w:val="Figure"/>
              <w:ind w:left="720"/>
            </w:pPr>
            <w:r>
              <w:t>)in Interval[3, 11]</w:t>
            </w:r>
          </w:p>
          <w:p w14:paraId="7D8CEDBE" w14:textId="77777777" w:rsidR="00494718" w:rsidRDefault="00494718" w:rsidP="00494718">
            <w:pPr>
              <w:pStyle w:val="FigureHeader"/>
              <w:spacing w:before="120"/>
            </w:pPr>
            <w:r w:rsidRPr="005E64B8">
              <w:rPr>
                <w:rFonts w:ascii="Cambria Math" w:hAnsi="Cambria Math"/>
              </w:rPr>
              <w:t>◢</w:t>
            </w:r>
            <w:r>
              <w:rPr>
                <w:rFonts w:ascii="Cambria Math" w:hAnsi="Cambria Math"/>
              </w:rPr>
              <w:t xml:space="preserve"> </w:t>
            </w:r>
            <w:r>
              <w:t>Stratification 2</w:t>
            </w:r>
          </w:p>
          <w:p w14:paraId="22899886" w14:textId="77777777" w:rsidR="00494718" w:rsidRDefault="00494718" w:rsidP="00494718">
            <w:pPr>
              <w:pStyle w:val="Figure"/>
              <w:ind w:left="720"/>
            </w:pPr>
            <w:proofErr w:type="spellStart"/>
            <w:r>
              <w:t>AgeInYearsAt</w:t>
            </w:r>
            <w:proofErr w:type="spellEnd"/>
            <w:r>
              <w:t xml:space="preserve">(date from </w:t>
            </w:r>
          </w:p>
          <w:p w14:paraId="13AD01F5" w14:textId="77777777" w:rsidR="00494718" w:rsidRDefault="00494718" w:rsidP="00494718">
            <w:pPr>
              <w:pStyle w:val="Figure"/>
              <w:ind w:left="720"/>
            </w:pPr>
            <w:r>
              <w:t xml:space="preserve">  end of "Measurement Period"</w:t>
            </w:r>
          </w:p>
          <w:p w14:paraId="50BB7D41" w14:textId="3E3921A8" w:rsidR="00494718" w:rsidRPr="00494718" w:rsidRDefault="00494718" w:rsidP="00494718">
            <w:pPr>
              <w:pStyle w:val="Figure"/>
              <w:ind w:left="720"/>
            </w:pPr>
            <w:r>
              <w:t>)in Interval[12, 17]</w:t>
            </w:r>
          </w:p>
        </w:tc>
      </w:tr>
    </w:tbl>
    <w:p w14:paraId="5B663FFC" w14:textId="3A2E986C" w:rsidR="00161739" w:rsidRDefault="009A5E20" w:rsidP="009A5E20">
      <w:pPr>
        <w:pStyle w:val="H3-Num"/>
      </w:pPr>
      <w:bookmarkStart w:id="1194" w:name="_Toc184039800"/>
      <w:bookmarkStart w:id="1195" w:name="_Toc159575165"/>
      <w:bookmarkStart w:id="1196" w:name="_Toc190852974"/>
      <w:bookmarkStart w:id="1197" w:name="_Toc195047576"/>
      <w:r>
        <w:t>4.2.6</w:t>
      </w:r>
      <w:r>
        <w:tab/>
      </w:r>
      <w:r w:rsidR="00161739">
        <w:t>Risk Adjustment Variables</w:t>
      </w:r>
      <w:bookmarkEnd w:id="1194"/>
      <w:bookmarkEnd w:id="1195"/>
      <w:bookmarkEnd w:id="1196"/>
      <w:bookmarkEnd w:id="1197"/>
    </w:p>
    <w:p w14:paraId="7CB197E9" w14:textId="5AD1129F" w:rsidR="00161739" w:rsidRDefault="00161739" w:rsidP="009A5E20">
      <w:pPr>
        <w:pStyle w:val="ParagraphContinued"/>
      </w:pPr>
      <w:r>
        <w:t>Outcome measures</w:t>
      </w:r>
      <w:r w:rsidR="00720AF4" w:rsidRPr="00720AF4">
        <w:t xml:space="preserve">, which typically measure patient results rather than the completion of clinical processes, </w:t>
      </w:r>
      <w:r w:rsidR="00685BA0">
        <w:t>may</w:t>
      </w:r>
      <w:r>
        <w:t xml:space="preserve"> require risk adjustment to</w:t>
      </w:r>
      <w:r w:rsidR="00685BA0">
        <w:t xml:space="preserve"> ensure fair and accurate comparison of outcomes.</w:t>
      </w:r>
      <w:r>
        <w:t xml:space="preserve"> Risk adjustment variables identify </w:t>
      </w:r>
      <w:r w:rsidR="00685BA0">
        <w:t>patient factors</w:t>
      </w:r>
      <w:r w:rsidR="00707CA8">
        <w:t>,</w:t>
      </w:r>
      <w:r w:rsidR="00685BA0">
        <w:t xml:space="preserve"> such as age or comorbidities</w:t>
      </w:r>
      <w:r w:rsidR="00707CA8">
        <w:t>,</w:t>
      </w:r>
      <w:r w:rsidR="00685BA0">
        <w:t xml:space="preserve"> that may influence outcomes. </w:t>
      </w:r>
      <w:r>
        <w:t xml:space="preserve">An eCQM report receiver may use variables in statistical models to </w:t>
      </w:r>
      <w:r w:rsidR="00BE2F88">
        <w:t xml:space="preserve">adjust </w:t>
      </w:r>
      <w:r>
        <w:t xml:space="preserve">eCQM scores to reflect </w:t>
      </w:r>
      <w:r w:rsidR="00BE2F88">
        <w:t>differences in patient populations or complexity</w:t>
      </w:r>
      <w:r>
        <w:t xml:space="preserve">. The eCQM </w:t>
      </w:r>
      <w:r w:rsidR="00BE2F88">
        <w:t>specifies the required</w:t>
      </w:r>
      <w:r>
        <w:t xml:space="preserve"> variables</w:t>
      </w:r>
      <w:r w:rsidR="00895A82">
        <w:t>,</w:t>
      </w:r>
      <w:r>
        <w:t xml:space="preserve"> and measured entities will </w:t>
      </w:r>
      <w:r w:rsidR="00BE2F88">
        <w:t>retrieve them f</w:t>
      </w:r>
      <w:r>
        <w:t xml:space="preserve">rom existing clinical data. The measure developer will </w:t>
      </w:r>
      <w:r w:rsidR="00895A82">
        <w:t xml:space="preserve">reference a </w:t>
      </w:r>
      <w:r>
        <w:t>risk adjustment methodology</w:t>
      </w:r>
      <w:r w:rsidR="00895A82">
        <w:t xml:space="preserve"> report</w:t>
      </w:r>
      <w:r>
        <w:t xml:space="preserve"> as a link in the eCQM header</w:t>
      </w:r>
      <w:r w:rsidR="00895A82">
        <w:t xml:space="preserve">, </w:t>
      </w:r>
      <w:r w:rsidR="00F96450">
        <w:t>describing</w:t>
      </w:r>
      <w:r>
        <w:t xml:space="preserve"> how to </w:t>
      </w:r>
      <w:r w:rsidR="00F96450">
        <w:t>apply the adjustment.</w:t>
      </w:r>
      <w:r>
        <w:t xml:space="preserve"> Data use</w:t>
      </w:r>
      <w:r w:rsidR="00F96450">
        <w:t>d for</w:t>
      </w:r>
      <w:r>
        <w:t xml:space="preserve"> risk adjustment are submitted to the receiving system in </w:t>
      </w:r>
      <w:r w:rsidR="00F96450">
        <w:t xml:space="preserve">the same </w:t>
      </w:r>
      <w:r>
        <w:t xml:space="preserve">manner </w:t>
      </w:r>
      <w:r w:rsidR="00F96450">
        <w:t>as the</w:t>
      </w:r>
      <w:r>
        <w:t xml:space="preserve"> supplemental data elements noted in Section 4.2.4. </w:t>
      </w:r>
    </w:p>
    <w:p w14:paraId="441DBF07" w14:textId="15D4730C" w:rsidR="00161739" w:rsidRDefault="009A5E20" w:rsidP="009A5E20">
      <w:pPr>
        <w:pStyle w:val="H3-Num"/>
      </w:pPr>
      <w:bookmarkStart w:id="1198" w:name="_Toc512504887"/>
      <w:bookmarkStart w:id="1199" w:name="_Toc512870684"/>
      <w:bookmarkStart w:id="1200" w:name="_Toc184039801"/>
      <w:bookmarkStart w:id="1201" w:name="_Toc159575166"/>
      <w:bookmarkStart w:id="1202" w:name="_Toc190852975"/>
      <w:bookmarkStart w:id="1203" w:name="_Toc195047577"/>
      <w:bookmarkEnd w:id="1198"/>
      <w:bookmarkEnd w:id="1199"/>
      <w:r>
        <w:t>4.2.7</w:t>
      </w:r>
      <w:r>
        <w:tab/>
      </w:r>
      <w:r w:rsidR="00161739">
        <w:t>Measure Observations</w:t>
      </w:r>
      <w:bookmarkEnd w:id="1200"/>
      <w:bookmarkEnd w:id="1201"/>
      <w:bookmarkEnd w:id="1202"/>
      <w:bookmarkEnd w:id="1203"/>
    </w:p>
    <w:p w14:paraId="44365346" w14:textId="05E85D66" w:rsidR="00161739" w:rsidRDefault="00161739" w:rsidP="009A5E20">
      <w:pPr>
        <w:pStyle w:val="ParagraphContinued"/>
      </w:pPr>
      <w:bookmarkStart w:id="1204" w:name="_heading=h.34g0dwd" w:colFirst="0" w:colLast="0"/>
      <w:bookmarkEnd w:id="1204"/>
      <w:r>
        <w:t xml:space="preserve">Only ratio and continuous variable measures use measure observations. Measure observations </w:t>
      </w:r>
      <w:r w:rsidR="00925C94">
        <w:t xml:space="preserve">return counts that are used </w:t>
      </w:r>
      <w:r>
        <w:t>to evaluate performance—for example, the sum of denominator-</w:t>
      </w:r>
      <w:r>
        <w:lastRenderedPageBreak/>
        <w:t>eligible hospitalization days during the measurement period. Measure observations may</w:t>
      </w:r>
      <w:r w:rsidR="00713FEE">
        <w:t xml:space="preserve"> </w:t>
      </w:r>
      <w:r>
        <w:t xml:space="preserve">be associated with the numerator or denominator. </w:t>
      </w:r>
    </w:p>
    <w:p w14:paraId="73257533" w14:textId="14648D36" w:rsidR="00161739" w:rsidRDefault="00161739" w:rsidP="009A5E20">
      <w:pPr>
        <w:pStyle w:val="Paragraph"/>
        <w:rPr>
          <w:rFonts w:ascii="Courier New" w:eastAsia="Courier New" w:hAnsi="Courier New" w:cs="Courier New"/>
          <w:b/>
        </w:rPr>
      </w:pPr>
      <w:r>
        <w:t xml:space="preserve">Figure 4.11 shows an example of measure observation logic referencing the </w:t>
      </w:r>
      <w:r w:rsidR="000D1E76">
        <w:t>“</w:t>
      </w:r>
      <w:proofErr w:type="spellStart"/>
      <w:r w:rsidR="00925C94">
        <w:rPr>
          <w:iCs/>
        </w:rPr>
        <w:t>Numerator</w:t>
      </w:r>
      <w:r w:rsidRPr="000D1E76">
        <w:rPr>
          <w:iCs/>
        </w:rPr>
        <w:t>Observations</w:t>
      </w:r>
      <w:proofErr w:type="spellEnd"/>
      <w:r w:rsidR="000D1E76">
        <w:rPr>
          <w:iCs/>
        </w:rPr>
        <w:t>”</w:t>
      </w:r>
      <w:r>
        <w:t xml:space="preserve"> function located in the Functions section of </w:t>
      </w:r>
      <w:hyperlink r:id="rId75" w:history="1">
        <w:r w:rsidRPr="008A3821">
          <w:rPr>
            <w:rStyle w:val="Hyperlink"/>
          </w:rPr>
          <w:t>CMS871v</w:t>
        </w:r>
        <w:r w:rsidR="008A3821" w:rsidRPr="008A3821">
          <w:rPr>
            <w:rStyle w:val="Hyperlink"/>
          </w:rPr>
          <w:t>5</w:t>
        </w:r>
        <w:r w:rsidRPr="008A3821">
          <w:rPr>
            <w:rStyle w:val="Hyperlink"/>
          </w:rPr>
          <w:t>, Hospital Harm - Severe Hyperglycemia</w:t>
        </w:r>
      </w:hyperlink>
      <w:r w:rsidRPr="008A3821">
        <w:rPr>
          <w:rStyle w:val="Hyperlink"/>
          <w:color w:val="auto"/>
          <w:u w:val="none"/>
        </w:rPr>
        <w:t>.</w:t>
      </w:r>
      <w:r w:rsidR="00925C94">
        <w:rPr>
          <w:rStyle w:val="Hyperlink"/>
          <w:color w:val="auto"/>
          <w:u w:val="none"/>
        </w:rPr>
        <w:t xml:space="preserve"> In this example, the “</w:t>
      </w:r>
      <w:proofErr w:type="spellStart"/>
      <w:r w:rsidR="00925C94">
        <w:rPr>
          <w:rStyle w:val="Hyperlink"/>
          <w:color w:val="auto"/>
          <w:u w:val="none"/>
        </w:rPr>
        <w:t>NumeratorObservations</w:t>
      </w:r>
      <w:proofErr w:type="spellEnd"/>
      <w:r w:rsidR="00925C94">
        <w:rPr>
          <w:rStyle w:val="Hyperlink"/>
          <w:color w:val="auto"/>
          <w:u w:val="none"/>
        </w:rPr>
        <w:t>” function is calculating the number of eligible hospital days where a hyperglycemic event occurred. The count returned by this measure observation is then used to calculate the ratio score for this measure.</w:t>
      </w:r>
    </w:p>
    <w:p w14:paraId="7F0E1E62" w14:textId="77777777" w:rsidR="00161739" w:rsidRDefault="00161739" w:rsidP="00494718">
      <w:pPr>
        <w:pStyle w:val="FigureTitle"/>
      </w:pPr>
      <w:bookmarkStart w:id="1205" w:name="_heading=h.1jlao46" w:colFirst="0" w:colLast="0"/>
      <w:bookmarkStart w:id="1206" w:name="_Ref5785260"/>
      <w:bookmarkStart w:id="1207" w:name="_Toc159577884"/>
      <w:bookmarkStart w:id="1208" w:name="_Toc195047220"/>
      <w:bookmarkEnd w:id="1205"/>
      <w:r w:rsidRPr="001141A7">
        <w:t xml:space="preserve">Figure </w:t>
      </w:r>
      <w:bookmarkEnd w:id="1206"/>
      <w:r w:rsidRPr="001141A7">
        <w:t>4.11. Measure Observation Example</w:t>
      </w:r>
      <w:bookmarkEnd w:id="1207"/>
      <w:bookmarkEnd w:id="1208"/>
    </w:p>
    <w:tbl>
      <w:tblPr>
        <w:tblStyle w:val="GrayCell"/>
        <w:tblW w:w="9360"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9360"/>
      </w:tblGrid>
      <w:tr w:rsidR="002973D7" w14:paraId="1557CB84" w14:textId="77777777" w:rsidTr="00DD50C0">
        <w:tc>
          <w:tcPr>
            <w:tcW w:w="5000" w:type="pct"/>
            <w:shd w:val="clear" w:color="auto" w:fill="auto"/>
          </w:tcPr>
          <w:p w14:paraId="156A93E2" w14:textId="632BC0B4" w:rsidR="002973D7" w:rsidRDefault="002973D7" w:rsidP="002973D7">
            <w:pPr>
              <w:pStyle w:val="FigureHeader"/>
            </w:pPr>
            <w:r w:rsidRPr="005E64B8">
              <w:rPr>
                <w:rFonts w:ascii="Cambria Math" w:hAnsi="Cambria Math"/>
              </w:rPr>
              <w:t>◢</w:t>
            </w:r>
            <w:r>
              <w:rPr>
                <w:rFonts w:ascii="Cambria Math" w:hAnsi="Cambria Math"/>
              </w:rPr>
              <w:t xml:space="preserve"> </w:t>
            </w:r>
            <w:proofErr w:type="spellStart"/>
            <w:proofErr w:type="gramStart"/>
            <w:r w:rsidR="00925C94">
              <w:t>Numerator</w:t>
            </w:r>
            <w:r w:rsidRPr="00577F68">
              <w:t>Observations</w:t>
            </w:r>
            <w:proofErr w:type="spellEnd"/>
            <w:r w:rsidRPr="00577F68">
              <w:t>(</w:t>
            </w:r>
            <w:proofErr w:type="spellStart"/>
            <w:proofErr w:type="gramEnd"/>
            <w:r w:rsidRPr="00577F68">
              <w:t>QualifyingEncounter</w:t>
            </w:r>
            <w:proofErr w:type="spellEnd"/>
            <w:r w:rsidRPr="00577F68">
              <w:t xml:space="preserve"> "Encounter, Performed")</w:t>
            </w:r>
          </w:p>
          <w:p w14:paraId="63748CA5" w14:textId="77777777" w:rsidR="00925C94" w:rsidRPr="00925C94" w:rsidRDefault="00925C94" w:rsidP="00925C94">
            <w:pPr>
              <w:pStyle w:val="Figure"/>
              <w:ind w:left="660"/>
              <w:rPr>
                <w:sz w:val="17"/>
                <w:szCs w:val="17"/>
              </w:rPr>
            </w:pPr>
            <w:r w:rsidRPr="00925C94">
              <w:rPr>
                <w:sz w:val="17"/>
                <w:szCs w:val="17"/>
              </w:rPr>
              <w:t xml:space="preserve">singleton from </w:t>
            </w:r>
            <w:proofErr w:type="gramStart"/>
            <w:r w:rsidRPr="00925C94">
              <w:rPr>
                <w:sz w:val="17"/>
                <w:szCs w:val="17"/>
              </w:rPr>
              <w:t>( "</w:t>
            </w:r>
            <w:proofErr w:type="gramEnd"/>
            <w:r w:rsidRPr="00925C94">
              <w:rPr>
                <w:sz w:val="17"/>
                <w:szCs w:val="17"/>
              </w:rPr>
              <w:t xml:space="preserve">Days with Hyperglycemic Events" </w:t>
            </w:r>
            <w:proofErr w:type="spellStart"/>
            <w:r w:rsidRPr="00925C94">
              <w:rPr>
                <w:sz w:val="17"/>
                <w:szCs w:val="17"/>
              </w:rPr>
              <w:t>EncounterWithEventDays</w:t>
            </w:r>
            <w:proofErr w:type="spellEnd"/>
          </w:p>
          <w:p w14:paraId="09449207" w14:textId="77777777" w:rsidR="00925C94" w:rsidRPr="00925C94" w:rsidRDefault="00925C94" w:rsidP="00925C94">
            <w:pPr>
              <w:pStyle w:val="Figure"/>
              <w:ind w:left="660"/>
              <w:rPr>
                <w:sz w:val="17"/>
                <w:szCs w:val="17"/>
              </w:rPr>
            </w:pPr>
            <w:r w:rsidRPr="00925C94">
              <w:rPr>
                <w:sz w:val="17"/>
                <w:szCs w:val="17"/>
              </w:rPr>
              <w:t xml:space="preserve">      where </w:t>
            </w:r>
            <w:proofErr w:type="spellStart"/>
            <w:r w:rsidRPr="00925C94">
              <w:rPr>
                <w:sz w:val="17"/>
                <w:szCs w:val="17"/>
              </w:rPr>
              <w:t>EncounterWithEventDays.encounter</w:t>
            </w:r>
            <w:proofErr w:type="spellEnd"/>
            <w:r w:rsidRPr="00925C94">
              <w:rPr>
                <w:sz w:val="17"/>
                <w:szCs w:val="17"/>
              </w:rPr>
              <w:t xml:space="preserve"> = </w:t>
            </w:r>
            <w:proofErr w:type="spellStart"/>
            <w:r w:rsidRPr="00925C94">
              <w:rPr>
                <w:sz w:val="17"/>
                <w:szCs w:val="17"/>
              </w:rPr>
              <w:t>QualifyingEncounter</w:t>
            </w:r>
            <w:proofErr w:type="spellEnd"/>
          </w:p>
          <w:p w14:paraId="26A2D09D" w14:textId="77777777" w:rsidR="00925C94" w:rsidRPr="00925C94" w:rsidRDefault="00925C94" w:rsidP="00925C94">
            <w:pPr>
              <w:pStyle w:val="Figure"/>
              <w:ind w:left="660"/>
              <w:rPr>
                <w:sz w:val="17"/>
                <w:szCs w:val="17"/>
              </w:rPr>
            </w:pPr>
            <w:r w:rsidRPr="00925C94">
              <w:rPr>
                <w:sz w:val="17"/>
                <w:szCs w:val="17"/>
              </w:rPr>
              <w:t xml:space="preserve">      return </w:t>
            </w:r>
            <w:proofErr w:type="gramStart"/>
            <w:r w:rsidRPr="00925C94">
              <w:rPr>
                <w:sz w:val="17"/>
                <w:szCs w:val="17"/>
              </w:rPr>
              <w:t>Count(</w:t>
            </w:r>
            <w:proofErr w:type="spellStart"/>
            <w:proofErr w:type="gramEnd"/>
            <w:r w:rsidRPr="00925C94">
              <w:rPr>
                <w:sz w:val="17"/>
                <w:szCs w:val="17"/>
              </w:rPr>
              <w:t>EncounterWithEventDays.eligibleEventDays</w:t>
            </w:r>
            <w:proofErr w:type="spellEnd"/>
            <w:r w:rsidRPr="00925C94">
              <w:rPr>
                <w:sz w:val="17"/>
                <w:szCs w:val="17"/>
              </w:rPr>
              <w:t xml:space="preserve"> </w:t>
            </w:r>
            <w:proofErr w:type="spellStart"/>
            <w:r w:rsidRPr="00925C94">
              <w:rPr>
                <w:sz w:val="17"/>
                <w:szCs w:val="17"/>
              </w:rPr>
              <w:t>EligibleEventDay</w:t>
            </w:r>
            <w:proofErr w:type="spellEnd"/>
          </w:p>
          <w:p w14:paraId="4F29E81B" w14:textId="77777777" w:rsidR="00925C94" w:rsidRPr="00925C94" w:rsidRDefault="00925C94" w:rsidP="00925C94">
            <w:pPr>
              <w:pStyle w:val="Figure"/>
              <w:ind w:left="660"/>
              <w:rPr>
                <w:sz w:val="17"/>
                <w:szCs w:val="17"/>
              </w:rPr>
            </w:pPr>
            <w:r w:rsidRPr="00925C94">
              <w:rPr>
                <w:sz w:val="17"/>
                <w:szCs w:val="17"/>
              </w:rPr>
              <w:t xml:space="preserve">          where </w:t>
            </w:r>
            <w:proofErr w:type="spellStart"/>
            <w:r w:rsidRPr="00925C94">
              <w:rPr>
                <w:sz w:val="17"/>
                <w:szCs w:val="17"/>
              </w:rPr>
              <w:t>EligibleEventDay.hasHyperglycemicEvent</w:t>
            </w:r>
            <w:proofErr w:type="spellEnd"/>
          </w:p>
          <w:p w14:paraId="15BA422E" w14:textId="77777777" w:rsidR="00925C94" w:rsidRPr="00925C94" w:rsidRDefault="00925C94" w:rsidP="00925C94">
            <w:pPr>
              <w:pStyle w:val="Figure"/>
              <w:ind w:left="660"/>
              <w:rPr>
                <w:sz w:val="17"/>
                <w:szCs w:val="17"/>
              </w:rPr>
            </w:pPr>
            <w:r w:rsidRPr="00925C94">
              <w:rPr>
                <w:sz w:val="17"/>
                <w:szCs w:val="17"/>
              </w:rPr>
              <w:t xml:space="preserve">      )</w:t>
            </w:r>
          </w:p>
          <w:p w14:paraId="086E9506" w14:textId="2589A78B" w:rsidR="002973D7" w:rsidRPr="002973D7" w:rsidRDefault="00925C94" w:rsidP="00925C94">
            <w:pPr>
              <w:pStyle w:val="Figure"/>
              <w:ind w:left="660"/>
            </w:pPr>
            <w:r w:rsidRPr="00925C94">
              <w:rPr>
                <w:sz w:val="17"/>
                <w:szCs w:val="17"/>
              </w:rPr>
              <w:t xml:space="preserve">  )</w:t>
            </w:r>
          </w:p>
        </w:tc>
      </w:tr>
    </w:tbl>
    <w:p w14:paraId="773A03CE" w14:textId="77777777" w:rsidR="002973D7" w:rsidRPr="002973D7" w:rsidRDefault="002973D7" w:rsidP="002973D7">
      <w:pPr>
        <w:pStyle w:val="ExhibitSource"/>
      </w:pPr>
    </w:p>
    <w:p w14:paraId="34894B83" w14:textId="77777777" w:rsidR="001C2D38" w:rsidRDefault="001C2D38" w:rsidP="00161739">
      <w:pPr>
        <w:pStyle w:val="HTMLPreformatted"/>
        <w:shd w:val="clear" w:color="auto" w:fill="FFFFFF"/>
        <w:rPr>
          <w:rFonts w:ascii="Verdana" w:hAnsi="Verdana"/>
          <w:color w:val="000000"/>
          <w:sz w:val="17"/>
          <w:szCs w:val="17"/>
        </w:rPr>
        <w:sectPr w:rsidR="001C2D38" w:rsidSect="00161739">
          <w:headerReference w:type="even" r:id="rId76"/>
          <w:headerReference w:type="default" r:id="rId77"/>
          <w:headerReference w:type="first" r:id="rId78"/>
          <w:pgSz w:w="12240" w:h="15840"/>
          <w:pgMar w:top="1440" w:right="1440" w:bottom="1440" w:left="1440" w:header="504" w:footer="504" w:gutter="0"/>
          <w:cols w:space="720"/>
          <w:titlePg/>
        </w:sectPr>
      </w:pPr>
    </w:p>
    <w:p w14:paraId="35DCC527" w14:textId="33F78F39" w:rsidR="00161739" w:rsidRDefault="009A5E20" w:rsidP="009A5E20">
      <w:pPr>
        <w:pStyle w:val="H1-Num"/>
      </w:pPr>
      <w:bookmarkStart w:id="1209" w:name="_Toc195047578"/>
      <w:r>
        <w:lastRenderedPageBreak/>
        <w:t>5.</w:t>
      </w:r>
      <w:r>
        <w:tab/>
      </w:r>
      <w:bookmarkStart w:id="1210" w:name="_Toc184039802"/>
      <w:bookmarkStart w:id="1211" w:name="_Toc159575167"/>
      <w:bookmarkStart w:id="1212" w:name="_Toc190852976"/>
      <w:r w:rsidR="00161739">
        <w:t>Connect for Assistance</w:t>
      </w:r>
      <w:bookmarkEnd w:id="1209"/>
      <w:bookmarkEnd w:id="1210"/>
      <w:bookmarkEnd w:id="1211"/>
      <w:bookmarkEnd w:id="1212"/>
    </w:p>
    <w:p w14:paraId="71844687" w14:textId="5621E894" w:rsidR="00161739" w:rsidRDefault="00161739" w:rsidP="009A5E20">
      <w:pPr>
        <w:pStyle w:val="ParagraphContinued"/>
      </w:pPr>
      <w:r>
        <w:t xml:space="preserve">For questions related to eCQM implementation specifications, logic, data elements, standards, or tools, use </w:t>
      </w:r>
      <w:r w:rsidR="007036B7">
        <w:t xml:space="preserve">the </w:t>
      </w:r>
      <w:r>
        <w:t xml:space="preserve">Assistant Secretary for Technology Policy/Office of the National Coordinator for Health IT (ASTP/ONC) Project Tracking System (Jira) on the </w:t>
      </w:r>
      <w:hyperlink r:id="rId79" w:history="1">
        <w:r w:rsidRPr="001478DF">
          <w:rPr>
            <w:rStyle w:val="Hyperlink"/>
          </w:rPr>
          <w:t>ASTP/ONC Project Tracking System website</w:t>
        </w:r>
      </w:hyperlink>
      <w:r>
        <w:t>.</w:t>
      </w:r>
    </w:p>
    <w:p w14:paraId="7A928F51" w14:textId="77777777" w:rsidR="00161739" w:rsidRDefault="00161739" w:rsidP="00161739">
      <w:pPr>
        <w:spacing w:after="160" w:line="259" w:lineRule="auto"/>
        <w:rPr>
          <w:rFonts w:ascii="Arial Narrow" w:eastAsia="Arial Narrow" w:hAnsi="Arial Narrow" w:cs="Arial Narrow"/>
          <w:b/>
          <w:sz w:val="36"/>
          <w:szCs w:val="36"/>
        </w:rPr>
      </w:pPr>
      <w:bookmarkStart w:id="1213" w:name="bookmark=id.2iq8gzs" w:colFirst="0" w:colLast="0"/>
      <w:bookmarkStart w:id="1214" w:name="VersionHistory"/>
      <w:bookmarkEnd w:id="1213"/>
      <w:r>
        <w:br w:type="page"/>
      </w:r>
    </w:p>
    <w:p w14:paraId="63911461" w14:textId="77777777" w:rsidR="00161739" w:rsidRDefault="00161739" w:rsidP="002973D7">
      <w:pPr>
        <w:pStyle w:val="AppendixTitle"/>
      </w:pPr>
      <w:bookmarkStart w:id="1215" w:name="_Toc184039803"/>
      <w:bookmarkStart w:id="1216" w:name="_Toc159575168"/>
      <w:bookmarkStart w:id="1217" w:name="_Toc190852977"/>
      <w:bookmarkStart w:id="1218" w:name="_Toc195047579"/>
      <w:r>
        <w:lastRenderedPageBreak/>
        <w:t>Version History</w:t>
      </w:r>
      <w:bookmarkEnd w:id="1214"/>
      <w:bookmarkEnd w:id="1215"/>
      <w:bookmarkEnd w:id="1216"/>
      <w:bookmarkEnd w:id="1217"/>
      <w:bookmarkEnd w:id="1218"/>
    </w:p>
    <w:tbl>
      <w:tblPr>
        <w:tblStyle w:val="BaseTable"/>
        <w:tblW w:w="935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4A0" w:firstRow="1" w:lastRow="0" w:firstColumn="1" w:lastColumn="0" w:noHBand="0" w:noVBand="1"/>
      </w:tblPr>
      <w:tblGrid>
        <w:gridCol w:w="1218"/>
        <w:gridCol w:w="2021"/>
        <w:gridCol w:w="2051"/>
        <w:gridCol w:w="4060"/>
      </w:tblGrid>
      <w:tr w:rsidR="00161739" w14:paraId="645F243B" w14:textId="77777777" w:rsidTr="00531F60">
        <w:trPr>
          <w:cnfStyle w:val="100000000000" w:firstRow="1" w:lastRow="0" w:firstColumn="0" w:lastColumn="0" w:oddVBand="0" w:evenVBand="0" w:oddHBand="0" w:evenHBand="0" w:firstRowFirstColumn="0" w:firstRowLastColumn="0" w:lastRowFirstColumn="0" w:lastRowLastColumn="0"/>
          <w:trHeight w:val="120"/>
          <w:tblHeader/>
        </w:trPr>
        <w:tc>
          <w:tcPr>
            <w:tcW w:w="1218"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4FC7B41D" w14:textId="77777777" w:rsidR="00161739" w:rsidRPr="001141A7" w:rsidRDefault="00161739" w:rsidP="002973D7">
            <w:pPr>
              <w:pStyle w:val="TableHeaderLeft"/>
              <w:rPr>
                <w:b w:val="0"/>
              </w:rPr>
            </w:pPr>
            <w:r w:rsidRPr="001141A7">
              <w:t>Version</w:t>
            </w:r>
          </w:p>
        </w:tc>
        <w:tc>
          <w:tcPr>
            <w:tcW w:w="2021"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3B55A56F" w14:textId="77777777" w:rsidR="00161739" w:rsidRPr="001141A7" w:rsidRDefault="00161739" w:rsidP="002973D7">
            <w:pPr>
              <w:pStyle w:val="TableHeaderCenter"/>
              <w:rPr>
                <w:b w:val="0"/>
              </w:rPr>
            </w:pPr>
            <w:r w:rsidRPr="001141A7">
              <w:t>Date</w:t>
            </w:r>
          </w:p>
        </w:tc>
        <w:tc>
          <w:tcPr>
            <w:tcW w:w="2051"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5FB8788D" w14:textId="77777777" w:rsidR="00161739" w:rsidRPr="001141A7" w:rsidRDefault="00161739" w:rsidP="002973D7">
            <w:pPr>
              <w:pStyle w:val="TableHeaderCenter"/>
              <w:rPr>
                <w:b w:val="0"/>
              </w:rPr>
            </w:pPr>
            <w:r w:rsidRPr="001141A7">
              <w:t>Author/owner</w:t>
            </w:r>
          </w:p>
        </w:tc>
        <w:tc>
          <w:tcPr>
            <w:tcW w:w="4060" w:type="dxa"/>
            <w:tcBorders>
              <w:top w:val="none" w:sz="0" w:space="0" w:color="auto"/>
              <w:left w:val="none" w:sz="0" w:space="0" w:color="auto"/>
              <w:bottom w:val="none" w:sz="0" w:space="0" w:color="auto"/>
              <w:right w:val="none" w:sz="0" w:space="0" w:color="auto"/>
              <w:tl2br w:val="none" w:sz="0" w:space="0" w:color="auto"/>
              <w:tr2bl w:val="none" w:sz="0" w:space="0" w:color="auto"/>
            </w:tcBorders>
            <w:shd w:val="clear" w:color="auto" w:fill="D5DCE4"/>
          </w:tcPr>
          <w:p w14:paraId="42F5A246" w14:textId="77777777" w:rsidR="00161739" w:rsidRPr="001141A7" w:rsidRDefault="00161739" w:rsidP="002973D7">
            <w:pPr>
              <w:pStyle w:val="TableHeaderCenter"/>
              <w:rPr>
                <w:b w:val="0"/>
              </w:rPr>
            </w:pPr>
            <w:r w:rsidRPr="001141A7">
              <w:t>Description of change</w:t>
            </w:r>
          </w:p>
        </w:tc>
      </w:tr>
      <w:tr w:rsidR="00161739" w14:paraId="7E0FC429" w14:textId="77777777" w:rsidTr="00531F60">
        <w:trPr>
          <w:trHeight w:val="120"/>
        </w:trPr>
        <w:tc>
          <w:tcPr>
            <w:tcW w:w="1218" w:type="dxa"/>
          </w:tcPr>
          <w:p w14:paraId="30FDCC3E" w14:textId="77777777" w:rsidR="00161739" w:rsidRPr="00531F60" w:rsidRDefault="00161739" w:rsidP="00531F60">
            <w:pPr>
              <w:pStyle w:val="TableTextLeft"/>
              <w:rPr>
                <w:sz w:val="20"/>
                <w:szCs w:val="20"/>
              </w:rPr>
            </w:pPr>
            <w:r w:rsidRPr="00531F60">
              <w:rPr>
                <w:sz w:val="20"/>
                <w:szCs w:val="20"/>
              </w:rPr>
              <w:t xml:space="preserve">4.0 </w:t>
            </w:r>
          </w:p>
        </w:tc>
        <w:tc>
          <w:tcPr>
            <w:tcW w:w="2021" w:type="dxa"/>
          </w:tcPr>
          <w:p w14:paraId="13913414" w14:textId="77777777" w:rsidR="00161739" w:rsidRPr="00531F60" w:rsidRDefault="00161739" w:rsidP="00531F60">
            <w:pPr>
              <w:pStyle w:val="TableTextLeft"/>
              <w:rPr>
                <w:sz w:val="20"/>
                <w:szCs w:val="20"/>
              </w:rPr>
            </w:pPr>
            <w:r w:rsidRPr="00531F60">
              <w:rPr>
                <w:sz w:val="20"/>
                <w:szCs w:val="20"/>
              </w:rPr>
              <w:t>May 4, 2018</w:t>
            </w:r>
          </w:p>
        </w:tc>
        <w:tc>
          <w:tcPr>
            <w:tcW w:w="2051" w:type="dxa"/>
          </w:tcPr>
          <w:p w14:paraId="448796AB" w14:textId="77777777" w:rsidR="00161739" w:rsidRPr="00531F60" w:rsidRDefault="00161739" w:rsidP="00531F60">
            <w:pPr>
              <w:pStyle w:val="TableTextLeft"/>
              <w:rPr>
                <w:sz w:val="20"/>
                <w:szCs w:val="20"/>
              </w:rPr>
            </w:pPr>
            <w:r w:rsidRPr="00531F60">
              <w:rPr>
                <w:sz w:val="20"/>
                <w:szCs w:val="20"/>
              </w:rPr>
              <w:t>CMS</w:t>
            </w:r>
          </w:p>
        </w:tc>
        <w:tc>
          <w:tcPr>
            <w:tcW w:w="4060" w:type="dxa"/>
          </w:tcPr>
          <w:p w14:paraId="20ABE8D4" w14:textId="77777777" w:rsidR="00161739" w:rsidRPr="00531F60" w:rsidRDefault="00161739" w:rsidP="00531F60">
            <w:pPr>
              <w:pStyle w:val="TableTextLeft"/>
              <w:rPr>
                <w:sz w:val="20"/>
                <w:szCs w:val="20"/>
              </w:rPr>
            </w:pPr>
            <w:r w:rsidRPr="00531F60">
              <w:rPr>
                <w:sz w:val="20"/>
                <w:szCs w:val="20"/>
              </w:rPr>
              <w:t>Initial updated draft for comments</w:t>
            </w:r>
          </w:p>
        </w:tc>
      </w:tr>
      <w:tr w:rsidR="00161739" w14:paraId="55D0D045" w14:textId="77777777" w:rsidTr="00531F60">
        <w:trPr>
          <w:trHeight w:val="120"/>
        </w:trPr>
        <w:tc>
          <w:tcPr>
            <w:tcW w:w="1218" w:type="dxa"/>
          </w:tcPr>
          <w:p w14:paraId="3DE54D1C" w14:textId="77777777" w:rsidR="00161739" w:rsidRPr="00531F60" w:rsidRDefault="00161739" w:rsidP="00531F60">
            <w:pPr>
              <w:pStyle w:val="TableTextLeft"/>
              <w:rPr>
                <w:sz w:val="20"/>
                <w:szCs w:val="20"/>
              </w:rPr>
            </w:pPr>
            <w:r w:rsidRPr="00531F60">
              <w:rPr>
                <w:sz w:val="20"/>
                <w:szCs w:val="20"/>
              </w:rPr>
              <w:t>5.0</w:t>
            </w:r>
          </w:p>
        </w:tc>
        <w:tc>
          <w:tcPr>
            <w:tcW w:w="2021" w:type="dxa"/>
          </w:tcPr>
          <w:p w14:paraId="20CBFA86" w14:textId="77777777" w:rsidR="00161739" w:rsidRPr="00531F60" w:rsidRDefault="00161739" w:rsidP="00531F60">
            <w:pPr>
              <w:pStyle w:val="TableTextLeft"/>
              <w:rPr>
                <w:sz w:val="20"/>
                <w:szCs w:val="20"/>
              </w:rPr>
            </w:pPr>
            <w:r w:rsidRPr="00531F60">
              <w:rPr>
                <w:sz w:val="20"/>
                <w:szCs w:val="20"/>
              </w:rPr>
              <w:t>May 2019</w:t>
            </w:r>
          </w:p>
        </w:tc>
        <w:tc>
          <w:tcPr>
            <w:tcW w:w="2051" w:type="dxa"/>
          </w:tcPr>
          <w:p w14:paraId="4C56A7DE" w14:textId="77777777" w:rsidR="00161739" w:rsidRPr="00531F60" w:rsidRDefault="00161739" w:rsidP="00531F60">
            <w:pPr>
              <w:pStyle w:val="TableTextLeft"/>
              <w:rPr>
                <w:sz w:val="20"/>
                <w:szCs w:val="20"/>
              </w:rPr>
            </w:pPr>
            <w:r w:rsidRPr="00531F60">
              <w:rPr>
                <w:sz w:val="20"/>
                <w:szCs w:val="20"/>
              </w:rPr>
              <w:t>CMS</w:t>
            </w:r>
          </w:p>
        </w:tc>
        <w:tc>
          <w:tcPr>
            <w:tcW w:w="4060" w:type="dxa"/>
          </w:tcPr>
          <w:p w14:paraId="3372CA8A" w14:textId="77777777" w:rsidR="00161739" w:rsidRPr="00531F60" w:rsidRDefault="00161739" w:rsidP="00531F60">
            <w:pPr>
              <w:pStyle w:val="TableTextLeft"/>
              <w:rPr>
                <w:sz w:val="20"/>
                <w:szCs w:val="20"/>
              </w:rPr>
            </w:pPr>
            <w:r w:rsidRPr="00531F60">
              <w:rPr>
                <w:sz w:val="20"/>
                <w:szCs w:val="20"/>
              </w:rPr>
              <w:t xml:space="preserve">Updated measure examples, figures, hyperlinks, and versions of standards referenced throughout. Revised text based on input from interested parties and external reviewers. Added Section 2.2.3.2, Direct Reference Codes. </w:t>
            </w:r>
          </w:p>
        </w:tc>
      </w:tr>
      <w:tr w:rsidR="00161739" w14:paraId="7AD1C79D" w14:textId="77777777" w:rsidTr="00531F60">
        <w:trPr>
          <w:trHeight w:val="120"/>
        </w:trPr>
        <w:tc>
          <w:tcPr>
            <w:tcW w:w="1218" w:type="dxa"/>
          </w:tcPr>
          <w:p w14:paraId="46D2D37D" w14:textId="77777777" w:rsidR="00161739" w:rsidRPr="00531F60" w:rsidRDefault="00161739" w:rsidP="00531F60">
            <w:pPr>
              <w:pStyle w:val="TableTextLeft"/>
              <w:rPr>
                <w:sz w:val="20"/>
                <w:szCs w:val="20"/>
              </w:rPr>
            </w:pPr>
            <w:r w:rsidRPr="00531F60">
              <w:rPr>
                <w:sz w:val="20"/>
                <w:szCs w:val="20"/>
              </w:rPr>
              <w:t>6.0</w:t>
            </w:r>
          </w:p>
        </w:tc>
        <w:tc>
          <w:tcPr>
            <w:tcW w:w="2021" w:type="dxa"/>
          </w:tcPr>
          <w:p w14:paraId="210835E2" w14:textId="77777777" w:rsidR="00161739" w:rsidRPr="00531F60" w:rsidRDefault="00161739" w:rsidP="00531F60">
            <w:pPr>
              <w:pStyle w:val="TableTextLeft"/>
              <w:rPr>
                <w:sz w:val="20"/>
                <w:szCs w:val="20"/>
              </w:rPr>
            </w:pPr>
            <w:r w:rsidRPr="00531F60">
              <w:rPr>
                <w:sz w:val="20"/>
                <w:szCs w:val="20"/>
              </w:rPr>
              <w:t>May 2020</w:t>
            </w:r>
          </w:p>
        </w:tc>
        <w:tc>
          <w:tcPr>
            <w:tcW w:w="2051" w:type="dxa"/>
          </w:tcPr>
          <w:p w14:paraId="5307DFEA" w14:textId="77777777" w:rsidR="00161739" w:rsidRPr="00531F60" w:rsidRDefault="00161739" w:rsidP="00531F60">
            <w:pPr>
              <w:pStyle w:val="TableTextLeft"/>
              <w:rPr>
                <w:sz w:val="20"/>
                <w:szCs w:val="20"/>
              </w:rPr>
            </w:pPr>
            <w:r w:rsidRPr="00531F60">
              <w:rPr>
                <w:sz w:val="20"/>
                <w:szCs w:val="20"/>
              </w:rPr>
              <w:t>CMS</w:t>
            </w:r>
          </w:p>
        </w:tc>
        <w:tc>
          <w:tcPr>
            <w:tcW w:w="4060" w:type="dxa"/>
          </w:tcPr>
          <w:p w14:paraId="7025F26A" w14:textId="77777777" w:rsidR="00161739" w:rsidRPr="00531F60" w:rsidRDefault="00161739" w:rsidP="00531F60">
            <w:pPr>
              <w:pStyle w:val="TableTextLeft"/>
              <w:rPr>
                <w:sz w:val="20"/>
                <w:szCs w:val="20"/>
              </w:rPr>
            </w:pPr>
            <w:r w:rsidRPr="00531F60">
              <w:rPr>
                <w:sz w:val="20"/>
                <w:szCs w:val="20"/>
              </w:rPr>
              <w:t>Updated measure examples, figures, hyperlinks, and versions of standards referenced throughout. Revised text based on input from interested parties and external reviewers.</w:t>
            </w:r>
          </w:p>
        </w:tc>
      </w:tr>
      <w:tr w:rsidR="00161739" w14:paraId="4C638381" w14:textId="77777777" w:rsidTr="00531F60">
        <w:trPr>
          <w:trHeight w:val="120"/>
        </w:trPr>
        <w:tc>
          <w:tcPr>
            <w:tcW w:w="1218" w:type="dxa"/>
          </w:tcPr>
          <w:p w14:paraId="5CE3BCA8" w14:textId="77777777" w:rsidR="00161739" w:rsidRPr="00531F60" w:rsidRDefault="00161739" w:rsidP="00531F60">
            <w:pPr>
              <w:pStyle w:val="TableTextLeft"/>
              <w:rPr>
                <w:sz w:val="20"/>
                <w:szCs w:val="20"/>
              </w:rPr>
            </w:pPr>
            <w:r w:rsidRPr="00531F60">
              <w:rPr>
                <w:sz w:val="20"/>
                <w:szCs w:val="20"/>
              </w:rPr>
              <w:t>7.0</w:t>
            </w:r>
          </w:p>
        </w:tc>
        <w:tc>
          <w:tcPr>
            <w:tcW w:w="2021" w:type="dxa"/>
          </w:tcPr>
          <w:p w14:paraId="27C96528" w14:textId="77777777" w:rsidR="00161739" w:rsidRPr="00531F60" w:rsidRDefault="00161739" w:rsidP="00531F60">
            <w:pPr>
              <w:pStyle w:val="TableTextLeft"/>
              <w:rPr>
                <w:sz w:val="20"/>
                <w:szCs w:val="20"/>
              </w:rPr>
            </w:pPr>
            <w:r w:rsidRPr="00531F60">
              <w:rPr>
                <w:sz w:val="20"/>
                <w:szCs w:val="20"/>
              </w:rPr>
              <w:t>May 2021</w:t>
            </w:r>
          </w:p>
        </w:tc>
        <w:tc>
          <w:tcPr>
            <w:tcW w:w="2051" w:type="dxa"/>
          </w:tcPr>
          <w:p w14:paraId="743A6720" w14:textId="77777777" w:rsidR="00161739" w:rsidRPr="00531F60" w:rsidRDefault="00161739" w:rsidP="00531F60">
            <w:pPr>
              <w:pStyle w:val="TableTextLeft"/>
              <w:rPr>
                <w:sz w:val="20"/>
                <w:szCs w:val="20"/>
              </w:rPr>
            </w:pPr>
            <w:r w:rsidRPr="00531F60">
              <w:rPr>
                <w:sz w:val="20"/>
                <w:szCs w:val="20"/>
              </w:rPr>
              <w:t>CMS</w:t>
            </w:r>
          </w:p>
        </w:tc>
        <w:tc>
          <w:tcPr>
            <w:tcW w:w="4060" w:type="dxa"/>
          </w:tcPr>
          <w:p w14:paraId="7F932E48" w14:textId="77777777" w:rsidR="00161739" w:rsidRPr="00531F60" w:rsidRDefault="00161739" w:rsidP="00531F60">
            <w:pPr>
              <w:pStyle w:val="TableTextLeft"/>
              <w:rPr>
                <w:sz w:val="20"/>
                <w:szCs w:val="20"/>
              </w:rPr>
            </w:pPr>
            <w:r w:rsidRPr="00531F60">
              <w:rPr>
                <w:sz w:val="20"/>
                <w:szCs w:val="20"/>
              </w:rPr>
              <w:t>Updated measure examples, figures, hyperlinks, and versions of standards referenced throughout. Revised text based on input from interested parties and external reviewers.</w:t>
            </w:r>
          </w:p>
        </w:tc>
      </w:tr>
      <w:tr w:rsidR="00161739" w14:paraId="29B00B7D" w14:textId="77777777" w:rsidTr="00531F60">
        <w:trPr>
          <w:trHeight w:val="120"/>
        </w:trPr>
        <w:tc>
          <w:tcPr>
            <w:tcW w:w="1218" w:type="dxa"/>
          </w:tcPr>
          <w:p w14:paraId="20B8D5BD" w14:textId="77777777" w:rsidR="00161739" w:rsidRPr="00531F60" w:rsidRDefault="00161739" w:rsidP="00531F60">
            <w:pPr>
              <w:pStyle w:val="TableTextLeft"/>
              <w:rPr>
                <w:sz w:val="20"/>
                <w:szCs w:val="20"/>
              </w:rPr>
            </w:pPr>
            <w:r w:rsidRPr="00531F60">
              <w:rPr>
                <w:sz w:val="20"/>
                <w:szCs w:val="20"/>
              </w:rPr>
              <w:t>8.0</w:t>
            </w:r>
          </w:p>
        </w:tc>
        <w:tc>
          <w:tcPr>
            <w:tcW w:w="2021" w:type="dxa"/>
          </w:tcPr>
          <w:p w14:paraId="6DEC8062" w14:textId="77777777" w:rsidR="00161739" w:rsidRPr="00531F60" w:rsidRDefault="00161739" w:rsidP="00531F60">
            <w:pPr>
              <w:pStyle w:val="TableTextLeft"/>
              <w:rPr>
                <w:sz w:val="20"/>
                <w:szCs w:val="20"/>
              </w:rPr>
            </w:pPr>
            <w:r w:rsidRPr="00531F60">
              <w:rPr>
                <w:sz w:val="20"/>
                <w:szCs w:val="20"/>
              </w:rPr>
              <w:t>May 2022</w:t>
            </w:r>
          </w:p>
        </w:tc>
        <w:tc>
          <w:tcPr>
            <w:tcW w:w="2051" w:type="dxa"/>
          </w:tcPr>
          <w:p w14:paraId="25062FCE" w14:textId="77777777" w:rsidR="00161739" w:rsidRPr="00531F60" w:rsidRDefault="00161739" w:rsidP="00531F60">
            <w:pPr>
              <w:pStyle w:val="TableTextLeft"/>
              <w:rPr>
                <w:sz w:val="20"/>
                <w:szCs w:val="20"/>
              </w:rPr>
            </w:pPr>
            <w:r w:rsidRPr="00531F60">
              <w:rPr>
                <w:sz w:val="20"/>
                <w:szCs w:val="20"/>
              </w:rPr>
              <w:t>CMS</w:t>
            </w:r>
          </w:p>
        </w:tc>
        <w:tc>
          <w:tcPr>
            <w:tcW w:w="4060" w:type="dxa"/>
          </w:tcPr>
          <w:p w14:paraId="7964C394" w14:textId="77777777" w:rsidR="00161739" w:rsidRPr="00531F60" w:rsidRDefault="00161739" w:rsidP="00531F60">
            <w:pPr>
              <w:pStyle w:val="TableTextLeft"/>
              <w:rPr>
                <w:sz w:val="20"/>
                <w:szCs w:val="20"/>
              </w:rPr>
            </w:pPr>
            <w:r w:rsidRPr="00531F60">
              <w:rPr>
                <w:sz w:val="20"/>
                <w:szCs w:val="20"/>
              </w:rPr>
              <w:t>Updated measure examples, figures, hyperlinks, and versions of standards referenced throughout. Revised text based on input from interested parties and external reviewers.</w:t>
            </w:r>
          </w:p>
        </w:tc>
      </w:tr>
      <w:tr w:rsidR="00161739" w14:paraId="39891A33" w14:textId="77777777" w:rsidTr="00531F60">
        <w:trPr>
          <w:trHeight w:val="120"/>
        </w:trPr>
        <w:tc>
          <w:tcPr>
            <w:tcW w:w="1218" w:type="dxa"/>
          </w:tcPr>
          <w:p w14:paraId="61B584AA" w14:textId="77777777" w:rsidR="00161739" w:rsidRPr="00531F60" w:rsidRDefault="00161739" w:rsidP="00531F60">
            <w:pPr>
              <w:pStyle w:val="TableTextLeft"/>
              <w:rPr>
                <w:sz w:val="20"/>
                <w:szCs w:val="20"/>
              </w:rPr>
            </w:pPr>
            <w:r w:rsidRPr="00531F60">
              <w:rPr>
                <w:sz w:val="20"/>
                <w:szCs w:val="20"/>
              </w:rPr>
              <w:t>9.0</w:t>
            </w:r>
          </w:p>
        </w:tc>
        <w:tc>
          <w:tcPr>
            <w:tcW w:w="2021" w:type="dxa"/>
          </w:tcPr>
          <w:p w14:paraId="0BAF47D3" w14:textId="77777777" w:rsidR="00161739" w:rsidRPr="00531F60" w:rsidRDefault="00161739" w:rsidP="00531F60">
            <w:pPr>
              <w:pStyle w:val="TableTextLeft"/>
              <w:rPr>
                <w:sz w:val="20"/>
                <w:szCs w:val="20"/>
              </w:rPr>
            </w:pPr>
            <w:r w:rsidRPr="00531F60">
              <w:rPr>
                <w:sz w:val="20"/>
                <w:szCs w:val="20"/>
              </w:rPr>
              <w:t>May 2023</w:t>
            </w:r>
          </w:p>
        </w:tc>
        <w:tc>
          <w:tcPr>
            <w:tcW w:w="2051" w:type="dxa"/>
          </w:tcPr>
          <w:p w14:paraId="5E6329DD" w14:textId="77777777" w:rsidR="00161739" w:rsidRPr="00531F60" w:rsidRDefault="00161739" w:rsidP="00531F60">
            <w:pPr>
              <w:pStyle w:val="TableTextLeft"/>
              <w:rPr>
                <w:sz w:val="20"/>
                <w:szCs w:val="20"/>
              </w:rPr>
            </w:pPr>
            <w:r w:rsidRPr="00531F60">
              <w:rPr>
                <w:sz w:val="20"/>
                <w:szCs w:val="20"/>
              </w:rPr>
              <w:t>CMS</w:t>
            </w:r>
          </w:p>
        </w:tc>
        <w:tc>
          <w:tcPr>
            <w:tcW w:w="4060" w:type="dxa"/>
          </w:tcPr>
          <w:p w14:paraId="1D49F6AD" w14:textId="77777777" w:rsidR="00161739" w:rsidRPr="00531F60" w:rsidRDefault="00161739" w:rsidP="00531F60">
            <w:pPr>
              <w:pStyle w:val="TableTextLeft"/>
              <w:rPr>
                <w:sz w:val="20"/>
                <w:szCs w:val="20"/>
              </w:rPr>
            </w:pPr>
            <w:r w:rsidRPr="00531F60">
              <w:rPr>
                <w:sz w:val="20"/>
                <w:szCs w:val="20"/>
              </w:rPr>
              <w:t>Updated measure examples, figures, hyperlinks, and versions of standards referenced throughout. Revised text based on input from interested parties and external reviewers.</w:t>
            </w:r>
          </w:p>
        </w:tc>
      </w:tr>
      <w:tr w:rsidR="00161739" w14:paraId="5FF7950A" w14:textId="77777777" w:rsidTr="00531F60">
        <w:trPr>
          <w:trHeight w:val="120"/>
        </w:trPr>
        <w:tc>
          <w:tcPr>
            <w:tcW w:w="1218" w:type="dxa"/>
          </w:tcPr>
          <w:p w14:paraId="5BBED7B7" w14:textId="77777777" w:rsidR="00161739" w:rsidRPr="00531F60" w:rsidRDefault="00161739" w:rsidP="00531F60">
            <w:pPr>
              <w:pStyle w:val="TableTextLeft"/>
              <w:rPr>
                <w:sz w:val="20"/>
                <w:szCs w:val="20"/>
              </w:rPr>
            </w:pPr>
            <w:r w:rsidRPr="00531F60">
              <w:rPr>
                <w:sz w:val="20"/>
                <w:szCs w:val="20"/>
              </w:rPr>
              <w:t>10.0</w:t>
            </w:r>
          </w:p>
        </w:tc>
        <w:tc>
          <w:tcPr>
            <w:tcW w:w="2021" w:type="dxa"/>
          </w:tcPr>
          <w:p w14:paraId="4366625E" w14:textId="77777777" w:rsidR="00161739" w:rsidRPr="00531F60" w:rsidRDefault="00161739" w:rsidP="00531F60">
            <w:pPr>
              <w:pStyle w:val="TableTextLeft"/>
              <w:rPr>
                <w:sz w:val="20"/>
                <w:szCs w:val="20"/>
              </w:rPr>
            </w:pPr>
            <w:r w:rsidRPr="00531F60">
              <w:rPr>
                <w:sz w:val="20"/>
                <w:szCs w:val="20"/>
              </w:rPr>
              <w:t>May 2024</w:t>
            </w:r>
          </w:p>
        </w:tc>
        <w:tc>
          <w:tcPr>
            <w:tcW w:w="2051" w:type="dxa"/>
          </w:tcPr>
          <w:p w14:paraId="49D896A6" w14:textId="77777777" w:rsidR="00161739" w:rsidRPr="00531F60" w:rsidRDefault="00161739" w:rsidP="00531F60">
            <w:pPr>
              <w:pStyle w:val="TableTextLeft"/>
              <w:rPr>
                <w:sz w:val="20"/>
                <w:szCs w:val="20"/>
              </w:rPr>
            </w:pPr>
            <w:r w:rsidRPr="00531F60">
              <w:rPr>
                <w:sz w:val="20"/>
                <w:szCs w:val="20"/>
              </w:rPr>
              <w:t>CMS</w:t>
            </w:r>
          </w:p>
        </w:tc>
        <w:tc>
          <w:tcPr>
            <w:tcW w:w="4060" w:type="dxa"/>
          </w:tcPr>
          <w:p w14:paraId="15184ABB" w14:textId="77777777" w:rsidR="00161739" w:rsidRPr="00531F60" w:rsidRDefault="00161739" w:rsidP="00531F60">
            <w:pPr>
              <w:pStyle w:val="TableTextLeft"/>
              <w:rPr>
                <w:sz w:val="20"/>
                <w:szCs w:val="20"/>
              </w:rPr>
            </w:pPr>
            <w:r w:rsidRPr="00531F60">
              <w:rPr>
                <w:sz w:val="20"/>
                <w:szCs w:val="20"/>
              </w:rPr>
              <w:t>Updated measure examples, figures, hyperlinks, and versions of standards referenced throughout. Updated ratio measure specific information. Updated to active voice. Revised text based on input from interested parties and external reviewers.</w:t>
            </w:r>
          </w:p>
        </w:tc>
      </w:tr>
      <w:tr w:rsidR="00161739" w14:paraId="44EFB85F" w14:textId="77777777" w:rsidTr="00531F60">
        <w:trPr>
          <w:trHeight w:val="120"/>
        </w:trPr>
        <w:tc>
          <w:tcPr>
            <w:tcW w:w="1218" w:type="dxa"/>
          </w:tcPr>
          <w:p w14:paraId="381D87CF" w14:textId="77777777" w:rsidR="00161739" w:rsidRPr="00531F60" w:rsidRDefault="00161739" w:rsidP="00531F60">
            <w:pPr>
              <w:pStyle w:val="TableTextLeft"/>
              <w:rPr>
                <w:sz w:val="20"/>
                <w:szCs w:val="20"/>
              </w:rPr>
            </w:pPr>
            <w:r w:rsidRPr="00531F60">
              <w:rPr>
                <w:sz w:val="20"/>
                <w:szCs w:val="20"/>
              </w:rPr>
              <w:t>11.0</w:t>
            </w:r>
          </w:p>
        </w:tc>
        <w:tc>
          <w:tcPr>
            <w:tcW w:w="2021" w:type="dxa"/>
          </w:tcPr>
          <w:p w14:paraId="5FEFEE9B" w14:textId="77777777" w:rsidR="00161739" w:rsidRPr="00531F60" w:rsidRDefault="00161739" w:rsidP="00531F60">
            <w:pPr>
              <w:pStyle w:val="TableTextLeft"/>
              <w:rPr>
                <w:sz w:val="20"/>
                <w:szCs w:val="20"/>
              </w:rPr>
            </w:pPr>
            <w:r w:rsidRPr="00531F60">
              <w:rPr>
                <w:sz w:val="20"/>
                <w:szCs w:val="20"/>
              </w:rPr>
              <w:t>May 2025</w:t>
            </w:r>
          </w:p>
        </w:tc>
        <w:tc>
          <w:tcPr>
            <w:tcW w:w="2051" w:type="dxa"/>
          </w:tcPr>
          <w:p w14:paraId="12A1AB6B" w14:textId="77777777" w:rsidR="00161739" w:rsidRPr="00531F60" w:rsidRDefault="00161739" w:rsidP="00531F60">
            <w:pPr>
              <w:pStyle w:val="TableTextLeft"/>
              <w:rPr>
                <w:sz w:val="20"/>
                <w:szCs w:val="20"/>
              </w:rPr>
            </w:pPr>
            <w:r w:rsidRPr="00531F60">
              <w:rPr>
                <w:sz w:val="20"/>
                <w:szCs w:val="20"/>
              </w:rPr>
              <w:t>CMS</w:t>
            </w:r>
          </w:p>
        </w:tc>
        <w:tc>
          <w:tcPr>
            <w:tcW w:w="4060" w:type="dxa"/>
          </w:tcPr>
          <w:p w14:paraId="4C21BA2A" w14:textId="346BABE2" w:rsidR="00161739" w:rsidRPr="00531F60" w:rsidRDefault="00161739" w:rsidP="00531F60">
            <w:pPr>
              <w:pStyle w:val="TableTextLeft"/>
              <w:rPr>
                <w:sz w:val="20"/>
                <w:szCs w:val="20"/>
              </w:rPr>
            </w:pPr>
            <w:r w:rsidRPr="00531F60">
              <w:rPr>
                <w:sz w:val="20"/>
                <w:szCs w:val="20"/>
              </w:rPr>
              <w:t>Updated measure examples, figures, hyperlinks, and versions of standards throughout. Updated definitions to align with those on the MMS Hub. Updated tooling references from MAT and Bonnie to MADiE.</w:t>
            </w:r>
          </w:p>
        </w:tc>
      </w:tr>
      <w:tr w:rsidR="008A3821" w14:paraId="6FAE64CB" w14:textId="77777777" w:rsidTr="00531F60">
        <w:trPr>
          <w:trHeight w:val="120"/>
        </w:trPr>
        <w:tc>
          <w:tcPr>
            <w:tcW w:w="1218" w:type="dxa"/>
          </w:tcPr>
          <w:p w14:paraId="5A2C908E" w14:textId="4F77FDC1" w:rsidR="008A3821" w:rsidRPr="00531F60" w:rsidRDefault="008A3821" w:rsidP="00531F60">
            <w:pPr>
              <w:pStyle w:val="TableTextLeft"/>
              <w:rPr>
                <w:szCs w:val="20"/>
              </w:rPr>
            </w:pPr>
            <w:r>
              <w:rPr>
                <w:szCs w:val="20"/>
              </w:rPr>
              <w:t>12.0</w:t>
            </w:r>
          </w:p>
        </w:tc>
        <w:tc>
          <w:tcPr>
            <w:tcW w:w="2021" w:type="dxa"/>
          </w:tcPr>
          <w:p w14:paraId="7AB286ED" w14:textId="6DE44B1B" w:rsidR="008A3821" w:rsidRPr="00531F60" w:rsidRDefault="008A3821" w:rsidP="00531F60">
            <w:pPr>
              <w:pStyle w:val="TableTextLeft"/>
              <w:rPr>
                <w:szCs w:val="20"/>
              </w:rPr>
            </w:pPr>
            <w:r>
              <w:rPr>
                <w:szCs w:val="20"/>
              </w:rPr>
              <w:t>May 202</w:t>
            </w:r>
            <w:r w:rsidR="00890823">
              <w:rPr>
                <w:szCs w:val="20"/>
              </w:rPr>
              <w:t>6</w:t>
            </w:r>
          </w:p>
        </w:tc>
        <w:tc>
          <w:tcPr>
            <w:tcW w:w="2051" w:type="dxa"/>
          </w:tcPr>
          <w:p w14:paraId="2DEF2F28" w14:textId="3AEE8BA4" w:rsidR="008A3821" w:rsidRPr="00531F60" w:rsidRDefault="008A3821" w:rsidP="00531F60">
            <w:pPr>
              <w:pStyle w:val="TableTextLeft"/>
              <w:rPr>
                <w:szCs w:val="20"/>
              </w:rPr>
            </w:pPr>
            <w:r>
              <w:rPr>
                <w:szCs w:val="20"/>
              </w:rPr>
              <w:t>CMS</w:t>
            </w:r>
          </w:p>
        </w:tc>
        <w:tc>
          <w:tcPr>
            <w:tcW w:w="4060" w:type="dxa"/>
          </w:tcPr>
          <w:p w14:paraId="4BF0CB27" w14:textId="2BBFAE60" w:rsidR="008A3821" w:rsidRPr="00531F60" w:rsidRDefault="008A3821" w:rsidP="00531F60">
            <w:pPr>
              <w:pStyle w:val="TableTextLeft"/>
              <w:rPr>
                <w:szCs w:val="20"/>
              </w:rPr>
            </w:pPr>
            <w:r w:rsidRPr="00531F60">
              <w:rPr>
                <w:sz w:val="20"/>
                <w:szCs w:val="20"/>
              </w:rPr>
              <w:t>Updated measure examples, figures, hyperlinks, and versions of standards throughout.</w:t>
            </w:r>
          </w:p>
        </w:tc>
      </w:tr>
    </w:tbl>
    <w:p w14:paraId="3B80E98E" w14:textId="77777777" w:rsidR="00161739" w:rsidRDefault="00161739" w:rsidP="00161739">
      <w:pPr>
        <w:pBdr>
          <w:top w:val="nil"/>
          <w:left w:val="nil"/>
          <w:bottom w:val="nil"/>
          <w:right w:val="nil"/>
          <w:between w:val="nil"/>
        </w:pBdr>
        <w:spacing w:before="40" w:after="40"/>
        <w:rPr>
          <w:rFonts w:ascii="Arial" w:eastAsia="Arial" w:hAnsi="Arial" w:cs="Arial"/>
          <w:color w:val="000000"/>
        </w:rPr>
        <w:sectPr w:rsidR="00161739" w:rsidSect="00161739">
          <w:headerReference w:type="even" r:id="rId80"/>
          <w:headerReference w:type="default" r:id="rId81"/>
          <w:headerReference w:type="first" r:id="rId82"/>
          <w:pgSz w:w="12240" w:h="15840"/>
          <w:pgMar w:top="1440" w:right="1440" w:bottom="1440" w:left="1440" w:header="504" w:footer="504" w:gutter="0"/>
          <w:cols w:space="720"/>
          <w:titlePg/>
        </w:sectPr>
      </w:pPr>
    </w:p>
    <w:p w14:paraId="5B8CCCA5" w14:textId="77777777" w:rsidR="00161739" w:rsidRDefault="00161739" w:rsidP="009A5E20">
      <w:pPr>
        <w:pStyle w:val="AppendixTitle"/>
      </w:pPr>
      <w:bookmarkStart w:id="1219" w:name="bookmark=id.1x0gk37" w:colFirst="0" w:colLast="0"/>
      <w:bookmarkStart w:id="1220" w:name="_Toc184039804"/>
      <w:bookmarkStart w:id="1221" w:name="_Toc190852978"/>
      <w:bookmarkStart w:id="1222" w:name="_Toc195047580"/>
      <w:bookmarkEnd w:id="1219"/>
      <w:r>
        <w:lastRenderedPageBreak/>
        <w:t xml:space="preserve">Appendix A. </w:t>
      </w:r>
      <w:bookmarkStart w:id="1223" w:name="AppendixA"/>
      <w:r>
        <w:t>Sample eCQM Header</w:t>
      </w:r>
      <w:bookmarkEnd w:id="1220"/>
      <w:bookmarkEnd w:id="1221"/>
      <w:bookmarkEnd w:id="1222"/>
    </w:p>
    <w:bookmarkEnd w:id="1223"/>
    <w:p w14:paraId="4393AA89" w14:textId="77777777" w:rsidR="00161739" w:rsidRDefault="00161739" w:rsidP="009A5E20">
      <w:pPr>
        <w:pStyle w:val="ParagraphContinued"/>
      </w:pPr>
      <w:r>
        <w:t>This appendix presents header component definitions in the order shown in the sample header in Figure A.1, which appears after this list of definitions.</w:t>
      </w:r>
    </w:p>
    <w:p w14:paraId="13022662" w14:textId="77777777" w:rsidR="00161739" w:rsidRDefault="00161739" w:rsidP="009A5E20">
      <w:pPr>
        <w:pStyle w:val="Paragraph"/>
      </w:pPr>
      <w:r w:rsidRPr="009A5E20">
        <w:rPr>
          <w:rStyle w:val="RunIn"/>
        </w:rPr>
        <w:t xml:space="preserve">eCQM Title: </w:t>
      </w:r>
      <w:r>
        <w:t>The title of the eCQM.</w:t>
      </w:r>
    </w:p>
    <w:p w14:paraId="5487448F" w14:textId="77777777" w:rsidR="00161739" w:rsidRDefault="00161739" w:rsidP="009A5E20">
      <w:pPr>
        <w:pStyle w:val="Paragraph"/>
      </w:pPr>
      <w:r w:rsidRPr="009A5E20">
        <w:rPr>
          <w:rStyle w:val="RunIn"/>
        </w:rPr>
        <w:t xml:space="preserve">CMS ID: </w:t>
      </w:r>
      <w:r>
        <w:t>MADiE automatically generates a unique CMS ID number.</w:t>
      </w:r>
    </w:p>
    <w:p w14:paraId="645DFC50" w14:textId="4F8679AC" w:rsidR="00161739" w:rsidRDefault="00161739" w:rsidP="009A5E20">
      <w:pPr>
        <w:pStyle w:val="Paragraph"/>
      </w:pPr>
      <w:r w:rsidRPr="006156EE">
        <w:rPr>
          <w:rStyle w:val="RunIn"/>
        </w:rPr>
        <w:t xml:space="preserve">eCQM Version Number: </w:t>
      </w:r>
      <w:r>
        <w:t>A number used to indicate the version of the eCQM. The combination of the CMS ID and the major version portion of the eCQM version number creates the CMS eCQM ID</w:t>
      </w:r>
      <w:r w:rsidR="00D74AE0">
        <w:t xml:space="preserve"> naming convention for published measures</w:t>
      </w:r>
      <w:r>
        <w:t>.</w:t>
      </w:r>
    </w:p>
    <w:p w14:paraId="04A56527" w14:textId="77777777" w:rsidR="00161739" w:rsidRDefault="00161739" w:rsidP="009A5E20">
      <w:pPr>
        <w:pStyle w:val="Paragraph"/>
      </w:pPr>
      <w:r w:rsidRPr="006156EE">
        <w:rPr>
          <w:rStyle w:val="RunIn"/>
        </w:rPr>
        <w:t xml:space="preserve">CBE Number: </w:t>
      </w:r>
      <w:r>
        <w:t xml:space="preserve">The eCQM header includes a consensus-based entity (CBE) number if the eCQM has received endorsement. Users may cross-reference the assigned CBE number with the CBE’s </w:t>
      </w:r>
      <w:hyperlink r:id="rId83">
        <w:r>
          <w:rPr>
            <w:color w:val="0563C1"/>
            <w:u w:val="single"/>
          </w:rPr>
          <w:t>Submission Tool and Repository (STAR) Measure Database</w:t>
        </w:r>
      </w:hyperlink>
      <w:r>
        <w:t xml:space="preserve"> to verify measure endorsement status.</w:t>
      </w:r>
    </w:p>
    <w:p w14:paraId="582645B5" w14:textId="6A2246BD" w:rsidR="00161739" w:rsidRDefault="00161739" w:rsidP="009A5E20">
      <w:pPr>
        <w:pStyle w:val="Paragraph"/>
      </w:pPr>
      <w:r w:rsidRPr="006156EE">
        <w:rPr>
          <w:rStyle w:val="RunIn"/>
        </w:rPr>
        <w:t xml:space="preserve">GUID: </w:t>
      </w:r>
      <w:r>
        <w:t>Represents the globally unique identifier (GUID) for an eCQM. MADiE automatically generates this field. The GUID does not change from year to year when eCQM specifications are updated. Please note that the HQMF uses the tag “</w:t>
      </w:r>
      <w:proofErr w:type="spellStart"/>
      <w:r>
        <w:t>set</w:t>
      </w:r>
      <w:r w:rsidR="006255D7">
        <w:t>I</w:t>
      </w:r>
      <w:r>
        <w:t>d</w:t>
      </w:r>
      <w:proofErr w:type="spellEnd"/>
      <w:r>
        <w:t>” for what the human readable HTML labels as “GUID.”</w:t>
      </w:r>
    </w:p>
    <w:p w14:paraId="4F4D27F7" w14:textId="77777777" w:rsidR="00161739" w:rsidRDefault="00161739" w:rsidP="009A5E20">
      <w:pPr>
        <w:pStyle w:val="Paragraph"/>
      </w:pPr>
      <w:r w:rsidRPr="006156EE">
        <w:rPr>
          <w:rStyle w:val="RunIn"/>
        </w:rPr>
        <w:t xml:space="preserve">Measurement Period: </w:t>
      </w:r>
      <w:r>
        <w:t>The time period for which the eCQM applies.</w:t>
      </w:r>
    </w:p>
    <w:p w14:paraId="5E030831" w14:textId="77777777" w:rsidR="00161739" w:rsidRDefault="00161739" w:rsidP="009A5E20">
      <w:pPr>
        <w:pStyle w:val="Paragraph"/>
      </w:pPr>
      <w:r w:rsidRPr="006156EE">
        <w:rPr>
          <w:rStyle w:val="RunIn"/>
        </w:rPr>
        <w:t xml:space="preserve">Measure Steward: </w:t>
      </w:r>
      <w:r>
        <w:t>The measure steward is an individual or organization that owns a measure and is responsible for overseeing its continued maintenance under a specific program. The measure steward is often the same as the measure developer for a given measure, but that is not always the case. When the measure steward and measure developer of a measure are distinct entities, the steward is responsible for approving, rejecting, or publishing changes submitted by the developer. Measure stewards also serve as the point of contact for parties interested in a given measure (e.g., a medical specialty society or federal health agency). Please note that the HQMF refers to the measure steward as “custodian” and the measure developer as “author.”</w:t>
      </w:r>
    </w:p>
    <w:p w14:paraId="355E3B5C" w14:textId="77777777" w:rsidR="00161739" w:rsidRDefault="00161739" w:rsidP="009A5E20">
      <w:pPr>
        <w:pStyle w:val="Paragraph"/>
      </w:pPr>
      <w:r w:rsidRPr="006156EE">
        <w:rPr>
          <w:rStyle w:val="RunIn"/>
        </w:rPr>
        <w:t xml:space="preserve">Measure Developer: </w:t>
      </w:r>
      <w:r>
        <w:t>The measure developer is an individual or organization that is responsible for the development, implementation, and maintenance of a measure, which involves creating, editing, and submitting measures to stewards for approval.</w:t>
      </w:r>
    </w:p>
    <w:p w14:paraId="7B18000D" w14:textId="77777777" w:rsidR="00161739" w:rsidRDefault="00161739" w:rsidP="009A5E20">
      <w:pPr>
        <w:pStyle w:val="Paragraph"/>
      </w:pPr>
      <w:r w:rsidRPr="006156EE">
        <w:rPr>
          <w:rStyle w:val="RunIn"/>
        </w:rPr>
        <w:t xml:space="preserve">Endorsed By: </w:t>
      </w:r>
      <w:r>
        <w:t xml:space="preserve">The organization that endorsed the eCQM through a consensus-based process. </w:t>
      </w:r>
    </w:p>
    <w:p w14:paraId="62C6E570" w14:textId="77777777" w:rsidR="00161739" w:rsidRDefault="00161739" w:rsidP="009A5E20">
      <w:pPr>
        <w:pStyle w:val="Paragraph"/>
      </w:pPr>
      <w:r w:rsidRPr="006156EE">
        <w:rPr>
          <w:rStyle w:val="RunIn"/>
        </w:rPr>
        <w:t xml:space="preserve">Description: </w:t>
      </w:r>
      <w:r>
        <w:t xml:space="preserve">A general description of the </w:t>
      </w:r>
      <w:proofErr w:type="spellStart"/>
      <w:r>
        <w:t>eCQM’s</w:t>
      </w:r>
      <w:proofErr w:type="spellEnd"/>
      <w:r>
        <w:t xml:space="preserve"> intent.</w:t>
      </w:r>
    </w:p>
    <w:p w14:paraId="035CD721" w14:textId="77777777" w:rsidR="00161739" w:rsidRDefault="00161739" w:rsidP="009A5E20">
      <w:pPr>
        <w:pStyle w:val="Paragraph"/>
      </w:pPr>
      <w:r w:rsidRPr="006156EE">
        <w:rPr>
          <w:rStyle w:val="RunIn"/>
        </w:rPr>
        <w:t xml:space="preserve">Copyright: </w:t>
      </w:r>
      <w:r>
        <w:t>Identifies the organization or organizations that own the intellectual property that the eCQM or its contents represent.</w:t>
      </w:r>
    </w:p>
    <w:p w14:paraId="1BB5AD82" w14:textId="77777777" w:rsidR="00161739" w:rsidRDefault="00161739" w:rsidP="009A5E20">
      <w:pPr>
        <w:pStyle w:val="Paragraph"/>
      </w:pPr>
      <w:r w:rsidRPr="006156EE">
        <w:rPr>
          <w:rStyle w:val="RunIn"/>
        </w:rPr>
        <w:t xml:space="preserve">Disclaimer: </w:t>
      </w:r>
      <w:r>
        <w:t>Disclaimer information for the eCQM.</w:t>
      </w:r>
    </w:p>
    <w:p w14:paraId="23CE27A0" w14:textId="77777777" w:rsidR="00161739" w:rsidRDefault="00161739" w:rsidP="009A5E20">
      <w:pPr>
        <w:pStyle w:val="Paragraph"/>
      </w:pPr>
      <w:r w:rsidRPr="006156EE">
        <w:rPr>
          <w:rStyle w:val="RunIn"/>
        </w:rPr>
        <w:t xml:space="preserve">Measure Scoring: </w:t>
      </w:r>
      <w:r>
        <w:t>Indicates how a measured entity should perform the calculation for the eCQM (for example, proportion, continuous variable, or ratio).</w:t>
      </w:r>
    </w:p>
    <w:p w14:paraId="36D2DEF8" w14:textId="77777777" w:rsidR="00161739" w:rsidRDefault="00161739" w:rsidP="009A5E20">
      <w:pPr>
        <w:pStyle w:val="Paragraph"/>
      </w:pPr>
      <w:r w:rsidRPr="006156EE">
        <w:rPr>
          <w:rStyle w:val="RunIn"/>
        </w:rPr>
        <w:t xml:space="preserve">Measure Type: </w:t>
      </w:r>
      <w:r>
        <w:t xml:space="preserve">Indicates what the eCQM is measuring, such as a structure, process, or outcome. The </w:t>
      </w:r>
      <w:hyperlink r:id="rId84" w:history="1">
        <w:r w:rsidRPr="008368AA">
          <w:rPr>
            <w:rStyle w:val="Hyperlink"/>
          </w:rPr>
          <w:t>MMS Hub Glossary</w:t>
        </w:r>
      </w:hyperlink>
      <w:r>
        <w:t xml:space="preserve"> contains definitions of the different measure types.</w:t>
      </w:r>
    </w:p>
    <w:p w14:paraId="52C0B2A0" w14:textId="77777777" w:rsidR="00161739" w:rsidRDefault="00161739" w:rsidP="009A5E20">
      <w:pPr>
        <w:pStyle w:val="Paragraph"/>
      </w:pPr>
      <w:r w:rsidRPr="006156EE">
        <w:rPr>
          <w:rStyle w:val="RunIn"/>
        </w:rPr>
        <w:lastRenderedPageBreak/>
        <w:t xml:space="preserve">Stratification: </w:t>
      </w:r>
      <w:r>
        <w:t>Describes the strata that a measured entity should use to evaluate the eCQM. There are several bases for stratification, including different age groupings within the population described in the eCQM; a specific condition, discharge location, or both; and different locations within a facility.</w:t>
      </w:r>
    </w:p>
    <w:p w14:paraId="4591787F" w14:textId="77777777" w:rsidR="00161739" w:rsidRDefault="00161739" w:rsidP="009A5E20">
      <w:pPr>
        <w:pStyle w:val="Paragraph"/>
      </w:pPr>
      <w:r w:rsidRPr="006156EE">
        <w:rPr>
          <w:rStyle w:val="RunIn"/>
        </w:rPr>
        <w:t xml:space="preserve">Risk Adjustment: </w:t>
      </w:r>
      <w:r>
        <w:t>The method of adjusting for clinical severity and conditions present at the start of care that can influence patient outcomes for making valid comparisons of outcome measures across measured entities. Risk adjustment indicates whether an eCQM is subject to a statistical process for reducing, removing, or clarifying the influences of confounding factors to allow more useful comparisons.</w:t>
      </w:r>
    </w:p>
    <w:p w14:paraId="78C867D7" w14:textId="77777777" w:rsidR="00161739" w:rsidRDefault="00161739" w:rsidP="009A5E20">
      <w:pPr>
        <w:pStyle w:val="Paragraph"/>
      </w:pPr>
      <w:r w:rsidRPr="006156EE">
        <w:rPr>
          <w:rStyle w:val="RunIn"/>
        </w:rPr>
        <w:t xml:space="preserve">Rate Aggregation: </w:t>
      </w:r>
      <w:r>
        <w:t>Describes how to combine information calculated based on logic in each of several populations into one summarized result. It can also describe how to risk adjust the data based on supplemental data elements described in the eCQM.</w:t>
      </w:r>
    </w:p>
    <w:p w14:paraId="3B449CCA" w14:textId="77777777" w:rsidR="00161739" w:rsidRDefault="00161739" w:rsidP="009A5E20">
      <w:pPr>
        <w:pStyle w:val="Paragraph"/>
      </w:pPr>
      <w:r w:rsidRPr="006156EE">
        <w:rPr>
          <w:rStyle w:val="RunIn"/>
        </w:rPr>
        <w:t xml:space="preserve">Rationale: </w:t>
      </w:r>
      <w:r>
        <w:t>Succinct statement of the need for the eCQM. Usually includes statements pertaining to importance criteria, such as impact, gap in care, and evidence.</w:t>
      </w:r>
    </w:p>
    <w:p w14:paraId="523FCA9F" w14:textId="77777777" w:rsidR="00161739" w:rsidRDefault="00161739" w:rsidP="009A5E20">
      <w:pPr>
        <w:pStyle w:val="Paragraph"/>
      </w:pPr>
      <w:r w:rsidRPr="006156EE">
        <w:rPr>
          <w:rStyle w:val="RunIn"/>
        </w:rPr>
        <w:t xml:space="preserve">Clinical Recommendation Statement: </w:t>
      </w:r>
      <w:r>
        <w:t>Summary of relevant clinical guidelines or other clinical recommendations supporting the eCQM.</w:t>
      </w:r>
    </w:p>
    <w:p w14:paraId="744D1C69" w14:textId="76C18EE6" w:rsidR="00161739" w:rsidRDefault="00161739" w:rsidP="009A5E20">
      <w:pPr>
        <w:pStyle w:val="Paragraph"/>
      </w:pPr>
      <w:r w:rsidRPr="006156EE">
        <w:rPr>
          <w:rStyle w:val="RunIn"/>
        </w:rPr>
        <w:t xml:space="preserve">Improvement Notation: </w:t>
      </w:r>
      <w:r>
        <w:t>Information on whether an increase or decrease in score is the preferred result (for example, increased</w:t>
      </w:r>
      <w:r w:rsidRPr="008B0B19">
        <w:t xml:space="preserve"> score indicates improvement</w:t>
      </w:r>
      <w:r>
        <w:t xml:space="preserve"> OR d</w:t>
      </w:r>
      <w:r w:rsidRPr="008B0B19">
        <w:t>ecreased score indicates improvement</w:t>
      </w:r>
      <w:r>
        <w:t>). A</w:t>
      </w:r>
      <w:r w:rsidR="0001046E">
        <w:t>dditional</w:t>
      </w:r>
      <w:r>
        <w:t xml:space="preserve"> </w:t>
      </w:r>
      <w:r w:rsidRPr="00BA51BC">
        <w:t xml:space="preserve">text explanation </w:t>
      </w:r>
      <w:r>
        <w:t>may also be provided</w:t>
      </w:r>
      <w:r w:rsidR="00890823">
        <w:t>. An example of this can be found in</w:t>
      </w:r>
      <w:r w:rsidRPr="00BA51BC">
        <w:t xml:space="preserve"> </w:t>
      </w:r>
      <w:hyperlink r:id="rId85" w:history="1">
        <w:r w:rsidRPr="008B0B19">
          <w:rPr>
            <w:rStyle w:val="Hyperlink"/>
          </w:rPr>
          <w:t>CMS334v</w:t>
        </w:r>
        <w:r w:rsidR="00AA7182">
          <w:rPr>
            <w:rStyle w:val="Hyperlink"/>
          </w:rPr>
          <w:t>7</w:t>
        </w:r>
        <w:r w:rsidRPr="008B0B19">
          <w:rPr>
            <w:rStyle w:val="Hyperlink"/>
          </w:rPr>
          <w:t>, Cesarean Birth</w:t>
        </w:r>
      </w:hyperlink>
      <w:r w:rsidRPr="00BA51BC">
        <w:t>.</w:t>
      </w:r>
    </w:p>
    <w:p w14:paraId="4D47E280" w14:textId="77777777" w:rsidR="00161739" w:rsidRDefault="00161739" w:rsidP="009A5E20">
      <w:pPr>
        <w:pStyle w:val="Paragraph"/>
      </w:pPr>
      <w:r w:rsidRPr="006156EE">
        <w:rPr>
          <w:rStyle w:val="RunIn"/>
        </w:rPr>
        <w:t xml:space="preserve">Reference(s): </w:t>
      </w:r>
      <w:r>
        <w:t>Identifies bibliographic citations or references to clinical practice guidelines, sources of evidence, or other relevant materials supporting the intent and rationale of the eCQM.</w:t>
      </w:r>
    </w:p>
    <w:p w14:paraId="59C93A2A" w14:textId="77777777" w:rsidR="00161739" w:rsidRDefault="00161739" w:rsidP="009A5E20">
      <w:pPr>
        <w:pStyle w:val="Paragraph"/>
      </w:pPr>
      <w:r w:rsidRPr="006156EE">
        <w:rPr>
          <w:rStyle w:val="RunIn"/>
        </w:rPr>
        <w:t xml:space="preserve">Definition: </w:t>
      </w:r>
      <w:r>
        <w:t>Description of individual terms provided as needed.</w:t>
      </w:r>
    </w:p>
    <w:p w14:paraId="17C94C28" w14:textId="77777777" w:rsidR="00161739" w:rsidRDefault="00161739" w:rsidP="009A5E20">
      <w:pPr>
        <w:pStyle w:val="Paragraph"/>
      </w:pPr>
      <w:r w:rsidRPr="006156EE">
        <w:rPr>
          <w:rStyle w:val="RunIn"/>
        </w:rPr>
        <w:t xml:space="preserve">Guidance: </w:t>
      </w:r>
      <w:r>
        <w:t xml:space="preserve">Enables measure developers to provide additional guidance so implementers can more easily interpret and implement components of the eCQM. </w:t>
      </w:r>
    </w:p>
    <w:p w14:paraId="207B476A" w14:textId="77777777" w:rsidR="00161739" w:rsidRDefault="00161739" w:rsidP="009A5E20">
      <w:pPr>
        <w:pStyle w:val="Paragraph"/>
      </w:pPr>
      <w:r w:rsidRPr="006156EE">
        <w:rPr>
          <w:rStyle w:val="RunIn"/>
        </w:rPr>
        <w:t xml:space="preserve">Transmission Format: </w:t>
      </w:r>
      <w:r>
        <w:t>To be determined (TBD).</w:t>
      </w:r>
    </w:p>
    <w:p w14:paraId="346F7FC8" w14:textId="77777777" w:rsidR="00161739" w:rsidRDefault="00161739" w:rsidP="009A5E20">
      <w:pPr>
        <w:pStyle w:val="Paragraph"/>
      </w:pPr>
      <w:r w:rsidRPr="006156EE">
        <w:rPr>
          <w:rStyle w:val="RunIn"/>
        </w:rPr>
        <w:t xml:space="preserve">Initial Population: </w:t>
      </w:r>
      <w:r>
        <w:t>Refers to all patients a specific eCQM expects a measured entity to evaluate. The initial population shares a common set of specified characteristics, such as age, diagnoses, diagnostic and procedure codes, and enrollment periods.</w:t>
      </w:r>
    </w:p>
    <w:p w14:paraId="3485E011" w14:textId="77777777" w:rsidR="00161739" w:rsidRDefault="00161739" w:rsidP="009A5E20">
      <w:pPr>
        <w:pStyle w:val="Paragraph"/>
      </w:pPr>
      <w:r w:rsidRPr="006156EE">
        <w:rPr>
          <w:rStyle w:val="RunIn"/>
        </w:rPr>
        <w:t xml:space="preserve">Denominator: </w:t>
      </w:r>
      <w:r>
        <w:t>Describes the population that individual eCQM has evaluated. The target population that the denominator defines can be the same as the initial population or it can be a subset of the initial population to further constrain the population for the measure.</w:t>
      </w:r>
    </w:p>
    <w:p w14:paraId="0EF1BFCD" w14:textId="7BBB43B8" w:rsidR="00161739" w:rsidRDefault="00161739" w:rsidP="009A5E20">
      <w:pPr>
        <w:pStyle w:val="Paragraph"/>
      </w:pPr>
      <w:r w:rsidRPr="006156EE">
        <w:rPr>
          <w:rStyle w:val="RunIn"/>
        </w:rPr>
        <w:t xml:space="preserve">Denominator Exclusions: </w:t>
      </w:r>
      <w:r>
        <w:t xml:space="preserve">Refer to criteria resulting in removal from the denominator. </w:t>
      </w:r>
      <w:r w:rsidR="00C01197">
        <w:t xml:space="preserve">For proportion measures, a </w:t>
      </w:r>
      <w:r w:rsidR="00056A94">
        <w:t xml:space="preserve">patient or encounter meeting the </w:t>
      </w:r>
      <w:r w:rsidR="00C01197">
        <w:t xml:space="preserve">denominator </w:t>
      </w:r>
      <w:r>
        <w:t xml:space="preserve">exclusion </w:t>
      </w:r>
      <w:r w:rsidR="00056A94">
        <w:t xml:space="preserve">criteria </w:t>
      </w:r>
      <w:r>
        <w:t>means the numerator event is not applicable. One example is screening mammography for a woman who had a bilateral mastectomy. The goal of denominator exclusion criteria is to have a population or sample with a similar profile in terms of meeting the numerator criteria.</w:t>
      </w:r>
    </w:p>
    <w:p w14:paraId="6B57C3DB" w14:textId="77777777" w:rsidR="00161739" w:rsidRDefault="00161739" w:rsidP="009A5E20">
      <w:pPr>
        <w:pStyle w:val="Paragraph"/>
      </w:pPr>
      <w:r w:rsidRPr="006156EE">
        <w:rPr>
          <w:rStyle w:val="RunIn"/>
        </w:rPr>
        <w:t xml:space="preserve">Numerator: </w:t>
      </w:r>
      <w:r>
        <w:t>Describes the process, condition, event, or outcome that satisfies the eCQM focus or intent.</w:t>
      </w:r>
    </w:p>
    <w:p w14:paraId="2101A517" w14:textId="77777777" w:rsidR="00161739" w:rsidRDefault="00161739" w:rsidP="009A5E20">
      <w:pPr>
        <w:pStyle w:val="Paragraph"/>
      </w:pPr>
      <w:r w:rsidRPr="006156EE">
        <w:rPr>
          <w:rStyle w:val="RunIn"/>
        </w:rPr>
        <w:lastRenderedPageBreak/>
        <w:t xml:space="preserve">Numerator Exclusions: </w:t>
      </w:r>
      <w:r>
        <w:t>Define elements that should not be included in the numerator data. Only proportion and ratio measures include numerator exclusion criteria.</w:t>
      </w:r>
    </w:p>
    <w:p w14:paraId="572738FF" w14:textId="16A6AC03" w:rsidR="00161739" w:rsidRDefault="00161739" w:rsidP="009A5E20">
      <w:pPr>
        <w:pStyle w:val="Paragraph"/>
      </w:pPr>
      <w:r w:rsidRPr="006156EE">
        <w:rPr>
          <w:rStyle w:val="RunIn"/>
        </w:rPr>
        <w:t xml:space="preserve">Denominator Exceptions: </w:t>
      </w:r>
      <w:r>
        <w:t>Refers to criteria resulting in removal from the denominator after calculating the numerator</w:t>
      </w:r>
      <w:r w:rsidR="00573118">
        <w:t>, if numerator criteria are not met</w:t>
      </w:r>
      <w:r>
        <w:t xml:space="preserve">. An exception means the numerator event is applicable but not clinically appropriate. One example is not performing a suicide screening for a patient in an acute medical situation. </w:t>
      </w:r>
      <w:r w:rsidR="0001046E">
        <w:t>Only proportion measures include denominator exception criteria.</w:t>
      </w:r>
    </w:p>
    <w:p w14:paraId="16C28015" w14:textId="77777777" w:rsidR="00161739" w:rsidRDefault="00161739" w:rsidP="009A5E20">
      <w:pPr>
        <w:pStyle w:val="Paragraph"/>
      </w:pPr>
      <w:r w:rsidRPr="006156EE">
        <w:rPr>
          <w:rStyle w:val="RunIn"/>
        </w:rPr>
        <w:t xml:space="preserve">Supplemental Data Elements: </w:t>
      </w:r>
      <w:r>
        <w:t>CMS defines four required Supplemental Data Elements (payer, ethnicity, race, and sex), which are variables used to aggregate data into various subgroups.</w:t>
      </w:r>
    </w:p>
    <w:p w14:paraId="3EB85941" w14:textId="77777777" w:rsidR="00161739" w:rsidRDefault="00161739" w:rsidP="009A5E20">
      <w:pPr>
        <w:pStyle w:val="Paragraph"/>
      </w:pPr>
      <w:r>
        <w:t>Comparing results across strata can identify places where disparities exist or areas in which exposing differences in results is necessary. eCQMs may include additional supplemental data elements required for risk adjustment or other purposes of data aggregation.</w:t>
      </w:r>
    </w:p>
    <w:p w14:paraId="7176434B" w14:textId="41765903" w:rsidR="00547C4C" w:rsidRPr="00547C4C" w:rsidRDefault="00161739" w:rsidP="00524163">
      <w:pPr>
        <w:pStyle w:val="FigureTitle"/>
      </w:pPr>
      <w:bookmarkStart w:id="1224" w:name="_heading=h.4h042r0" w:colFirst="0" w:colLast="0"/>
      <w:bookmarkEnd w:id="1224"/>
      <w:r>
        <w:br w:type="page"/>
      </w:r>
      <w:bookmarkStart w:id="1225" w:name="_Toc159577885"/>
      <w:bookmarkStart w:id="1226" w:name="_Toc195047221"/>
      <w:r w:rsidRPr="001141A7">
        <w:lastRenderedPageBreak/>
        <w:t xml:space="preserve">Figure A.1. eCQM Header for </w:t>
      </w:r>
      <w:r>
        <w:rPr>
          <w:rFonts w:cs="Arial Narrow"/>
          <w:szCs w:val="24"/>
        </w:rPr>
        <w:t>CMS506v8,</w:t>
      </w:r>
      <w:r w:rsidRPr="001141A7">
        <w:t xml:space="preserve"> </w:t>
      </w:r>
      <w:bookmarkEnd w:id="1225"/>
      <w:r>
        <w:t>Safe Use of Opioids - Concurrent Prescribing</w:t>
      </w:r>
      <w:bookmarkStart w:id="1227" w:name="_heading=h.2w5ecyt" w:colFirst="0" w:colLast="0"/>
      <w:bookmarkStart w:id="1228" w:name="_Toc510936887"/>
      <w:bookmarkEnd w:id="1226"/>
      <w:bookmarkEnd w:id="1227"/>
    </w:p>
    <w:tbl>
      <w:tblPr>
        <w:tblW w:w="5000" w:type="pct"/>
        <w:tblCellSpacing w:w="15" w:type="dxa"/>
        <w:tblBorders>
          <w:top w:val="inset" w:sz="8" w:space="0" w:color="000000"/>
          <w:left w:val="inset" w:sz="8" w:space="0" w:color="000000"/>
          <w:bottom w:val="inset" w:sz="8" w:space="0" w:color="000000"/>
          <w:right w:val="inset" w:sz="8" w:space="0" w:color="000000"/>
        </w:tblBorders>
        <w:tblCellMar>
          <w:top w:w="15" w:type="dxa"/>
          <w:left w:w="15" w:type="dxa"/>
          <w:bottom w:w="15" w:type="dxa"/>
          <w:right w:w="15" w:type="dxa"/>
        </w:tblCellMar>
        <w:tblLook w:val="04A0" w:firstRow="1" w:lastRow="0" w:firstColumn="1" w:lastColumn="0" w:noHBand="0" w:noVBand="1"/>
      </w:tblPr>
      <w:tblGrid>
        <w:gridCol w:w="2136"/>
        <w:gridCol w:w="2482"/>
        <w:gridCol w:w="1756"/>
        <w:gridCol w:w="2966"/>
      </w:tblGrid>
      <w:tr w:rsidR="00524163" w:rsidRPr="00524163" w14:paraId="41C64BA8" w14:textId="77777777" w:rsidTr="009C578F">
        <w:trPr>
          <w:trHeight w:val="188"/>
          <w:tblCellSpacing w:w="15" w:type="dxa"/>
        </w:trPr>
        <w:tc>
          <w:tcPr>
            <w:tcW w:w="1127" w:type="pct"/>
            <w:shd w:val="clear" w:color="auto" w:fill="656565"/>
            <w:tcMar>
              <w:top w:w="57" w:type="dxa"/>
              <w:left w:w="113" w:type="dxa"/>
              <w:bottom w:w="57" w:type="dxa"/>
              <w:right w:w="113" w:type="dxa"/>
            </w:tcMar>
            <w:vAlign w:val="center"/>
            <w:hideMark/>
          </w:tcPr>
          <w:p w14:paraId="7DBB736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eCQM Title</w:t>
            </w:r>
          </w:p>
        </w:tc>
        <w:tc>
          <w:tcPr>
            <w:tcW w:w="3825" w:type="pct"/>
            <w:gridSpan w:val="3"/>
            <w:shd w:val="clear" w:color="auto" w:fill="CCCCCC"/>
            <w:tcMar>
              <w:top w:w="57" w:type="dxa"/>
              <w:left w:w="113" w:type="dxa"/>
              <w:bottom w:w="57" w:type="dxa"/>
              <w:right w:w="113" w:type="dxa"/>
            </w:tcMar>
            <w:hideMark/>
          </w:tcPr>
          <w:p w14:paraId="1B485A8B" w14:textId="77777777" w:rsidR="00524163" w:rsidRPr="00524163" w:rsidRDefault="00524163" w:rsidP="00524163">
            <w:pPr>
              <w:keepNext/>
              <w:spacing w:after="0" w:line="240" w:lineRule="auto"/>
              <w:ind w:left="360" w:hanging="360"/>
              <w:outlineLvl w:val="0"/>
              <w:rPr>
                <w:rFonts w:ascii="Verdana" w:eastAsia="Times New Roman" w:hAnsi="Verdana" w:cs="Times New Roman"/>
                <w:b/>
                <w:bCs/>
                <w:kern w:val="28"/>
                <w:sz w:val="17"/>
                <w:szCs w:val="17"/>
              </w:rPr>
            </w:pPr>
            <w:r w:rsidRPr="00524163">
              <w:rPr>
                <w:rFonts w:ascii="Verdana" w:eastAsia="Times New Roman" w:hAnsi="Verdana" w:cs="Times New Roman"/>
                <w:b/>
                <w:kern w:val="28"/>
                <w:sz w:val="16"/>
                <w:szCs w:val="16"/>
              </w:rPr>
              <w:t>Safe Use of Opioids - Concurrent Prescribing</w:t>
            </w:r>
          </w:p>
        </w:tc>
      </w:tr>
      <w:tr w:rsidR="00524163" w:rsidRPr="00524163" w14:paraId="213C9456"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6F51389B"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CMS ID</w:t>
            </w:r>
          </w:p>
        </w:tc>
        <w:tc>
          <w:tcPr>
            <w:tcW w:w="1321" w:type="pct"/>
            <w:shd w:val="clear" w:color="auto" w:fill="CCCCCC"/>
            <w:tcMar>
              <w:top w:w="57" w:type="dxa"/>
              <w:left w:w="113" w:type="dxa"/>
              <w:bottom w:w="57" w:type="dxa"/>
              <w:right w:w="113" w:type="dxa"/>
            </w:tcMar>
            <w:hideMark/>
          </w:tcPr>
          <w:p w14:paraId="19F58494"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506</w:t>
            </w:r>
          </w:p>
        </w:tc>
        <w:tc>
          <w:tcPr>
            <w:tcW w:w="930" w:type="pct"/>
            <w:shd w:val="clear" w:color="auto" w:fill="656565"/>
            <w:tcMar>
              <w:top w:w="57" w:type="dxa"/>
              <w:left w:w="113" w:type="dxa"/>
              <w:bottom w:w="57" w:type="dxa"/>
              <w:right w:w="113" w:type="dxa"/>
            </w:tcMar>
            <w:vAlign w:val="center"/>
            <w:hideMark/>
          </w:tcPr>
          <w:p w14:paraId="7AEBD563"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eCQM Version Number</w:t>
            </w:r>
          </w:p>
        </w:tc>
        <w:tc>
          <w:tcPr>
            <w:tcW w:w="1541" w:type="pct"/>
            <w:shd w:val="clear" w:color="auto" w:fill="CCCCCC"/>
            <w:tcMar>
              <w:top w:w="57" w:type="dxa"/>
              <w:left w:w="113" w:type="dxa"/>
              <w:bottom w:w="57" w:type="dxa"/>
              <w:right w:w="113" w:type="dxa"/>
            </w:tcMar>
            <w:hideMark/>
          </w:tcPr>
          <w:p w14:paraId="44663CF0"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8.2.000</w:t>
            </w:r>
          </w:p>
        </w:tc>
      </w:tr>
      <w:tr w:rsidR="00524163" w:rsidRPr="00524163" w14:paraId="59363E57"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2C137638"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CBE Number</w:t>
            </w:r>
          </w:p>
        </w:tc>
        <w:tc>
          <w:tcPr>
            <w:tcW w:w="1321" w:type="pct"/>
            <w:shd w:val="clear" w:color="auto" w:fill="CCCCCC"/>
            <w:tcMar>
              <w:top w:w="57" w:type="dxa"/>
              <w:left w:w="113" w:type="dxa"/>
              <w:bottom w:w="57" w:type="dxa"/>
              <w:right w:w="113" w:type="dxa"/>
            </w:tcMar>
            <w:hideMark/>
          </w:tcPr>
          <w:p w14:paraId="01AB070F"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3316e</w:t>
            </w:r>
          </w:p>
        </w:tc>
        <w:tc>
          <w:tcPr>
            <w:tcW w:w="930" w:type="pct"/>
            <w:shd w:val="clear" w:color="auto" w:fill="656565"/>
            <w:tcMar>
              <w:top w:w="57" w:type="dxa"/>
              <w:left w:w="113" w:type="dxa"/>
              <w:bottom w:w="57" w:type="dxa"/>
              <w:right w:w="113" w:type="dxa"/>
            </w:tcMar>
            <w:vAlign w:val="center"/>
            <w:hideMark/>
          </w:tcPr>
          <w:p w14:paraId="193A6D38"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GUID</w:t>
            </w:r>
          </w:p>
        </w:tc>
        <w:tc>
          <w:tcPr>
            <w:tcW w:w="1541" w:type="pct"/>
            <w:shd w:val="clear" w:color="auto" w:fill="CCCCCC"/>
            <w:tcMar>
              <w:top w:w="57" w:type="dxa"/>
              <w:left w:w="113" w:type="dxa"/>
              <w:bottom w:w="57" w:type="dxa"/>
              <w:right w:w="113" w:type="dxa"/>
            </w:tcMar>
            <w:hideMark/>
          </w:tcPr>
          <w:p w14:paraId="717CBB9C"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33b40c00-909a-4490-8093-999fbcdc3480</w:t>
            </w:r>
          </w:p>
        </w:tc>
      </w:tr>
      <w:tr w:rsidR="00524163" w:rsidRPr="00524163" w14:paraId="42C8E56B"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1027463"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Measurement Period</w:t>
            </w:r>
          </w:p>
        </w:tc>
        <w:tc>
          <w:tcPr>
            <w:tcW w:w="3825" w:type="pct"/>
            <w:gridSpan w:val="3"/>
            <w:shd w:val="clear" w:color="auto" w:fill="CCCCCC"/>
            <w:tcMar>
              <w:top w:w="57" w:type="dxa"/>
              <w:left w:w="113" w:type="dxa"/>
              <w:bottom w:w="57" w:type="dxa"/>
              <w:right w:w="113" w:type="dxa"/>
            </w:tcMar>
            <w:hideMark/>
          </w:tcPr>
          <w:p w14:paraId="2637B935"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 xml:space="preserve">January 1, </w:t>
            </w:r>
            <w:proofErr w:type="gramStart"/>
            <w:r w:rsidRPr="00524163">
              <w:rPr>
                <w:rFonts w:ascii="Verdana" w:eastAsia="Times New Roman" w:hAnsi="Verdana" w:cs="Times New Roman"/>
                <w:sz w:val="17"/>
                <w:szCs w:val="17"/>
              </w:rPr>
              <w:t>2026</w:t>
            </w:r>
            <w:proofErr w:type="gramEnd"/>
            <w:r w:rsidRPr="00524163">
              <w:rPr>
                <w:rFonts w:ascii="Verdana" w:eastAsia="Times New Roman" w:hAnsi="Verdana" w:cs="Times New Roman"/>
                <w:sz w:val="17"/>
                <w:szCs w:val="17"/>
              </w:rPr>
              <w:t xml:space="preserve"> through December 31, 2026</w:t>
            </w:r>
          </w:p>
        </w:tc>
      </w:tr>
      <w:tr w:rsidR="00524163" w:rsidRPr="00524163" w14:paraId="49D573E2"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016186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Measure Steward</w:t>
            </w:r>
          </w:p>
        </w:tc>
        <w:tc>
          <w:tcPr>
            <w:tcW w:w="3825" w:type="pct"/>
            <w:gridSpan w:val="3"/>
            <w:shd w:val="clear" w:color="auto" w:fill="CCCCCC"/>
            <w:tcMar>
              <w:top w:w="57" w:type="dxa"/>
              <w:left w:w="113" w:type="dxa"/>
              <w:bottom w:w="57" w:type="dxa"/>
              <w:right w:w="113" w:type="dxa"/>
            </w:tcMar>
            <w:hideMark/>
          </w:tcPr>
          <w:p w14:paraId="5AB416A4"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Centers for Medicare &amp; Medicaid Services (CMS)</w:t>
            </w:r>
          </w:p>
        </w:tc>
      </w:tr>
      <w:tr w:rsidR="00524163" w:rsidRPr="00524163" w14:paraId="0524539B"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CCB8AEE"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Measure Developer</w:t>
            </w:r>
          </w:p>
        </w:tc>
        <w:tc>
          <w:tcPr>
            <w:tcW w:w="3825" w:type="pct"/>
            <w:gridSpan w:val="3"/>
            <w:shd w:val="clear" w:color="auto" w:fill="CCCCCC"/>
            <w:tcMar>
              <w:top w:w="57" w:type="dxa"/>
              <w:left w:w="113" w:type="dxa"/>
              <w:bottom w:w="57" w:type="dxa"/>
              <w:right w:w="113" w:type="dxa"/>
            </w:tcMar>
            <w:hideMark/>
          </w:tcPr>
          <w:p w14:paraId="479DA088"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Mathematica</w:t>
            </w:r>
          </w:p>
        </w:tc>
      </w:tr>
      <w:tr w:rsidR="00524163" w:rsidRPr="00524163" w14:paraId="2FB14726"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5DA81EC0"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Endorsed By</w:t>
            </w:r>
          </w:p>
        </w:tc>
        <w:tc>
          <w:tcPr>
            <w:tcW w:w="3825" w:type="pct"/>
            <w:gridSpan w:val="3"/>
            <w:shd w:val="clear" w:color="auto" w:fill="CCCCCC"/>
            <w:tcMar>
              <w:top w:w="57" w:type="dxa"/>
              <w:left w:w="113" w:type="dxa"/>
              <w:bottom w:w="57" w:type="dxa"/>
              <w:right w:w="113" w:type="dxa"/>
            </w:tcMar>
            <w:hideMark/>
          </w:tcPr>
          <w:p w14:paraId="15B0837E"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CMS Consensus Based Entity</w:t>
            </w:r>
          </w:p>
        </w:tc>
      </w:tr>
      <w:tr w:rsidR="00524163" w:rsidRPr="00524163" w14:paraId="47F991A5"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F03567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Description</w:t>
            </w:r>
          </w:p>
        </w:tc>
        <w:tc>
          <w:tcPr>
            <w:tcW w:w="3825" w:type="pct"/>
            <w:gridSpan w:val="3"/>
            <w:shd w:val="clear" w:color="auto" w:fill="CCCCCC"/>
            <w:tcMar>
              <w:top w:w="57" w:type="dxa"/>
              <w:left w:w="113" w:type="dxa"/>
              <w:bottom w:w="57" w:type="dxa"/>
              <w:right w:w="113" w:type="dxa"/>
            </w:tcMar>
            <w:hideMark/>
          </w:tcPr>
          <w:p w14:paraId="7E1A09DE"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Proportion of inpatient hospitalizations for patients 18 years of age and older prescribed, or continued on, two or more opioids or an opioid and benzodiazepine concurrently at discharge</w:t>
            </w:r>
          </w:p>
        </w:tc>
      </w:tr>
      <w:tr w:rsidR="00524163" w:rsidRPr="00524163" w14:paraId="3CF79156"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4C55347E"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Copyright</w:t>
            </w:r>
          </w:p>
        </w:tc>
        <w:tc>
          <w:tcPr>
            <w:tcW w:w="3825" w:type="pct"/>
            <w:gridSpan w:val="3"/>
            <w:shd w:val="clear" w:color="auto" w:fill="CCCCCC"/>
            <w:tcMar>
              <w:top w:w="57" w:type="dxa"/>
              <w:left w:w="113" w:type="dxa"/>
              <w:bottom w:w="57" w:type="dxa"/>
              <w:right w:w="113" w:type="dxa"/>
            </w:tcMar>
            <w:hideMark/>
          </w:tcPr>
          <w:p w14:paraId="7BCB9F89"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Limited proprietary coding is contained in the Measure specifications for user convenience. Users of proprietary code sets should obtain all necessary licenses from the owners of the code sets. Mathematica disclaims all liability for use or accuracy of any third-party codes contained in the specifications.</w:t>
            </w:r>
          </w:p>
          <w:p w14:paraId="4DB43BD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16685E55"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CPT(R) contained in the measure specifications is copyright 2004-2024 American Medical Association. LOINC(R) copyright 2004-2024 Regenstrief Institute, Inc. This material contains SNOMED Clinical Terms(R) (SNOMED CT[R]) copyright 2004-2024 International Health Terminology Standards Development </w:t>
            </w:r>
            <w:proofErr w:type="spellStart"/>
            <w:r w:rsidRPr="00524163">
              <w:rPr>
                <w:rFonts w:ascii="Verdana" w:eastAsia="Times New Roman" w:hAnsi="Verdana" w:cs="Courier New"/>
                <w:sz w:val="17"/>
                <w:szCs w:val="17"/>
              </w:rPr>
              <w:t>Organisation</w:t>
            </w:r>
            <w:proofErr w:type="spellEnd"/>
            <w:r w:rsidRPr="00524163">
              <w:rPr>
                <w:rFonts w:ascii="Verdana" w:eastAsia="Times New Roman" w:hAnsi="Verdana" w:cs="Courier New"/>
                <w:sz w:val="17"/>
                <w:szCs w:val="17"/>
              </w:rPr>
              <w:t>. ICD-10 copyright 2024 World Health Organization. All Rights Reserved.</w:t>
            </w:r>
          </w:p>
        </w:tc>
      </w:tr>
      <w:tr w:rsidR="00524163" w:rsidRPr="00524163" w14:paraId="602A3846"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008F5B66"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Disclaimer</w:t>
            </w:r>
          </w:p>
        </w:tc>
        <w:tc>
          <w:tcPr>
            <w:tcW w:w="3825" w:type="pct"/>
            <w:gridSpan w:val="3"/>
            <w:shd w:val="clear" w:color="auto" w:fill="CCCCCC"/>
            <w:tcMar>
              <w:top w:w="57" w:type="dxa"/>
              <w:left w:w="113" w:type="dxa"/>
              <w:bottom w:w="57" w:type="dxa"/>
              <w:right w:w="113" w:type="dxa"/>
            </w:tcMar>
            <w:hideMark/>
          </w:tcPr>
          <w:p w14:paraId="16B212A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These performance measures are not clinical guidelines, do not establish a standard of medical care, and have not been tested for all potential applications.</w:t>
            </w:r>
          </w:p>
          <w:p w14:paraId="488245C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48BC59C5"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THE MEASURES AND SPECIFICATION ARE PROVIDED AS IS WITHOUT WARRANTY OF ANY KIND.</w:t>
            </w:r>
          </w:p>
          <w:p w14:paraId="7CCCB4A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543A6B1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Due to technical limitations, registered trademarks are indicated by (R) or [R] and unregistered trademarks are indicated by (TM) or [TM].</w:t>
            </w:r>
          </w:p>
        </w:tc>
      </w:tr>
      <w:tr w:rsidR="00524163" w:rsidRPr="00524163" w14:paraId="1E8A7236"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4EBDD21C"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Measure Scoring</w:t>
            </w:r>
          </w:p>
        </w:tc>
        <w:tc>
          <w:tcPr>
            <w:tcW w:w="3825" w:type="pct"/>
            <w:gridSpan w:val="3"/>
            <w:shd w:val="clear" w:color="auto" w:fill="CCCCCC"/>
            <w:tcMar>
              <w:top w:w="57" w:type="dxa"/>
              <w:left w:w="113" w:type="dxa"/>
              <w:bottom w:w="57" w:type="dxa"/>
              <w:right w:w="113" w:type="dxa"/>
            </w:tcMar>
            <w:hideMark/>
          </w:tcPr>
          <w:p w14:paraId="63325F9A"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Proportion</w:t>
            </w:r>
          </w:p>
        </w:tc>
      </w:tr>
      <w:tr w:rsidR="00524163" w:rsidRPr="00524163" w14:paraId="37536B61"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404C3E3C"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Measure Type</w:t>
            </w:r>
          </w:p>
        </w:tc>
        <w:tc>
          <w:tcPr>
            <w:tcW w:w="3825" w:type="pct"/>
            <w:gridSpan w:val="3"/>
            <w:shd w:val="clear" w:color="auto" w:fill="CCCCCC"/>
            <w:tcMar>
              <w:top w:w="57" w:type="dxa"/>
              <w:left w:w="113" w:type="dxa"/>
              <w:bottom w:w="57" w:type="dxa"/>
              <w:right w:w="113" w:type="dxa"/>
            </w:tcMar>
            <w:hideMark/>
          </w:tcPr>
          <w:p w14:paraId="47FC5B9D" w14:textId="77777777" w:rsidR="00524163" w:rsidRPr="00524163" w:rsidRDefault="00524163" w:rsidP="00524163">
            <w:pPr>
              <w:spacing w:after="0" w:line="240" w:lineRule="auto"/>
              <w:rPr>
                <w:rFonts w:ascii="Verdana" w:eastAsia="Times New Roman" w:hAnsi="Verdana" w:cs="Times New Roman"/>
                <w:sz w:val="17"/>
                <w:szCs w:val="17"/>
              </w:rPr>
            </w:pPr>
            <w:r w:rsidRPr="00524163">
              <w:rPr>
                <w:rFonts w:ascii="Verdana" w:eastAsia="Times New Roman" w:hAnsi="Verdana" w:cs="Times New Roman"/>
                <w:sz w:val="17"/>
                <w:szCs w:val="17"/>
              </w:rPr>
              <w:t>Process</w:t>
            </w:r>
          </w:p>
        </w:tc>
      </w:tr>
      <w:tr w:rsidR="00524163" w:rsidRPr="00524163" w14:paraId="09F29ED0"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64B3DC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Stratification</w:t>
            </w:r>
          </w:p>
        </w:tc>
        <w:tc>
          <w:tcPr>
            <w:tcW w:w="3825" w:type="pct"/>
            <w:gridSpan w:val="3"/>
            <w:shd w:val="clear" w:color="auto" w:fill="CCCCCC"/>
            <w:tcMar>
              <w:top w:w="57" w:type="dxa"/>
              <w:left w:w="113" w:type="dxa"/>
              <w:bottom w:w="57" w:type="dxa"/>
              <w:right w:w="113" w:type="dxa"/>
            </w:tcMar>
            <w:hideMark/>
          </w:tcPr>
          <w:p w14:paraId="5F8EF24F"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None</w:t>
            </w:r>
          </w:p>
        </w:tc>
      </w:tr>
      <w:tr w:rsidR="00524163" w:rsidRPr="00524163" w14:paraId="2461EBDB"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BC34A6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Risk Adjustment</w:t>
            </w:r>
          </w:p>
        </w:tc>
        <w:tc>
          <w:tcPr>
            <w:tcW w:w="3825" w:type="pct"/>
            <w:gridSpan w:val="3"/>
            <w:shd w:val="clear" w:color="auto" w:fill="CCCCCC"/>
            <w:tcMar>
              <w:top w:w="57" w:type="dxa"/>
              <w:left w:w="113" w:type="dxa"/>
              <w:bottom w:w="57" w:type="dxa"/>
              <w:right w:w="113" w:type="dxa"/>
            </w:tcMar>
            <w:hideMark/>
          </w:tcPr>
          <w:p w14:paraId="4E0B58FE"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None</w:t>
            </w:r>
          </w:p>
        </w:tc>
      </w:tr>
      <w:tr w:rsidR="00524163" w:rsidRPr="00524163" w14:paraId="6B650886"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5BA1F365"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Rate Aggregation</w:t>
            </w:r>
          </w:p>
        </w:tc>
        <w:tc>
          <w:tcPr>
            <w:tcW w:w="3825" w:type="pct"/>
            <w:gridSpan w:val="3"/>
            <w:shd w:val="clear" w:color="auto" w:fill="CCCCCC"/>
            <w:tcMar>
              <w:top w:w="57" w:type="dxa"/>
              <w:left w:w="113" w:type="dxa"/>
              <w:bottom w:w="57" w:type="dxa"/>
              <w:right w:w="113" w:type="dxa"/>
            </w:tcMar>
            <w:hideMark/>
          </w:tcPr>
          <w:p w14:paraId="6F03446D"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None</w:t>
            </w:r>
          </w:p>
        </w:tc>
      </w:tr>
      <w:tr w:rsidR="00524163" w:rsidRPr="00524163" w14:paraId="0F4C241B"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E04F17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Rationale</w:t>
            </w:r>
          </w:p>
        </w:tc>
        <w:tc>
          <w:tcPr>
            <w:tcW w:w="3825" w:type="pct"/>
            <w:gridSpan w:val="3"/>
            <w:shd w:val="clear" w:color="auto" w:fill="CCCCCC"/>
            <w:tcMar>
              <w:top w:w="57" w:type="dxa"/>
              <w:left w:w="113" w:type="dxa"/>
              <w:bottom w:w="57" w:type="dxa"/>
              <w:right w:w="113" w:type="dxa"/>
            </w:tcMar>
            <w:hideMark/>
          </w:tcPr>
          <w:p w14:paraId="3EB14F82"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Unintentional opioid overdose fatalities have become a major public health concern in the United States (Rudd, Aleshire, </w:t>
            </w:r>
            <w:proofErr w:type="spellStart"/>
            <w:r w:rsidRPr="00524163">
              <w:rPr>
                <w:rFonts w:ascii="Verdana" w:eastAsia="Times New Roman" w:hAnsi="Verdana" w:cs="Courier New"/>
                <w:sz w:val="17"/>
                <w:szCs w:val="17"/>
              </w:rPr>
              <w:t>Zibbel</w:t>
            </w:r>
            <w:proofErr w:type="spellEnd"/>
            <w:r w:rsidRPr="00524163">
              <w:rPr>
                <w:rFonts w:ascii="Verdana" w:eastAsia="Times New Roman" w:hAnsi="Verdana" w:cs="Courier New"/>
                <w:sz w:val="17"/>
                <w:szCs w:val="17"/>
              </w:rPr>
              <w:t xml:space="preserve">, &amp; Gladden, 2016). Reducing the number of unintentional overdoses has become a priority for numerous federal organizations including, but not limited to, the Centers for Disease Control and Prevention (CDC), the Federal Interagency Workgroup for Opioid Adverse Drug Events, and the Substance Abuse and Mental Health Services Administration. </w:t>
            </w:r>
          </w:p>
          <w:p w14:paraId="3343F4CF"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51138715"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Concurrent prescriptions of opioids or opioids and benzodiazepines places patients at a greater risk of unintentional overdose due to the increased risk of respiratory depression (Dowell, </w:t>
            </w:r>
            <w:proofErr w:type="spellStart"/>
            <w:r w:rsidRPr="00524163">
              <w:rPr>
                <w:rFonts w:ascii="Verdana" w:eastAsia="Times New Roman" w:hAnsi="Verdana" w:cs="Courier New"/>
                <w:sz w:val="17"/>
                <w:szCs w:val="17"/>
              </w:rPr>
              <w:t>Haegerich</w:t>
            </w:r>
            <w:proofErr w:type="spellEnd"/>
            <w:r w:rsidRPr="00524163">
              <w:rPr>
                <w:rFonts w:ascii="Verdana" w:eastAsia="Times New Roman" w:hAnsi="Verdana" w:cs="Courier New"/>
                <w:sz w:val="17"/>
                <w:szCs w:val="17"/>
              </w:rPr>
              <w:t xml:space="preserve">, &amp; Chou, 2016; Dowell, Ragan, </w:t>
            </w:r>
            <w:r w:rsidRPr="00524163">
              <w:rPr>
                <w:rFonts w:ascii="Verdana" w:eastAsia="Times New Roman" w:hAnsi="Verdana" w:cs="Courier New"/>
                <w:sz w:val="17"/>
                <w:szCs w:val="17"/>
              </w:rPr>
              <w:lastRenderedPageBreak/>
              <w:t xml:space="preserve">Jones, Baldwin, &amp; Chou, 2022). An analysis of national prescribing patterns shows that more than half of patients who received an opioid prescription in 2009 had filled another opioid prescription within the previous 30 days (National Institute on Drug Abuse, 2011). Studies of multiple claims and prescription databases have shown that between 5%-15% of patients receive concurrent opioid prescriptions and 5%-20% of patients receive concurrent opioid and benzodiazepine prescriptions across various settings (Liu et al., 2013; Mack et al., 2015, Park et al., 2015). Patients who have multiple opioid prescriptions have an increased risk for overdose (Jena et al., 2014). Rates of fatal overdose are ten times higher in patients who are co-dispensed opioid analgesics and benzodiazepines than opioids alone (Dasgupta et al., 2015). The number of opioid overdose deaths involving benzodiazepines increased 14% on average each year from 2006 to 2011, while the number of opioid analgesic overdose deaths not involving benzodiazepines did not change significantly (Jones &amp; McAninch, 2015). Furthermore, concurrent use of benzodiazepines with opioids was prevalent in 31%-51% of fatal overdoses (Dowell, </w:t>
            </w:r>
            <w:proofErr w:type="spellStart"/>
            <w:r w:rsidRPr="00524163">
              <w:rPr>
                <w:rFonts w:ascii="Verdana" w:eastAsia="Times New Roman" w:hAnsi="Verdana" w:cs="Courier New"/>
                <w:sz w:val="17"/>
                <w:szCs w:val="17"/>
              </w:rPr>
              <w:t>Haegerich</w:t>
            </w:r>
            <w:proofErr w:type="spellEnd"/>
            <w:r w:rsidRPr="00524163">
              <w:rPr>
                <w:rFonts w:ascii="Verdana" w:eastAsia="Times New Roman" w:hAnsi="Verdana" w:cs="Courier New"/>
                <w:sz w:val="17"/>
                <w:szCs w:val="17"/>
              </w:rPr>
              <w:t xml:space="preserve">, &amp; Chou, 2016). One study found that eliminating concurrent use of opioids and benzodiazepines could reduce the risk of opioid overdose-related emergency department (ED) and inpatient visits by 15% and potentially could have prevented an estimated 2,630 deaths related to opioid painkiller overdoses in 2015 (Sun, Dixit, Humphreys, </w:t>
            </w:r>
            <w:proofErr w:type="spellStart"/>
            <w:r w:rsidRPr="00524163">
              <w:rPr>
                <w:rFonts w:ascii="Verdana" w:eastAsia="Times New Roman" w:hAnsi="Verdana" w:cs="Courier New"/>
                <w:sz w:val="17"/>
                <w:szCs w:val="17"/>
              </w:rPr>
              <w:t>Darnall</w:t>
            </w:r>
            <w:proofErr w:type="spellEnd"/>
            <w:r w:rsidRPr="00524163">
              <w:rPr>
                <w:rFonts w:ascii="Verdana" w:eastAsia="Times New Roman" w:hAnsi="Verdana" w:cs="Courier New"/>
                <w:sz w:val="17"/>
                <w:szCs w:val="17"/>
              </w:rPr>
              <w:t xml:space="preserve">, &amp; Mackey, 2017). </w:t>
            </w:r>
          </w:p>
          <w:p w14:paraId="75322151"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1F3527D3"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A study on The Opioid Safety Initiative in the Veterans Health Administration (VHA), which includes an opioid and benzodiazepine concurrent prescribing measure that this measure is based on, was associated with a decrease of 20.67% overall and 0.86% patients per month (781 patients per month) receiving concurrent benzodiazepine with an opioid among all adult VHA patients who filled outpatient opioid prescriptions from October 2012 to September 2014 (Lin, Bohnert, Kerns, Clay, </w:t>
            </w:r>
            <w:proofErr w:type="spellStart"/>
            <w:r w:rsidRPr="00524163">
              <w:rPr>
                <w:rFonts w:ascii="Verdana" w:eastAsia="Times New Roman" w:hAnsi="Verdana" w:cs="Courier New"/>
                <w:sz w:val="17"/>
                <w:szCs w:val="17"/>
              </w:rPr>
              <w:t>Ganoczy</w:t>
            </w:r>
            <w:proofErr w:type="spellEnd"/>
            <w:r w:rsidRPr="00524163">
              <w:rPr>
                <w:rFonts w:ascii="Verdana" w:eastAsia="Times New Roman" w:hAnsi="Verdana" w:cs="Courier New"/>
                <w:sz w:val="17"/>
                <w:szCs w:val="17"/>
              </w:rPr>
              <w:t>, &amp; Ilgen, 2017).</w:t>
            </w:r>
          </w:p>
          <w:p w14:paraId="554585D2"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672B9DA8"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Adopting a measure that calculates the proportion of patients with two or more opioids or opioids and benzodiazepines concurrently has the potential to reduce preventable mortality and reduce the costs associated with adverse events related to opioid use by (1) encouraging providers to identify patients with concurrent prescriptions of opioids or opioids and benzodiazepines and (2) discouraging providers from prescribing two or more opioids or opioids and benzodiazepines concurrently.</w:t>
            </w:r>
          </w:p>
        </w:tc>
      </w:tr>
      <w:tr w:rsidR="00524163" w:rsidRPr="00524163" w14:paraId="3156A70C"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7711CCC3"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lastRenderedPageBreak/>
              <w:t>Clinical Recommendation Statement</w:t>
            </w:r>
          </w:p>
        </w:tc>
        <w:tc>
          <w:tcPr>
            <w:tcW w:w="3825" w:type="pct"/>
            <w:gridSpan w:val="3"/>
            <w:shd w:val="clear" w:color="auto" w:fill="CCCCCC"/>
            <w:tcMar>
              <w:top w:w="57" w:type="dxa"/>
              <w:left w:w="113" w:type="dxa"/>
              <w:bottom w:w="57" w:type="dxa"/>
              <w:right w:w="113" w:type="dxa"/>
            </w:tcMar>
            <w:hideMark/>
          </w:tcPr>
          <w:p w14:paraId="00E95472"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The CDC Clinical Practice Guideline for Prescribing Opioids for Pain — United States, 2022 recommends that clinicians should:</w:t>
            </w:r>
          </w:p>
          <w:p w14:paraId="125959C8"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“[Use strategies minimizing] opioid use…for both opioid-naïve and opioid-tolerant patients with acute pain when possible. If patients receiving long-term opioid therapy require additional medication for acute pain, nonopioid medications should be used when possible.”</w:t>
            </w:r>
          </w:p>
          <w:p w14:paraId="08D60243"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”Use particular caution when prescribing opioid pain medication and benzodiazepines concurrently."</w:t>
            </w:r>
          </w:p>
          <w:p w14:paraId="1521709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“Review increased risks for respiratory depression when opioids are taken with benzodiazepines, other sedatives, alcohol, nonprescribed or illicit drugs (e.g., heroin), or other opioids (see Recommendations 8 and 11)”</w:t>
            </w:r>
          </w:p>
          <w:p w14:paraId="3EE8FB1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“Closely monitor patients who are unable to taper and who continue on high-dose or otherwise high-risk opioid regimens (e.g., opioids prescribed concurrently with benzodiazepines) and should work with patients to mitigate overdose risk (e.g., by providing overdose education and naloxone) (see Recommendation 8).”</w:t>
            </w:r>
          </w:p>
          <w:p w14:paraId="0AF5028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"Discuss information from the PDMP with the patient and confirm that the patient is aware of any additional prescriptions.”</w:t>
            </w:r>
          </w:p>
          <w:p w14:paraId="746E9F2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“Discuss safety concerns, including increased risk for respiratory depression and overdose, with patients found to be receiving overlapping prescription opioids from multiple clinicians who are not coordinating the patient’s care or patients who are receiving medications that increase risk when combined with opioids (e.g., benzodiazepines) (see Recommendation 11), and offer naloxone (see Recommendation 8)."</w:t>
            </w:r>
          </w:p>
          <w:p w14:paraId="52DC782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lastRenderedPageBreak/>
              <w:t>- "Discuss safety concerns with other clinicians who are prescribing controlled substances for the patient. Ideally, clinicians should first discuss concerns with the patient and inform them that they plan to coordinate care with their other clinicians to improve the patient’s safety.”</w:t>
            </w:r>
          </w:p>
          <w:p w14:paraId="6EFA5A0A"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155D24BA"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In addition to the 2022 CDC Clinical Practice Guideline for Prescribing Opioids for Pain, opioid prescribing guidelines issued by various state agencies and professional societies for various settings agree with the recommendation to avoid concurrently prescribing opioids  (American Academy of Emergency Medicine (AAEM), 2013; and Washington Agency Medical Directors’ Group (WAMDG), 2015), and opioids and benzodiazepines (WAMDG, 2015; American Society of Interventional Pain Physicians (ASIPP), 2012;, and New York City Department Of Health and Mental Hygiene (NYC DPOMH), 2013) whenever possible as the combination of these medications may potentiate opioid-induced respiratory depression.</w:t>
            </w:r>
          </w:p>
        </w:tc>
      </w:tr>
      <w:tr w:rsidR="00524163" w:rsidRPr="00524163" w14:paraId="3E43DED6"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64534908"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lastRenderedPageBreak/>
              <w:t>Improvement Notation</w:t>
            </w:r>
          </w:p>
        </w:tc>
        <w:tc>
          <w:tcPr>
            <w:tcW w:w="3825" w:type="pct"/>
            <w:gridSpan w:val="3"/>
            <w:shd w:val="clear" w:color="auto" w:fill="CCCCCC"/>
            <w:tcMar>
              <w:top w:w="57" w:type="dxa"/>
              <w:left w:w="113" w:type="dxa"/>
              <w:bottom w:w="57" w:type="dxa"/>
              <w:right w:w="113" w:type="dxa"/>
            </w:tcMar>
            <w:hideMark/>
          </w:tcPr>
          <w:p w14:paraId="6A25914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Decreased score indicates improvement</w:t>
            </w:r>
          </w:p>
        </w:tc>
      </w:tr>
      <w:tr w:rsidR="00524163" w:rsidRPr="00524163" w14:paraId="19A7F2F9"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4CC8837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43696B1D"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3E3F186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15989565"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'American Academy of Emergency Medicine (AAEM). (2013). Emergency department opioid-prescribing guidelines for the treatment of non-cancer-related pain. Retrieved from https://www.aaem.org/UserFiles/file/Emergency-Department-Opoid-Prescribing-Guidelines.pdf'</w:t>
            </w:r>
          </w:p>
        </w:tc>
      </w:tr>
      <w:tr w:rsidR="00524163" w:rsidRPr="00524163" w14:paraId="0B3AB90E"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5B210589"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1CDE32C3"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134E1C1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3698492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'American Society of Interventional Pain Physicians (ASIPP). (2012). Guidelines for responsible opioid prescribing in chronic non-cancer pain; Part 2-guidance. Retrieved from https://pubmed.ncbi.nlm.nih.gov/22786449/'</w:t>
            </w:r>
          </w:p>
        </w:tc>
      </w:tr>
      <w:tr w:rsidR="00524163" w:rsidRPr="00524163" w14:paraId="3D720421"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66DA12CB"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570FE53D"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17DA39C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29E7D20D"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Reference Text: 'Dasgupta, N., Funk, M. J., Proescholdbell, S., Hirsch, A., </w:t>
            </w:r>
            <w:proofErr w:type="spellStart"/>
            <w:r w:rsidRPr="00524163">
              <w:rPr>
                <w:rFonts w:ascii="Verdana" w:eastAsia="Times New Roman" w:hAnsi="Verdana" w:cs="Courier New"/>
                <w:sz w:val="17"/>
                <w:szCs w:val="17"/>
              </w:rPr>
              <w:t>Ribisl</w:t>
            </w:r>
            <w:proofErr w:type="spellEnd"/>
            <w:r w:rsidRPr="00524163">
              <w:rPr>
                <w:rFonts w:ascii="Verdana" w:eastAsia="Times New Roman" w:hAnsi="Verdana" w:cs="Courier New"/>
                <w:sz w:val="17"/>
                <w:szCs w:val="17"/>
              </w:rPr>
              <w:t>, K. M., &amp; Marshall, S. (2015). Cohort study of the impact of high-dose opioid analgesics on overdose mortality. Pain Medicine. 'https://doi.org/10.1111/pme.12907''</w:t>
            </w:r>
          </w:p>
        </w:tc>
      </w:tr>
      <w:tr w:rsidR="00524163" w:rsidRPr="00524163" w14:paraId="5C2E0D13"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5A1543CC"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7CD6D2D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58631A88"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6CFDB5A3"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'Dowell D., Ragan K., Jones C., Baldwin G., &amp; Chou R. (2022). CDC Clinical Practice Guideline for Prescribing Opioids for Pain — United States, 2022. Morbidity and Mortality Weekly Report (MMWR) Recommendations and Reports, 71(No. RR-3):1–95. DOI: http://dx.doi.org/10.15585/mmwr.rr7103a1'</w:t>
            </w:r>
          </w:p>
        </w:tc>
      </w:tr>
      <w:tr w:rsidR="00524163" w:rsidRPr="00524163" w14:paraId="65F9B737"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6DB86A3E"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56D0AC48"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1E6E256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029D420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Reference Text: 'Dowell, D., </w:t>
            </w:r>
            <w:proofErr w:type="spellStart"/>
            <w:r w:rsidRPr="00524163">
              <w:rPr>
                <w:rFonts w:ascii="Verdana" w:eastAsia="Times New Roman" w:hAnsi="Verdana" w:cs="Courier New"/>
                <w:sz w:val="17"/>
                <w:szCs w:val="17"/>
              </w:rPr>
              <w:t>Haegerich</w:t>
            </w:r>
            <w:proofErr w:type="spellEnd"/>
            <w:r w:rsidRPr="00524163">
              <w:rPr>
                <w:rFonts w:ascii="Verdana" w:eastAsia="Times New Roman" w:hAnsi="Verdana" w:cs="Courier New"/>
                <w:sz w:val="17"/>
                <w:szCs w:val="17"/>
              </w:rPr>
              <w:t>, T., &amp; Chou, R. (2016). CDC guideline for prescribing opioids for chronic pain—United States, 2016. Morbidity and Mortality Weekly Report (MMWR) Recommendations and Reports, 65(No. RR-1):1-49. 'DOI: https://dx.doi.org/10.15585/mmwr.rr6501e1''</w:t>
            </w:r>
          </w:p>
        </w:tc>
      </w:tr>
      <w:tr w:rsidR="00524163" w:rsidRPr="00524163" w14:paraId="4E555FB4"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7F6A22F"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0BB8B075"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r w:rsidRPr="00524163">
              <w:rPr>
                <w:rFonts w:ascii="Verdana" w:eastAsia="Times New Roman" w:hAnsi="Verdana" w:cs="Courier New"/>
                <w:sz w:val="17"/>
                <w:szCs w:val="17"/>
              </w:rPr>
              <w:br/>
            </w:r>
          </w:p>
          <w:p w14:paraId="475621A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'Jena, A. B., Goldman, D., Weaver, L., &amp; Karaca-Mandic, P. (2014). Opioid prescribing by multiple providers in Medicare: Retrospective observational study of insurance claims. BMJ, 348, g1393. DOI: 10.1136/bmj.g1393'</w:t>
            </w:r>
          </w:p>
        </w:tc>
      </w:tr>
      <w:tr w:rsidR="00524163" w:rsidRPr="00524163" w14:paraId="2B30AE72"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C454F09"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49F5F385"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7B8C1AB1"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48E8EF49"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lastRenderedPageBreak/>
              <w:t>Reference Text: 'Jones, C. M., &amp; McAninch, J. K. (2015). Emergency department visits and overdose deaths from combined use of opioids and benzodiazepines. American Journal of Preventive Medicine, 49(4), 493-501. 'DOI: 10.1016/j.amepre.2015.03.040''</w:t>
            </w:r>
          </w:p>
        </w:tc>
      </w:tr>
      <w:tr w:rsidR="00524163" w:rsidRPr="00524163" w14:paraId="5888C9D8"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05A1069C"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lastRenderedPageBreak/>
              <w:t>Reference</w:t>
            </w:r>
          </w:p>
        </w:tc>
        <w:tc>
          <w:tcPr>
            <w:tcW w:w="3825" w:type="pct"/>
            <w:gridSpan w:val="3"/>
            <w:shd w:val="clear" w:color="auto" w:fill="CCCCCC"/>
            <w:tcMar>
              <w:top w:w="57" w:type="dxa"/>
              <w:left w:w="113" w:type="dxa"/>
              <w:bottom w:w="57" w:type="dxa"/>
              <w:right w:w="113" w:type="dxa"/>
            </w:tcMar>
            <w:hideMark/>
          </w:tcPr>
          <w:p w14:paraId="0D87552F"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1BDB9CA1"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53149AF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Reference Text: 'Lin, L. A., Bohnert, A. S. B., Kerns, R. D., Clay, M. A., </w:t>
            </w:r>
            <w:proofErr w:type="spellStart"/>
            <w:r w:rsidRPr="00524163">
              <w:rPr>
                <w:rFonts w:ascii="Verdana" w:eastAsia="Times New Roman" w:hAnsi="Verdana" w:cs="Courier New"/>
                <w:sz w:val="17"/>
                <w:szCs w:val="17"/>
              </w:rPr>
              <w:t>Ganoczy</w:t>
            </w:r>
            <w:proofErr w:type="spellEnd"/>
            <w:r w:rsidRPr="00524163">
              <w:rPr>
                <w:rFonts w:ascii="Verdana" w:eastAsia="Times New Roman" w:hAnsi="Verdana" w:cs="Courier New"/>
                <w:sz w:val="17"/>
                <w:szCs w:val="17"/>
              </w:rPr>
              <w:t>, D., &amp; Ilgen, M. A. (2017). Impact of the opioid safety initiative on opioid-related prescribing in veterans. Pain, 158(5), 833–839. 'DOI: 10.1097/j.pain.0000000000000837''</w:t>
            </w:r>
          </w:p>
        </w:tc>
      </w:tr>
      <w:tr w:rsidR="00524163" w:rsidRPr="00524163" w14:paraId="554D6EF8"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2B44973"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29727C6C"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281C0531"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55FFE6FE"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'Liu, Y., Logan, J., Paulozzi, L., et al. (2013). Potential misuse and inappropriate prescription practices involving opioid analgesics. American Journal of Managed Care, 19(8), 648–665. Retrieved from http://www.ajmc.com/journals/issue/2013/2013-1-vol19-n8/Potential-Misuse-and-Inappropriate-Prescription-Practices-Involving-Opioid-Analgesics/'</w:t>
            </w:r>
          </w:p>
        </w:tc>
      </w:tr>
      <w:tr w:rsidR="00524163" w:rsidRPr="00524163" w14:paraId="1160665C"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6A711FD"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2269CDFC"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r w:rsidRPr="00524163">
              <w:rPr>
                <w:rFonts w:ascii="Verdana" w:eastAsia="Times New Roman" w:hAnsi="Verdana" w:cs="Courier New"/>
                <w:sz w:val="17"/>
                <w:szCs w:val="17"/>
              </w:rPr>
              <w:br/>
            </w:r>
          </w:p>
          <w:p w14:paraId="5010036E"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'Mack, K., Zhang, K., Paulozzi, L., &amp; Jones, C. (2015). Prescription practices involving opioid analgesics among Americans with Medicaid, 2010. Journal of Health Care for the Poor and Underserved, 26(1), 182–198. Retrieved from http://www.ncbi.nlm.nih.gov/pmc/articles/PMC4365785'</w:t>
            </w:r>
          </w:p>
        </w:tc>
      </w:tr>
      <w:tr w:rsidR="00524163" w:rsidRPr="00524163" w14:paraId="19EB4355"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A439144"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4D28C03C"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r w:rsidRPr="00524163">
              <w:rPr>
                <w:rFonts w:ascii="Verdana" w:eastAsia="Times New Roman" w:hAnsi="Verdana" w:cs="Courier New"/>
                <w:sz w:val="17"/>
                <w:szCs w:val="17"/>
              </w:rPr>
              <w:br/>
            </w:r>
          </w:p>
          <w:p w14:paraId="2F63922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'National Institute on Drug Abuse. (2011). Analysis of opioid prescription  practices finds areas of concern. Retrieved from https://www.nih.gov/news-events/news-releases/analysis-opioid-prescription-practices-finds-areas-concern'</w:t>
            </w:r>
          </w:p>
        </w:tc>
      </w:tr>
      <w:tr w:rsidR="00524163" w:rsidRPr="00524163" w14:paraId="2E8ED69C"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7182C0D5"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402CAAF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r w:rsidRPr="00524163">
              <w:rPr>
                <w:rFonts w:ascii="Verdana" w:eastAsia="Times New Roman" w:hAnsi="Verdana" w:cs="Courier New"/>
                <w:sz w:val="17"/>
                <w:szCs w:val="17"/>
              </w:rPr>
              <w:br/>
            </w:r>
          </w:p>
          <w:p w14:paraId="0CA845EA"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'New York City (NYC) Department of Health and Mental Hygiene (NYC DOHMH). (2013). Opioid prescribing resource for emergency department. Retrieved from https://www1.nyc.gov/site/doh/providers/health-topics/opioid-prescribing-resources-for-emergency-departments.page'</w:t>
            </w:r>
          </w:p>
        </w:tc>
      </w:tr>
      <w:tr w:rsidR="00524163" w:rsidRPr="00524163" w14:paraId="0BC21B79"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8CBE5C8"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013AEB99"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r w:rsidRPr="00524163">
              <w:rPr>
                <w:rFonts w:ascii="Verdana" w:eastAsia="Times New Roman" w:hAnsi="Verdana" w:cs="Courier New"/>
                <w:sz w:val="17"/>
                <w:szCs w:val="17"/>
              </w:rPr>
              <w:br/>
            </w:r>
          </w:p>
          <w:p w14:paraId="4C6CFA1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'Park, T. W., Saitz, R., Ganoczy, D., Ilgen, M. A., &amp; Bohnert, A. S. (2015). Benzodiazepine-prescribing patterns and deaths from drug overdose among U.S. veterans receiving opioid analgesics: Case-cohort study. BMJ, 350(h2698). 'DOI: 10.1136/bmj.h2698''</w:t>
            </w:r>
          </w:p>
        </w:tc>
      </w:tr>
      <w:tr w:rsidR="00524163" w:rsidRPr="00524163" w14:paraId="2DF3E4D0"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0A49FDD"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3695AFE3"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27895FB3"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5C290D6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'Rudd, R., Aleshire, N., Zibbell, J., &amp; Gladden, M. (2016). Increases in drug and opioid overdose deaths—United States, 2000–2014. Morbidity and Mortality Weekly Report, 64(50), 1378–1382. Retrieved from http://www.cdc.gov/mmwr/preview/mmwrhtml/mm6450a3.htm'</w:t>
            </w:r>
          </w:p>
        </w:tc>
      </w:tr>
      <w:tr w:rsidR="00524163" w:rsidRPr="00524163" w14:paraId="24012D43"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009DC27A"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Reference</w:t>
            </w:r>
          </w:p>
        </w:tc>
        <w:tc>
          <w:tcPr>
            <w:tcW w:w="3825" w:type="pct"/>
            <w:gridSpan w:val="3"/>
            <w:shd w:val="clear" w:color="auto" w:fill="CCCCCC"/>
            <w:tcMar>
              <w:top w:w="57" w:type="dxa"/>
              <w:left w:w="113" w:type="dxa"/>
              <w:bottom w:w="57" w:type="dxa"/>
              <w:right w:w="113" w:type="dxa"/>
            </w:tcMar>
            <w:hideMark/>
          </w:tcPr>
          <w:p w14:paraId="3F3A7DAA"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41F3B73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3DC82008"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Reference Text: 'Sun, E., Dixit, A., Humphreys, K., </w:t>
            </w:r>
            <w:proofErr w:type="spellStart"/>
            <w:r w:rsidRPr="00524163">
              <w:rPr>
                <w:rFonts w:ascii="Verdana" w:eastAsia="Times New Roman" w:hAnsi="Verdana" w:cs="Courier New"/>
                <w:sz w:val="17"/>
                <w:szCs w:val="17"/>
              </w:rPr>
              <w:t>Darnall</w:t>
            </w:r>
            <w:proofErr w:type="spellEnd"/>
            <w:r w:rsidRPr="00524163">
              <w:rPr>
                <w:rFonts w:ascii="Verdana" w:eastAsia="Times New Roman" w:hAnsi="Verdana" w:cs="Courier New"/>
                <w:sz w:val="17"/>
                <w:szCs w:val="17"/>
              </w:rPr>
              <w:t>, B., Baker, L., &amp; Mackey, S. (2017). Association between concurrent use of prescription opioids and benzodiazepines and overdose: Retrospective analysis. BMJ, 356(j760). Retrieved from</w:t>
            </w:r>
          </w:p>
          <w:p w14:paraId="41819A1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http://www.bmj.com/content/356/bmj.j760'</w:t>
            </w:r>
          </w:p>
        </w:tc>
      </w:tr>
      <w:tr w:rsidR="00524163" w:rsidRPr="00524163" w14:paraId="29E43071"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5C323310"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lastRenderedPageBreak/>
              <w:t>Reference</w:t>
            </w:r>
          </w:p>
        </w:tc>
        <w:tc>
          <w:tcPr>
            <w:tcW w:w="3825" w:type="pct"/>
            <w:gridSpan w:val="3"/>
            <w:shd w:val="clear" w:color="auto" w:fill="CCCCCC"/>
            <w:tcMar>
              <w:top w:w="57" w:type="dxa"/>
              <w:left w:w="113" w:type="dxa"/>
              <w:bottom w:w="57" w:type="dxa"/>
              <w:right w:w="113" w:type="dxa"/>
            </w:tcMar>
            <w:hideMark/>
          </w:tcPr>
          <w:p w14:paraId="0CDDD0D8"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Type: Citation</w:t>
            </w:r>
          </w:p>
          <w:p w14:paraId="34A1B4C1"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3AA0122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Reference Text: 'Washington Agency Medical Directors’ Group (WAMDG). (2015). Interagency guideline on prescribing opioids for pain, Part II: Prescribing opioids in the acute and subacute phase. Retrieved from http://www.agencymeddirectors.wa.gov/Files/2015AMDGOpioidGuideline.pdf'</w:t>
            </w:r>
          </w:p>
        </w:tc>
      </w:tr>
      <w:tr w:rsidR="00524163" w:rsidRPr="00524163" w14:paraId="142E447B"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2231839"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Definition</w:t>
            </w:r>
          </w:p>
        </w:tc>
        <w:tc>
          <w:tcPr>
            <w:tcW w:w="3825" w:type="pct"/>
            <w:gridSpan w:val="3"/>
            <w:shd w:val="clear" w:color="auto" w:fill="CCCCCC"/>
            <w:tcMar>
              <w:top w:w="57" w:type="dxa"/>
              <w:left w:w="113" w:type="dxa"/>
              <w:bottom w:w="57" w:type="dxa"/>
              <w:right w:w="113" w:type="dxa"/>
            </w:tcMar>
            <w:hideMark/>
          </w:tcPr>
          <w:p w14:paraId="07650CE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For the purpose of this measure, the following are defined as:</w:t>
            </w:r>
          </w:p>
          <w:p w14:paraId="4AAC338F"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4B42DFA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 Opioid: Schedule II, III and IV Opioid Medications that do not include naloxone. </w:t>
            </w:r>
          </w:p>
          <w:p w14:paraId="5F8AAFF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668D1CDF"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Benzodiazepine: Schedule IV benzodiazepine medications.</w:t>
            </w:r>
          </w:p>
          <w:p w14:paraId="4E99932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74AFB1A2"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 Medications for Opioid Use Disorder: Methadone, buprenorphine and buprenorphine in combination with naloxone. </w:t>
            </w:r>
          </w:p>
          <w:p w14:paraId="133E8BF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618C3CCC"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Prescribed: The intent of the measure is to capture opioid and/or benzodiazepine medications continued or ordered at discharge</w:t>
            </w:r>
          </w:p>
          <w:p w14:paraId="5C05558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53AFA3DD"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Numerator criteria: Two or more unique orders for opioids, or an opioid and benzodiazepine at discharge</w:t>
            </w:r>
          </w:p>
        </w:tc>
      </w:tr>
      <w:tr w:rsidR="00524163" w:rsidRPr="00524163" w14:paraId="5B4FA67D"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4E05EB70"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Guidance</w:t>
            </w:r>
          </w:p>
        </w:tc>
        <w:tc>
          <w:tcPr>
            <w:tcW w:w="3825" w:type="pct"/>
            <w:gridSpan w:val="3"/>
            <w:shd w:val="clear" w:color="auto" w:fill="CCCCCC"/>
            <w:tcMar>
              <w:top w:w="57" w:type="dxa"/>
              <w:left w:w="113" w:type="dxa"/>
              <w:bottom w:w="57" w:type="dxa"/>
              <w:right w:w="113" w:type="dxa"/>
            </w:tcMar>
            <w:hideMark/>
          </w:tcPr>
          <w:p w14:paraId="54260FD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Clinician judgement, clinical appropriateness, or both may indicate concurrent prescribing of two unique opioids or an opioid and benzodiazepine is medically necessary, thus the measure is not expected to have a zero rate. </w:t>
            </w:r>
          </w:p>
          <w:p w14:paraId="533A7103"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040E6BFE"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New or continuing opioid and benzodiazepine medications are included with the use of the QDM “Medication, Discharge” datatype. This datatype indicates medications that should be taken by or given to the patient after being discharged from an inpatient encounter, which could include previously or newly prescribed medications. The definition of this datatype is located on eCQI Resource Center.</w:t>
            </w:r>
          </w:p>
          <w:p w14:paraId="385191F7"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2C598E64"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 xml:space="preserve">Inpatient hospitalizations with discharge medications of an opioid or benzodiazepine prescription should be included in the initial population. </w:t>
            </w:r>
          </w:p>
          <w:p w14:paraId="02B86E1F"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78653BED"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Inpatient hospitalizations with discharge medications of two or more opioids or an opioid and benzodiazepine resulting in concurrent therapy at discharge should be included in the numerator. Each benzodiazepine and opioid included on the medication discharge list is considered a unique prescription.</w:t>
            </w:r>
          </w:p>
          <w:p w14:paraId="5EB8FACB"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797A2CB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The denominator population includes patients with inpatient hospitalizations and patients from Acute Hospital Care at Home programs, who are treated and billed as inpatients but receive care in their home.</w:t>
            </w:r>
          </w:p>
          <w:p w14:paraId="5F1242B1"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5A9574D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This eCQM is an episode-based measure. An episode is defined as each inpatient hospitalization or encounter that ends during the measurement period.</w:t>
            </w:r>
          </w:p>
          <w:p w14:paraId="32AF3AB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p>
          <w:p w14:paraId="076C2838"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This version of the eCQM uses QDM version 5.6. Please refer to the eCQI Resource Center (https://ecqi.healthit.gov/qdm) for more information on the QDM.</w:t>
            </w:r>
          </w:p>
        </w:tc>
      </w:tr>
      <w:tr w:rsidR="00524163" w:rsidRPr="00524163" w14:paraId="0B354CC0"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9B2E174"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Transmission Format</w:t>
            </w:r>
          </w:p>
        </w:tc>
        <w:tc>
          <w:tcPr>
            <w:tcW w:w="3825" w:type="pct"/>
            <w:gridSpan w:val="3"/>
            <w:shd w:val="clear" w:color="auto" w:fill="CCCCCC"/>
            <w:tcMar>
              <w:top w:w="57" w:type="dxa"/>
              <w:left w:w="113" w:type="dxa"/>
              <w:bottom w:w="57" w:type="dxa"/>
              <w:right w:w="113" w:type="dxa"/>
            </w:tcMar>
            <w:hideMark/>
          </w:tcPr>
          <w:p w14:paraId="7E7FE30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TBD</w:t>
            </w:r>
          </w:p>
        </w:tc>
      </w:tr>
      <w:tr w:rsidR="00524163" w:rsidRPr="00524163" w14:paraId="610B7B64"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6CE2710"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Initial Population</w:t>
            </w:r>
          </w:p>
        </w:tc>
        <w:tc>
          <w:tcPr>
            <w:tcW w:w="3825" w:type="pct"/>
            <w:gridSpan w:val="3"/>
            <w:shd w:val="clear" w:color="auto" w:fill="CCCCCC"/>
            <w:tcMar>
              <w:top w:w="57" w:type="dxa"/>
              <w:left w:w="113" w:type="dxa"/>
              <w:bottom w:w="57" w:type="dxa"/>
              <w:right w:w="113" w:type="dxa"/>
            </w:tcMar>
            <w:hideMark/>
          </w:tcPr>
          <w:p w14:paraId="7DBD44F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Inpatient hospitalizations that end during the measurement period, where the patient is 18 years of age and older at the start of the encounter and prescribed one opioid and/or benzodiazepine at discharge</w:t>
            </w:r>
          </w:p>
        </w:tc>
      </w:tr>
      <w:tr w:rsidR="00524163" w:rsidRPr="00524163" w14:paraId="3680D153"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10898612"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Denominator</w:t>
            </w:r>
          </w:p>
        </w:tc>
        <w:tc>
          <w:tcPr>
            <w:tcW w:w="3825" w:type="pct"/>
            <w:gridSpan w:val="3"/>
            <w:shd w:val="clear" w:color="auto" w:fill="CCCCCC"/>
            <w:tcMar>
              <w:top w:w="57" w:type="dxa"/>
              <w:left w:w="113" w:type="dxa"/>
              <w:bottom w:w="57" w:type="dxa"/>
              <w:right w:w="113" w:type="dxa"/>
            </w:tcMar>
            <w:hideMark/>
          </w:tcPr>
          <w:p w14:paraId="06E912BF"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Equals Initial Population</w:t>
            </w:r>
          </w:p>
        </w:tc>
      </w:tr>
      <w:tr w:rsidR="00524163" w:rsidRPr="00524163" w14:paraId="7D7CF4B0"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06EB2FE1"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lastRenderedPageBreak/>
              <w:t>Denominator Exclusions</w:t>
            </w:r>
          </w:p>
        </w:tc>
        <w:tc>
          <w:tcPr>
            <w:tcW w:w="3825" w:type="pct"/>
            <w:gridSpan w:val="3"/>
            <w:shd w:val="clear" w:color="auto" w:fill="CCCCCC"/>
            <w:tcMar>
              <w:top w:w="57" w:type="dxa"/>
              <w:left w:w="113" w:type="dxa"/>
              <w:bottom w:w="57" w:type="dxa"/>
              <w:right w:w="113" w:type="dxa"/>
            </w:tcMar>
            <w:hideMark/>
          </w:tcPr>
          <w:p w14:paraId="07986C3C"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Inpatient hospitalizations where patients have cancer pain that begins prior to or during the encounter or are ordered or are receiving palliative or hospice care (including comfort measures, terminal care, and dying care) during the hospitalization or in an emergency department encounter or observation stay immediately prior to hospitalization, patients receiving medication for opioid use disorder (OUD) with active OUD diagnosis or Opioid Medication Assisted Treatment (MAT), patients with sickle cell disease, patients discharged to another inpatient care facility or left against medical advice, and patients who expire during the inpatient stay</w:t>
            </w:r>
          </w:p>
        </w:tc>
      </w:tr>
      <w:tr w:rsidR="00524163" w:rsidRPr="00524163" w14:paraId="023471EA"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DC3FB4C"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Numerator</w:t>
            </w:r>
          </w:p>
        </w:tc>
        <w:tc>
          <w:tcPr>
            <w:tcW w:w="3825" w:type="pct"/>
            <w:gridSpan w:val="3"/>
            <w:shd w:val="clear" w:color="auto" w:fill="CCCCCC"/>
            <w:tcMar>
              <w:top w:w="57" w:type="dxa"/>
              <w:left w:w="113" w:type="dxa"/>
              <w:bottom w:w="57" w:type="dxa"/>
              <w:right w:w="113" w:type="dxa"/>
            </w:tcMar>
            <w:hideMark/>
          </w:tcPr>
          <w:p w14:paraId="228C7A16"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Inpatient hospitalizations where the patient is prescribed two or more opioids or an opioid and benzodiazepine at discharge</w:t>
            </w:r>
          </w:p>
        </w:tc>
      </w:tr>
      <w:tr w:rsidR="00524163" w:rsidRPr="00524163" w14:paraId="1AD451BF"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3102E245"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Numerator Exclusions</w:t>
            </w:r>
          </w:p>
        </w:tc>
        <w:tc>
          <w:tcPr>
            <w:tcW w:w="3825" w:type="pct"/>
            <w:gridSpan w:val="3"/>
            <w:shd w:val="clear" w:color="auto" w:fill="CCCCCC"/>
            <w:tcMar>
              <w:top w:w="57" w:type="dxa"/>
              <w:left w:w="113" w:type="dxa"/>
              <w:bottom w:w="57" w:type="dxa"/>
              <w:right w:w="113" w:type="dxa"/>
            </w:tcMar>
            <w:hideMark/>
          </w:tcPr>
          <w:p w14:paraId="56AF36C0"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None</w:t>
            </w:r>
          </w:p>
        </w:tc>
      </w:tr>
      <w:tr w:rsidR="00524163" w:rsidRPr="00524163" w14:paraId="7B15AE17"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5E50D8BD"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Denominator Exceptions</w:t>
            </w:r>
          </w:p>
        </w:tc>
        <w:tc>
          <w:tcPr>
            <w:tcW w:w="3825" w:type="pct"/>
            <w:gridSpan w:val="3"/>
            <w:shd w:val="clear" w:color="auto" w:fill="CCCCCC"/>
            <w:tcMar>
              <w:top w:w="57" w:type="dxa"/>
              <w:left w:w="113" w:type="dxa"/>
              <w:bottom w:w="57" w:type="dxa"/>
              <w:right w:w="113" w:type="dxa"/>
            </w:tcMar>
            <w:hideMark/>
          </w:tcPr>
          <w:p w14:paraId="5E97A805"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None</w:t>
            </w:r>
          </w:p>
        </w:tc>
      </w:tr>
      <w:tr w:rsidR="00524163" w:rsidRPr="00524163" w14:paraId="64D8A58A" w14:textId="77777777" w:rsidTr="009C578F">
        <w:trPr>
          <w:tblCellSpacing w:w="15" w:type="dxa"/>
        </w:trPr>
        <w:tc>
          <w:tcPr>
            <w:tcW w:w="1127" w:type="pct"/>
            <w:shd w:val="clear" w:color="auto" w:fill="656565"/>
            <w:tcMar>
              <w:top w:w="57" w:type="dxa"/>
              <w:left w:w="113" w:type="dxa"/>
              <w:bottom w:w="57" w:type="dxa"/>
              <w:right w:w="113" w:type="dxa"/>
            </w:tcMar>
            <w:vAlign w:val="center"/>
            <w:hideMark/>
          </w:tcPr>
          <w:p w14:paraId="09C4A63D" w14:textId="77777777" w:rsidR="00524163" w:rsidRPr="00524163" w:rsidRDefault="00524163" w:rsidP="00524163">
            <w:pPr>
              <w:spacing w:after="0" w:line="240" w:lineRule="auto"/>
              <w:rPr>
                <w:rFonts w:ascii="Verdana" w:eastAsia="Times New Roman" w:hAnsi="Verdana" w:cs="Times New Roman"/>
                <w:b/>
                <w:bCs/>
                <w:sz w:val="17"/>
                <w:szCs w:val="17"/>
              </w:rPr>
            </w:pPr>
            <w:r w:rsidRPr="00524163">
              <w:rPr>
                <w:rFonts w:ascii="Verdana" w:eastAsia="Times New Roman" w:hAnsi="Verdana" w:cs="Times New Roman"/>
                <w:b/>
                <w:bCs/>
                <w:color w:val="FFFFFF"/>
                <w:sz w:val="17"/>
                <w:szCs w:val="17"/>
              </w:rPr>
              <w:t>Supplemental Data Elements</w:t>
            </w:r>
          </w:p>
        </w:tc>
        <w:tc>
          <w:tcPr>
            <w:tcW w:w="3825" w:type="pct"/>
            <w:gridSpan w:val="3"/>
            <w:shd w:val="clear" w:color="auto" w:fill="CCCCCC"/>
            <w:tcMar>
              <w:top w:w="57" w:type="dxa"/>
              <w:left w:w="113" w:type="dxa"/>
              <w:bottom w:w="57" w:type="dxa"/>
              <w:right w:w="113" w:type="dxa"/>
            </w:tcMar>
            <w:hideMark/>
          </w:tcPr>
          <w:p w14:paraId="582A2BA1" w14:textId="77777777" w:rsidR="00524163" w:rsidRPr="00524163" w:rsidRDefault="00524163" w:rsidP="005241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Verdana" w:eastAsia="Times New Roman" w:hAnsi="Verdana" w:cs="Courier New"/>
                <w:sz w:val="17"/>
                <w:szCs w:val="17"/>
              </w:rPr>
            </w:pPr>
            <w:r w:rsidRPr="00524163">
              <w:rPr>
                <w:rFonts w:ascii="Verdana" w:eastAsia="Times New Roman" w:hAnsi="Verdana" w:cs="Courier New"/>
                <w:sz w:val="17"/>
                <w:szCs w:val="17"/>
              </w:rPr>
              <w:t>For every patient evaluated by this measure also identify payer, race, ethnicity and sex</w:t>
            </w:r>
          </w:p>
        </w:tc>
      </w:tr>
    </w:tbl>
    <w:p w14:paraId="179A6E05" w14:textId="77777777" w:rsidR="00DB1812" w:rsidRDefault="00DB1812" w:rsidP="00547C4C">
      <w:pPr>
        <w:pStyle w:val="ExhibitSource"/>
        <w:sectPr w:rsidR="00DB1812" w:rsidSect="00161739">
          <w:headerReference w:type="even" r:id="rId86"/>
          <w:headerReference w:type="default" r:id="rId87"/>
          <w:footerReference w:type="default" r:id="rId88"/>
          <w:headerReference w:type="first" r:id="rId89"/>
          <w:footerReference w:type="first" r:id="rId90"/>
          <w:pgSz w:w="12240" w:h="15840"/>
          <w:pgMar w:top="1440" w:right="1440" w:bottom="1440" w:left="1440" w:header="504" w:footer="504" w:gutter="0"/>
          <w:cols w:space="720"/>
          <w:titlePg/>
        </w:sectPr>
      </w:pPr>
    </w:p>
    <w:p w14:paraId="315222AA" w14:textId="77777777" w:rsidR="00161739" w:rsidRPr="001141A7" w:rsidRDefault="00161739" w:rsidP="00AA7310">
      <w:pPr>
        <w:pStyle w:val="AppendixTitle"/>
      </w:pPr>
      <w:bookmarkStart w:id="1229" w:name="_Toc190852979"/>
      <w:bookmarkStart w:id="1230" w:name="_Toc195047581"/>
      <w:bookmarkStart w:id="1231" w:name="_Hlk193803567"/>
      <w:r w:rsidRPr="001141A7">
        <w:lastRenderedPageBreak/>
        <w:t>Acronyms</w:t>
      </w:r>
      <w:bookmarkEnd w:id="1228"/>
      <w:bookmarkEnd w:id="1229"/>
      <w:bookmarkEnd w:id="1230"/>
    </w:p>
    <w:tbl>
      <w:tblPr>
        <w:tblW w:w="9360" w:type="dxa"/>
        <w:tblLayout w:type="fixed"/>
        <w:tblCellMar>
          <w:left w:w="115" w:type="dxa"/>
          <w:right w:w="115" w:type="dxa"/>
        </w:tblCellMar>
        <w:tblLook w:val="0000" w:firstRow="0" w:lastRow="0" w:firstColumn="0" w:lastColumn="0" w:noHBand="0" w:noVBand="0"/>
      </w:tblPr>
      <w:tblGrid>
        <w:gridCol w:w="2160"/>
        <w:gridCol w:w="7200"/>
      </w:tblGrid>
      <w:tr w:rsidR="00161739" w:rsidRPr="00D56154" w14:paraId="45326656" w14:textId="77777777" w:rsidTr="00AA7310">
        <w:tc>
          <w:tcPr>
            <w:tcW w:w="2160" w:type="dxa"/>
          </w:tcPr>
          <w:p w14:paraId="37089ADE" w14:textId="77777777" w:rsidR="00161739" w:rsidRPr="00AA7310" w:rsidRDefault="00161739" w:rsidP="00AA7310">
            <w:pPr>
              <w:pStyle w:val="Paragraph"/>
              <w:rPr>
                <w:b/>
                <w:bCs/>
              </w:rPr>
            </w:pPr>
            <w:r w:rsidRPr="00AA7310">
              <w:rPr>
                <w:b/>
                <w:bCs/>
              </w:rPr>
              <w:t>ANSI</w:t>
            </w:r>
          </w:p>
        </w:tc>
        <w:tc>
          <w:tcPr>
            <w:tcW w:w="7200" w:type="dxa"/>
          </w:tcPr>
          <w:p w14:paraId="6029F895" w14:textId="77777777" w:rsidR="00161739" w:rsidRPr="00D56154" w:rsidRDefault="00161739" w:rsidP="00AA7310">
            <w:pPr>
              <w:pStyle w:val="Paragraph"/>
            </w:pPr>
            <w:r w:rsidRPr="00D56154">
              <w:t>American National Standards Institute</w:t>
            </w:r>
          </w:p>
        </w:tc>
      </w:tr>
      <w:bookmarkEnd w:id="361"/>
      <w:tr w:rsidR="00161739" w:rsidRPr="00D56154" w14:paraId="5301B10A" w14:textId="77777777" w:rsidTr="00AA7310">
        <w:tc>
          <w:tcPr>
            <w:tcW w:w="2160" w:type="dxa"/>
          </w:tcPr>
          <w:p w14:paraId="398CD4E6" w14:textId="77777777" w:rsidR="00161739" w:rsidRPr="00AA7310" w:rsidRDefault="00161739" w:rsidP="00AA7310">
            <w:pPr>
              <w:pStyle w:val="Paragraph"/>
              <w:rPr>
                <w:b/>
                <w:bCs/>
              </w:rPr>
            </w:pPr>
            <w:r w:rsidRPr="00AA7310">
              <w:rPr>
                <w:b/>
                <w:bCs/>
              </w:rPr>
              <w:t>ASTP</w:t>
            </w:r>
          </w:p>
        </w:tc>
        <w:tc>
          <w:tcPr>
            <w:tcW w:w="7200" w:type="dxa"/>
          </w:tcPr>
          <w:p w14:paraId="6AD0455B" w14:textId="77777777" w:rsidR="00161739" w:rsidRPr="00D56154" w:rsidRDefault="00161739" w:rsidP="00AA7310">
            <w:pPr>
              <w:pStyle w:val="Paragraph"/>
            </w:pPr>
            <w:r w:rsidRPr="00D56154">
              <w:t>Assistant Secretary for Technology Policy</w:t>
            </w:r>
          </w:p>
        </w:tc>
      </w:tr>
      <w:tr w:rsidR="00161739" w:rsidRPr="00D56154" w14:paraId="7371A030" w14:textId="77777777" w:rsidTr="00AA7310">
        <w:tc>
          <w:tcPr>
            <w:tcW w:w="2160" w:type="dxa"/>
          </w:tcPr>
          <w:p w14:paraId="02F1A594" w14:textId="77777777" w:rsidR="00161739" w:rsidRPr="00AA7310" w:rsidRDefault="00161739" w:rsidP="00AA7310">
            <w:pPr>
              <w:pStyle w:val="Paragraph"/>
              <w:rPr>
                <w:b/>
                <w:bCs/>
              </w:rPr>
            </w:pPr>
            <w:r w:rsidRPr="00AA7310">
              <w:rPr>
                <w:b/>
                <w:bCs/>
              </w:rPr>
              <w:t>CBE</w:t>
            </w:r>
          </w:p>
        </w:tc>
        <w:tc>
          <w:tcPr>
            <w:tcW w:w="7200" w:type="dxa"/>
          </w:tcPr>
          <w:p w14:paraId="0B69C32F" w14:textId="77777777" w:rsidR="00161739" w:rsidRPr="00D56154" w:rsidRDefault="00161739" w:rsidP="00AA7310">
            <w:pPr>
              <w:pStyle w:val="Paragraph"/>
            </w:pPr>
            <w:r w:rsidRPr="00D56154">
              <w:t>consensus-based entity</w:t>
            </w:r>
          </w:p>
        </w:tc>
      </w:tr>
      <w:tr w:rsidR="00161739" w:rsidRPr="00D56154" w14:paraId="3870C744" w14:textId="77777777" w:rsidTr="00AA7310">
        <w:tc>
          <w:tcPr>
            <w:tcW w:w="2160" w:type="dxa"/>
          </w:tcPr>
          <w:p w14:paraId="691B5886" w14:textId="77777777" w:rsidR="00161739" w:rsidRPr="00AA7310" w:rsidRDefault="00161739" w:rsidP="00AA7310">
            <w:pPr>
              <w:pStyle w:val="Paragraph"/>
              <w:rPr>
                <w:b/>
                <w:bCs/>
              </w:rPr>
            </w:pPr>
            <w:r w:rsidRPr="00AA7310">
              <w:rPr>
                <w:b/>
                <w:bCs/>
              </w:rPr>
              <w:t>CMS</w:t>
            </w:r>
          </w:p>
        </w:tc>
        <w:tc>
          <w:tcPr>
            <w:tcW w:w="7200" w:type="dxa"/>
          </w:tcPr>
          <w:p w14:paraId="591FEA6A" w14:textId="77777777" w:rsidR="00161739" w:rsidRPr="00D56154" w:rsidRDefault="00161739" w:rsidP="00AA7310">
            <w:pPr>
              <w:pStyle w:val="Paragraph"/>
            </w:pPr>
            <w:r w:rsidRPr="00D56154">
              <w:t>Centers for Medicare &amp; Medicaid Services</w:t>
            </w:r>
          </w:p>
        </w:tc>
      </w:tr>
      <w:tr w:rsidR="00161739" w:rsidRPr="00D56154" w14:paraId="1CEAC378" w14:textId="77777777" w:rsidTr="00AA7310">
        <w:tc>
          <w:tcPr>
            <w:tcW w:w="2160" w:type="dxa"/>
          </w:tcPr>
          <w:p w14:paraId="59993E9D" w14:textId="77777777" w:rsidR="00161739" w:rsidRPr="00AA7310" w:rsidRDefault="00161739" w:rsidP="00AA7310">
            <w:pPr>
              <w:pStyle w:val="Paragraph"/>
              <w:rPr>
                <w:b/>
                <w:bCs/>
              </w:rPr>
            </w:pPr>
            <w:r w:rsidRPr="00AA7310">
              <w:rPr>
                <w:b/>
                <w:bCs/>
              </w:rPr>
              <w:t>CPT</w:t>
            </w:r>
          </w:p>
        </w:tc>
        <w:tc>
          <w:tcPr>
            <w:tcW w:w="7200" w:type="dxa"/>
          </w:tcPr>
          <w:p w14:paraId="6703EEBD" w14:textId="77777777" w:rsidR="00161739" w:rsidRPr="00D56154" w:rsidRDefault="00161739" w:rsidP="00AA7310">
            <w:pPr>
              <w:pStyle w:val="Paragraph"/>
            </w:pPr>
            <w:r w:rsidRPr="00D56154">
              <w:t>Current Procedural Terminology</w:t>
            </w:r>
          </w:p>
        </w:tc>
      </w:tr>
      <w:tr w:rsidR="00161739" w:rsidRPr="00D56154" w14:paraId="50604164" w14:textId="77777777" w:rsidTr="00AA7310">
        <w:tc>
          <w:tcPr>
            <w:tcW w:w="2160" w:type="dxa"/>
          </w:tcPr>
          <w:p w14:paraId="7559A144" w14:textId="77777777" w:rsidR="00161739" w:rsidRPr="00AA7310" w:rsidRDefault="00161739" w:rsidP="00AA7310">
            <w:pPr>
              <w:pStyle w:val="Paragraph"/>
              <w:rPr>
                <w:b/>
                <w:bCs/>
              </w:rPr>
            </w:pPr>
            <w:r w:rsidRPr="00AA7310">
              <w:rPr>
                <w:b/>
                <w:bCs/>
              </w:rPr>
              <w:t>CQL</w:t>
            </w:r>
          </w:p>
        </w:tc>
        <w:tc>
          <w:tcPr>
            <w:tcW w:w="7200" w:type="dxa"/>
          </w:tcPr>
          <w:p w14:paraId="0A8CA345" w14:textId="77777777" w:rsidR="00161739" w:rsidRPr="00D56154" w:rsidRDefault="00161739" w:rsidP="00AA7310">
            <w:pPr>
              <w:pStyle w:val="Paragraph"/>
            </w:pPr>
            <w:r w:rsidRPr="00D56154">
              <w:t>Clinical Quality Language</w:t>
            </w:r>
          </w:p>
        </w:tc>
      </w:tr>
      <w:tr w:rsidR="00161739" w:rsidRPr="00D56154" w14:paraId="1E3B7AE9" w14:textId="77777777" w:rsidTr="00AA7310">
        <w:tc>
          <w:tcPr>
            <w:tcW w:w="2160" w:type="dxa"/>
          </w:tcPr>
          <w:p w14:paraId="17B9836E" w14:textId="77777777" w:rsidR="00161739" w:rsidRPr="00AA7310" w:rsidRDefault="00161739" w:rsidP="00AA7310">
            <w:pPr>
              <w:pStyle w:val="Paragraph"/>
              <w:rPr>
                <w:b/>
                <w:bCs/>
              </w:rPr>
            </w:pPr>
            <w:r w:rsidRPr="00AA7310">
              <w:rPr>
                <w:b/>
                <w:bCs/>
              </w:rPr>
              <w:t>DRC</w:t>
            </w:r>
          </w:p>
        </w:tc>
        <w:tc>
          <w:tcPr>
            <w:tcW w:w="7200" w:type="dxa"/>
          </w:tcPr>
          <w:p w14:paraId="42F3CE3B" w14:textId="77777777" w:rsidR="00161739" w:rsidRPr="00D56154" w:rsidRDefault="00161739" w:rsidP="00AA7310">
            <w:pPr>
              <w:pStyle w:val="Paragraph"/>
            </w:pPr>
            <w:r>
              <w:t>direct reference code</w:t>
            </w:r>
          </w:p>
        </w:tc>
      </w:tr>
      <w:tr w:rsidR="00161739" w:rsidRPr="00D56154" w14:paraId="1587DE84" w14:textId="77777777" w:rsidTr="00AA7310">
        <w:tc>
          <w:tcPr>
            <w:tcW w:w="2160" w:type="dxa"/>
          </w:tcPr>
          <w:p w14:paraId="6AE70F70" w14:textId="77777777" w:rsidR="00161739" w:rsidRPr="00AA7310" w:rsidRDefault="00161739" w:rsidP="00AA7310">
            <w:pPr>
              <w:pStyle w:val="Paragraph"/>
              <w:rPr>
                <w:b/>
                <w:bCs/>
              </w:rPr>
            </w:pPr>
            <w:r w:rsidRPr="00AA7310">
              <w:rPr>
                <w:b/>
                <w:bCs/>
              </w:rPr>
              <w:t>eCQI</w:t>
            </w:r>
          </w:p>
        </w:tc>
        <w:tc>
          <w:tcPr>
            <w:tcW w:w="7200" w:type="dxa"/>
          </w:tcPr>
          <w:p w14:paraId="3D4830E0" w14:textId="77777777" w:rsidR="00161739" w:rsidRPr="00D56154" w:rsidRDefault="00161739" w:rsidP="00AA7310">
            <w:pPr>
              <w:pStyle w:val="Paragraph"/>
            </w:pPr>
            <w:r w:rsidRPr="00D56154">
              <w:t>electronic clinical quality improvement</w:t>
            </w:r>
          </w:p>
        </w:tc>
      </w:tr>
      <w:tr w:rsidR="00161739" w:rsidRPr="00D56154" w14:paraId="388A4499" w14:textId="77777777" w:rsidTr="00AA7310">
        <w:tc>
          <w:tcPr>
            <w:tcW w:w="2160" w:type="dxa"/>
          </w:tcPr>
          <w:p w14:paraId="187018F7" w14:textId="77777777" w:rsidR="00161739" w:rsidRPr="00AA7310" w:rsidRDefault="00161739" w:rsidP="00AA7310">
            <w:pPr>
              <w:pStyle w:val="Paragraph"/>
              <w:rPr>
                <w:b/>
                <w:bCs/>
              </w:rPr>
            </w:pPr>
            <w:r w:rsidRPr="00AA7310">
              <w:rPr>
                <w:b/>
                <w:bCs/>
              </w:rPr>
              <w:t>eCQM</w:t>
            </w:r>
          </w:p>
        </w:tc>
        <w:tc>
          <w:tcPr>
            <w:tcW w:w="7200" w:type="dxa"/>
          </w:tcPr>
          <w:p w14:paraId="1F7A7940" w14:textId="77777777" w:rsidR="00161739" w:rsidRPr="00D56154" w:rsidRDefault="00161739" w:rsidP="00AA7310">
            <w:pPr>
              <w:pStyle w:val="Paragraph"/>
            </w:pPr>
            <w:r w:rsidRPr="00D56154">
              <w:t>electronic clinical quality measure</w:t>
            </w:r>
          </w:p>
        </w:tc>
      </w:tr>
      <w:tr w:rsidR="00161739" w:rsidRPr="00D56154" w14:paraId="0758276B" w14:textId="77777777" w:rsidTr="00AA7310">
        <w:tc>
          <w:tcPr>
            <w:tcW w:w="2160" w:type="dxa"/>
          </w:tcPr>
          <w:p w14:paraId="2B766BD6" w14:textId="77777777" w:rsidR="00161739" w:rsidRPr="00AA7310" w:rsidRDefault="00161739" w:rsidP="00AA7310">
            <w:pPr>
              <w:pStyle w:val="Paragraph"/>
              <w:rPr>
                <w:b/>
                <w:bCs/>
              </w:rPr>
            </w:pPr>
            <w:r w:rsidRPr="00AA7310">
              <w:rPr>
                <w:b/>
                <w:bCs/>
              </w:rPr>
              <w:t>ED</w:t>
            </w:r>
          </w:p>
        </w:tc>
        <w:tc>
          <w:tcPr>
            <w:tcW w:w="7200" w:type="dxa"/>
          </w:tcPr>
          <w:p w14:paraId="7913CACE" w14:textId="77777777" w:rsidR="00161739" w:rsidRPr="00D56154" w:rsidRDefault="00161739" w:rsidP="00AA7310">
            <w:pPr>
              <w:pStyle w:val="Paragraph"/>
            </w:pPr>
            <w:r w:rsidRPr="00D56154">
              <w:t>emergency department</w:t>
            </w:r>
          </w:p>
        </w:tc>
      </w:tr>
      <w:tr w:rsidR="00161739" w:rsidRPr="00D56154" w14:paraId="07479558" w14:textId="77777777" w:rsidTr="00AA7310">
        <w:tc>
          <w:tcPr>
            <w:tcW w:w="2160" w:type="dxa"/>
          </w:tcPr>
          <w:p w14:paraId="5BECDA9C" w14:textId="77777777" w:rsidR="00161739" w:rsidRPr="00AA7310" w:rsidRDefault="00161739" w:rsidP="00AA7310">
            <w:pPr>
              <w:pStyle w:val="Paragraph"/>
              <w:rPr>
                <w:b/>
                <w:bCs/>
              </w:rPr>
            </w:pPr>
            <w:r w:rsidRPr="00AA7310">
              <w:rPr>
                <w:b/>
                <w:bCs/>
              </w:rPr>
              <w:t>EHR</w:t>
            </w:r>
          </w:p>
        </w:tc>
        <w:tc>
          <w:tcPr>
            <w:tcW w:w="7200" w:type="dxa"/>
          </w:tcPr>
          <w:p w14:paraId="288B68FE" w14:textId="77777777" w:rsidR="00161739" w:rsidRPr="00D56154" w:rsidRDefault="00161739" w:rsidP="00AA7310">
            <w:pPr>
              <w:pStyle w:val="Paragraph"/>
            </w:pPr>
            <w:r w:rsidRPr="00D56154">
              <w:t>electronic health records</w:t>
            </w:r>
          </w:p>
        </w:tc>
      </w:tr>
      <w:tr w:rsidR="00161739" w:rsidRPr="00D56154" w14:paraId="3529104E" w14:textId="77777777" w:rsidTr="00AA7310">
        <w:trPr>
          <w:trHeight w:val="323"/>
        </w:trPr>
        <w:tc>
          <w:tcPr>
            <w:tcW w:w="2160" w:type="dxa"/>
          </w:tcPr>
          <w:p w14:paraId="603905DE" w14:textId="77777777" w:rsidR="00161739" w:rsidRPr="00AA7310" w:rsidRDefault="00161739" w:rsidP="00AA7310">
            <w:pPr>
              <w:pStyle w:val="Paragraph"/>
              <w:rPr>
                <w:b/>
                <w:bCs/>
              </w:rPr>
            </w:pPr>
            <w:r w:rsidRPr="00AA7310">
              <w:rPr>
                <w:b/>
                <w:bCs/>
              </w:rPr>
              <w:t>ELM</w:t>
            </w:r>
          </w:p>
        </w:tc>
        <w:tc>
          <w:tcPr>
            <w:tcW w:w="7200" w:type="dxa"/>
          </w:tcPr>
          <w:p w14:paraId="06A2F8A2" w14:textId="77777777" w:rsidR="00161739" w:rsidRPr="00D56154" w:rsidRDefault="00161739" w:rsidP="00AA7310">
            <w:pPr>
              <w:pStyle w:val="Paragraph"/>
            </w:pPr>
            <w:r w:rsidRPr="00D56154">
              <w:t>Expression Logical Model</w:t>
            </w:r>
          </w:p>
        </w:tc>
      </w:tr>
      <w:tr w:rsidR="00161739" w:rsidRPr="00D56154" w14:paraId="287BC1C5" w14:textId="77777777" w:rsidTr="00AA7310">
        <w:trPr>
          <w:trHeight w:val="323"/>
        </w:trPr>
        <w:tc>
          <w:tcPr>
            <w:tcW w:w="2160" w:type="dxa"/>
          </w:tcPr>
          <w:p w14:paraId="036355AF" w14:textId="77777777" w:rsidR="00161739" w:rsidRPr="00AA7310" w:rsidRDefault="00161739" w:rsidP="00AA7310">
            <w:pPr>
              <w:pStyle w:val="Paragraph"/>
              <w:rPr>
                <w:b/>
                <w:bCs/>
              </w:rPr>
            </w:pPr>
            <w:r w:rsidRPr="00AA7310">
              <w:rPr>
                <w:b/>
                <w:bCs/>
              </w:rPr>
              <w:t>GUID</w:t>
            </w:r>
          </w:p>
        </w:tc>
        <w:tc>
          <w:tcPr>
            <w:tcW w:w="7200" w:type="dxa"/>
          </w:tcPr>
          <w:p w14:paraId="14DAC9C8" w14:textId="77777777" w:rsidR="00161739" w:rsidRPr="00D56154" w:rsidRDefault="00161739" w:rsidP="00AA7310">
            <w:pPr>
              <w:pStyle w:val="Paragraph"/>
            </w:pPr>
            <w:r w:rsidRPr="00D56154">
              <w:t>globally unique identifier</w:t>
            </w:r>
          </w:p>
        </w:tc>
      </w:tr>
      <w:tr w:rsidR="00161739" w:rsidRPr="00D56154" w14:paraId="362DCE47" w14:textId="77777777" w:rsidTr="00AA7310">
        <w:trPr>
          <w:trHeight w:val="323"/>
        </w:trPr>
        <w:tc>
          <w:tcPr>
            <w:tcW w:w="2160" w:type="dxa"/>
          </w:tcPr>
          <w:p w14:paraId="2EC55A50" w14:textId="77777777" w:rsidR="00161739" w:rsidRPr="00AA7310" w:rsidRDefault="00161739" w:rsidP="00AA7310">
            <w:pPr>
              <w:pStyle w:val="Paragraph"/>
              <w:rPr>
                <w:b/>
                <w:bCs/>
              </w:rPr>
            </w:pPr>
            <w:r w:rsidRPr="00AA7310">
              <w:rPr>
                <w:b/>
                <w:bCs/>
              </w:rPr>
              <w:t>Health IT</w:t>
            </w:r>
          </w:p>
        </w:tc>
        <w:tc>
          <w:tcPr>
            <w:tcW w:w="7200" w:type="dxa"/>
          </w:tcPr>
          <w:p w14:paraId="64268E4B" w14:textId="77777777" w:rsidR="00161739" w:rsidRPr="00D56154" w:rsidRDefault="00161739" w:rsidP="00AA7310">
            <w:pPr>
              <w:pStyle w:val="Paragraph"/>
            </w:pPr>
            <w:r w:rsidRPr="00D56154">
              <w:t>health information technology</w:t>
            </w:r>
          </w:p>
        </w:tc>
      </w:tr>
      <w:tr w:rsidR="00161739" w:rsidRPr="00D56154" w14:paraId="7A7B96DA" w14:textId="77777777" w:rsidTr="00AA7310">
        <w:trPr>
          <w:trHeight w:val="323"/>
        </w:trPr>
        <w:tc>
          <w:tcPr>
            <w:tcW w:w="2160" w:type="dxa"/>
          </w:tcPr>
          <w:p w14:paraId="164F5D60" w14:textId="77777777" w:rsidR="00161739" w:rsidRPr="00AA7310" w:rsidRDefault="00161739" w:rsidP="00AA7310">
            <w:pPr>
              <w:pStyle w:val="Paragraph"/>
              <w:rPr>
                <w:b/>
                <w:bCs/>
              </w:rPr>
            </w:pPr>
            <w:r w:rsidRPr="00AA7310">
              <w:rPr>
                <w:b/>
                <w:bCs/>
              </w:rPr>
              <w:t>HL7</w:t>
            </w:r>
            <w:r w:rsidRPr="00AA7310">
              <w:rPr>
                <w:b/>
                <w:bCs/>
                <w:vertAlign w:val="superscript"/>
              </w:rPr>
              <w:t>®</w:t>
            </w:r>
          </w:p>
        </w:tc>
        <w:tc>
          <w:tcPr>
            <w:tcW w:w="7200" w:type="dxa"/>
          </w:tcPr>
          <w:p w14:paraId="7DBDEEB5" w14:textId="77777777" w:rsidR="00161739" w:rsidRPr="00D56154" w:rsidRDefault="00161739" w:rsidP="00AA7310">
            <w:pPr>
              <w:pStyle w:val="Paragraph"/>
            </w:pPr>
            <w:r w:rsidRPr="00D56154">
              <w:t>Health Level Seven International</w:t>
            </w:r>
            <w:r w:rsidRPr="00D56154">
              <w:rPr>
                <w:vertAlign w:val="superscript"/>
              </w:rPr>
              <w:t>®</w:t>
            </w:r>
          </w:p>
        </w:tc>
      </w:tr>
      <w:tr w:rsidR="00161739" w:rsidRPr="00D56154" w14:paraId="728A9DA7" w14:textId="77777777" w:rsidTr="00AA7310">
        <w:tc>
          <w:tcPr>
            <w:tcW w:w="2160" w:type="dxa"/>
          </w:tcPr>
          <w:p w14:paraId="72572832" w14:textId="77777777" w:rsidR="00161739" w:rsidRPr="00AA7310" w:rsidRDefault="00161739" w:rsidP="00AA7310">
            <w:pPr>
              <w:pStyle w:val="Paragraph"/>
              <w:rPr>
                <w:b/>
                <w:bCs/>
              </w:rPr>
            </w:pPr>
            <w:r w:rsidRPr="00AA7310">
              <w:rPr>
                <w:b/>
                <w:bCs/>
              </w:rPr>
              <w:t>HQMF</w:t>
            </w:r>
          </w:p>
        </w:tc>
        <w:tc>
          <w:tcPr>
            <w:tcW w:w="7200" w:type="dxa"/>
          </w:tcPr>
          <w:p w14:paraId="14AE01E0" w14:textId="77777777" w:rsidR="00161739" w:rsidRPr="00D56154" w:rsidRDefault="00161739" w:rsidP="00AA7310">
            <w:pPr>
              <w:pStyle w:val="Paragraph"/>
            </w:pPr>
            <w:r w:rsidRPr="00D56154">
              <w:t>Health Quality Measure Format</w:t>
            </w:r>
          </w:p>
        </w:tc>
      </w:tr>
      <w:tr w:rsidR="00161739" w:rsidRPr="00D56154" w14:paraId="4756E93F" w14:textId="77777777" w:rsidTr="00AA7310">
        <w:tc>
          <w:tcPr>
            <w:tcW w:w="2160" w:type="dxa"/>
          </w:tcPr>
          <w:p w14:paraId="4ACF011C" w14:textId="77777777" w:rsidR="00161739" w:rsidRPr="00AA7310" w:rsidRDefault="00161739" w:rsidP="00AA7310">
            <w:pPr>
              <w:pStyle w:val="Paragraph"/>
              <w:rPr>
                <w:b/>
                <w:bCs/>
              </w:rPr>
            </w:pPr>
            <w:r w:rsidRPr="00AA7310">
              <w:rPr>
                <w:b/>
                <w:bCs/>
              </w:rPr>
              <w:t>HTML</w:t>
            </w:r>
          </w:p>
        </w:tc>
        <w:tc>
          <w:tcPr>
            <w:tcW w:w="7200" w:type="dxa"/>
          </w:tcPr>
          <w:p w14:paraId="026A6951" w14:textId="77777777" w:rsidR="00161739" w:rsidRPr="00D56154" w:rsidRDefault="00161739" w:rsidP="00AA7310">
            <w:pPr>
              <w:pStyle w:val="Paragraph"/>
            </w:pPr>
            <w:r w:rsidRPr="00D56154">
              <w:t>Hypertext Markup Language</w:t>
            </w:r>
          </w:p>
        </w:tc>
      </w:tr>
      <w:tr w:rsidR="00161739" w:rsidRPr="00D56154" w14:paraId="714A14FE" w14:textId="77777777" w:rsidTr="00AA7310">
        <w:tc>
          <w:tcPr>
            <w:tcW w:w="2160" w:type="dxa"/>
          </w:tcPr>
          <w:p w14:paraId="6C3EDECB" w14:textId="77777777" w:rsidR="00161739" w:rsidRPr="00AA7310" w:rsidRDefault="00161739" w:rsidP="00AA7310">
            <w:pPr>
              <w:pStyle w:val="Paragraph"/>
              <w:rPr>
                <w:b/>
                <w:bCs/>
              </w:rPr>
            </w:pPr>
            <w:r w:rsidRPr="00AA7310">
              <w:rPr>
                <w:b/>
                <w:bCs/>
              </w:rPr>
              <w:t>ICD-10-CM</w:t>
            </w:r>
          </w:p>
        </w:tc>
        <w:tc>
          <w:tcPr>
            <w:tcW w:w="7200" w:type="dxa"/>
          </w:tcPr>
          <w:p w14:paraId="42F5F879" w14:textId="77777777" w:rsidR="00161739" w:rsidRPr="00D56154" w:rsidRDefault="00161739" w:rsidP="00AA7310">
            <w:pPr>
              <w:pStyle w:val="Paragraph"/>
            </w:pPr>
            <w:r w:rsidRPr="00D56154">
              <w:t>International Classification of Diseases, Tenth Revision, Clinical Modification</w:t>
            </w:r>
          </w:p>
        </w:tc>
      </w:tr>
      <w:tr w:rsidR="00161739" w:rsidRPr="00D56154" w14:paraId="0205C193" w14:textId="77777777" w:rsidTr="00AA7310">
        <w:tc>
          <w:tcPr>
            <w:tcW w:w="2160" w:type="dxa"/>
          </w:tcPr>
          <w:p w14:paraId="421448B6" w14:textId="77777777" w:rsidR="00161739" w:rsidRPr="00AA7310" w:rsidRDefault="00161739" w:rsidP="00AA7310">
            <w:pPr>
              <w:pStyle w:val="Paragraph"/>
              <w:rPr>
                <w:b/>
                <w:bCs/>
              </w:rPr>
            </w:pPr>
            <w:r w:rsidRPr="00AA7310">
              <w:rPr>
                <w:b/>
                <w:bCs/>
              </w:rPr>
              <w:t>JSON</w:t>
            </w:r>
          </w:p>
        </w:tc>
        <w:tc>
          <w:tcPr>
            <w:tcW w:w="7200" w:type="dxa"/>
          </w:tcPr>
          <w:p w14:paraId="1F365273" w14:textId="77777777" w:rsidR="00161739" w:rsidRPr="00D56154" w:rsidRDefault="00161739" w:rsidP="00AA7310">
            <w:pPr>
              <w:pStyle w:val="Paragraph"/>
            </w:pPr>
            <w:r w:rsidRPr="00D56154">
              <w:t>JavaScript Object Notation</w:t>
            </w:r>
          </w:p>
        </w:tc>
      </w:tr>
      <w:tr w:rsidR="00161739" w:rsidRPr="00D56154" w14:paraId="03AE7F62" w14:textId="77777777" w:rsidTr="00AA7310">
        <w:tc>
          <w:tcPr>
            <w:tcW w:w="2160" w:type="dxa"/>
          </w:tcPr>
          <w:p w14:paraId="31DFD5EE" w14:textId="77777777" w:rsidR="00161739" w:rsidRPr="00AA7310" w:rsidRDefault="00161739" w:rsidP="00AA7310">
            <w:pPr>
              <w:pStyle w:val="Paragraph"/>
              <w:rPr>
                <w:b/>
                <w:bCs/>
              </w:rPr>
            </w:pPr>
            <w:r w:rsidRPr="00AA7310">
              <w:rPr>
                <w:b/>
                <w:bCs/>
              </w:rPr>
              <w:t>LOINC</w:t>
            </w:r>
          </w:p>
        </w:tc>
        <w:tc>
          <w:tcPr>
            <w:tcW w:w="7200" w:type="dxa"/>
          </w:tcPr>
          <w:p w14:paraId="731EE7C6" w14:textId="77777777" w:rsidR="00161739" w:rsidRPr="00D56154" w:rsidRDefault="00161739" w:rsidP="00AA7310">
            <w:pPr>
              <w:pStyle w:val="Paragraph"/>
            </w:pPr>
            <w:r w:rsidRPr="00D56154">
              <w:t>Logical Observation Identifiers Names and Codes</w:t>
            </w:r>
          </w:p>
        </w:tc>
      </w:tr>
      <w:tr w:rsidR="00161739" w:rsidRPr="00D56154" w14:paraId="3EBC42C5" w14:textId="77777777" w:rsidTr="00AA7310">
        <w:tc>
          <w:tcPr>
            <w:tcW w:w="2160" w:type="dxa"/>
          </w:tcPr>
          <w:p w14:paraId="58598E2B" w14:textId="77777777" w:rsidR="00161739" w:rsidRPr="00AA7310" w:rsidRDefault="00161739" w:rsidP="00AA7310">
            <w:pPr>
              <w:pStyle w:val="Paragraph"/>
              <w:rPr>
                <w:b/>
                <w:bCs/>
              </w:rPr>
            </w:pPr>
            <w:r w:rsidRPr="00AA7310">
              <w:rPr>
                <w:b/>
                <w:bCs/>
              </w:rPr>
              <w:t>MADiE</w:t>
            </w:r>
          </w:p>
        </w:tc>
        <w:tc>
          <w:tcPr>
            <w:tcW w:w="7200" w:type="dxa"/>
          </w:tcPr>
          <w:p w14:paraId="7EAFF0F7" w14:textId="77777777" w:rsidR="00161739" w:rsidRPr="00D56154" w:rsidRDefault="00161739" w:rsidP="00AA7310">
            <w:pPr>
              <w:pStyle w:val="Paragraph"/>
            </w:pPr>
            <w:r w:rsidRPr="00D56154">
              <w:t>Measure Authoring Development Integrated Environment</w:t>
            </w:r>
          </w:p>
        </w:tc>
      </w:tr>
      <w:tr w:rsidR="00161739" w:rsidRPr="00D56154" w14:paraId="15B6694F" w14:textId="77777777" w:rsidTr="00AA7310">
        <w:tc>
          <w:tcPr>
            <w:tcW w:w="2160" w:type="dxa"/>
          </w:tcPr>
          <w:p w14:paraId="575A4FF7" w14:textId="77777777" w:rsidR="00161739" w:rsidRPr="00AA7310" w:rsidRDefault="00161739" w:rsidP="00AA7310">
            <w:pPr>
              <w:pStyle w:val="Paragraph"/>
              <w:rPr>
                <w:b/>
                <w:bCs/>
              </w:rPr>
            </w:pPr>
            <w:r w:rsidRPr="00AA7310">
              <w:rPr>
                <w:b/>
                <w:bCs/>
              </w:rPr>
              <w:t>MAT</w:t>
            </w:r>
          </w:p>
        </w:tc>
        <w:tc>
          <w:tcPr>
            <w:tcW w:w="7200" w:type="dxa"/>
          </w:tcPr>
          <w:p w14:paraId="3EBA8CC0" w14:textId="77777777" w:rsidR="00161739" w:rsidRPr="00D56154" w:rsidRDefault="00161739" w:rsidP="00AA7310">
            <w:pPr>
              <w:pStyle w:val="Paragraph"/>
            </w:pPr>
            <w:r>
              <w:t>Measure Authoring Tool</w:t>
            </w:r>
          </w:p>
        </w:tc>
      </w:tr>
      <w:tr w:rsidR="00161739" w:rsidRPr="00D56154" w14:paraId="20042C14" w14:textId="77777777" w:rsidTr="00AA7310">
        <w:tc>
          <w:tcPr>
            <w:tcW w:w="2160" w:type="dxa"/>
          </w:tcPr>
          <w:p w14:paraId="11F2C116" w14:textId="77777777" w:rsidR="00161739" w:rsidRPr="00AA7310" w:rsidRDefault="00161739" w:rsidP="00AA7310">
            <w:pPr>
              <w:pStyle w:val="Paragraph"/>
              <w:rPr>
                <w:b/>
                <w:bCs/>
              </w:rPr>
            </w:pPr>
            <w:r w:rsidRPr="00AA7310">
              <w:rPr>
                <w:b/>
                <w:bCs/>
              </w:rPr>
              <w:t>MMS</w:t>
            </w:r>
          </w:p>
        </w:tc>
        <w:tc>
          <w:tcPr>
            <w:tcW w:w="7200" w:type="dxa"/>
          </w:tcPr>
          <w:p w14:paraId="28E6241D" w14:textId="77777777" w:rsidR="00161739" w:rsidRPr="00D56154" w:rsidRDefault="00161739" w:rsidP="00AA7310">
            <w:pPr>
              <w:pStyle w:val="Paragraph"/>
            </w:pPr>
            <w:r w:rsidRPr="00D56154">
              <w:t>Measures Management System</w:t>
            </w:r>
          </w:p>
        </w:tc>
      </w:tr>
      <w:tr w:rsidR="00161739" w:rsidRPr="00D56154" w14:paraId="48BBA44E" w14:textId="77777777" w:rsidTr="00AA7310">
        <w:tc>
          <w:tcPr>
            <w:tcW w:w="2160" w:type="dxa"/>
          </w:tcPr>
          <w:p w14:paraId="5B1BAFF0" w14:textId="77777777" w:rsidR="00161739" w:rsidRPr="00AA7310" w:rsidRDefault="00161739" w:rsidP="00AA7310">
            <w:pPr>
              <w:pStyle w:val="Paragraph"/>
              <w:rPr>
                <w:b/>
                <w:bCs/>
              </w:rPr>
            </w:pPr>
            <w:r w:rsidRPr="00AA7310">
              <w:rPr>
                <w:b/>
                <w:bCs/>
              </w:rPr>
              <w:t>OID</w:t>
            </w:r>
          </w:p>
        </w:tc>
        <w:tc>
          <w:tcPr>
            <w:tcW w:w="7200" w:type="dxa"/>
          </w:tcPr>
          <w:p w14:paraId="50397EA0" w14:textId="77777777" w:rsidR="00161739" w:rsidRPr="00D56154" w:rsidRDefault="00161739" w:rsidP="00AA7310">
            <w:pPr>
              <w:pStyle w:val="Paragraph"/>
            </w:pPr>
            <w:r w:rsidRPr="00D56154">
              <w:t>object identifier</w:t>
            </w:r>
          </w:p>
        </w:tc>
      </w:tr>
      <w:tr w:rsidR="00161739" w:rsidRPr="00D56154" w14:paraId="13D87169" w14:textId="77777777" w:rsidTr="00AA7310">
        <w:tc>
          <w:tcPr>
            <w:tcW w:w="2160" w:type="dxa"/>
          </w:tcPr>
          <w:p w14:paraId="619B188E" w14:textId="77777777" w:rsidR="00161739" w:rsidRPr="00AA7310" w:rsidRDefault="00161739" w:rsidP="00AA7310">
            <w:pPr>
              <w:pStyle w:val="Paragraph"/>
              <w:rPr>
                <w:b/>
                <w:bCs/>
              </w:rPr>
            </w:pPr>
            <w:r w:rsidRPr="00AA7310">
              <w:rPr>
                <w:b/>
                <w:bCs/>
              </w:rPr>
              <w:t>ONC</w:t>
            </w:r>
          </w:p>
        </w:tc>
        <w:tc>
          <w:tcPr>
            <w:tcW w:w="7200" w:type="dxa"/>
          </w:tcPr>
          <w:p w14:paraId="1609DFB9" w14:textId="77777777" w:rsidR="00161739" w:rsidRPr="00D56154" w:rsidRDefault="00161739" w:rsidP="00AA7310">
            <w:pPr>
              <w:pStyle w:val="Paragraph"/>
            </w:pPr>
            <w:r w:rsidRPr="00D56154">
              <w:t>Office of the National Coordinator for Health Information Technology</w:t>
            </w:r>
          </w:p>
        </w:tc>
      </w:tr>
      <w:tr w:rsidR="00161739" w:rsidRPr="00D56154" w14:paraId="5DC056AE" w14:textId="77777777" w:rsidTr="00AA7310">
        <w:tc>
          <w:tcPr>
            <w:tcW w:w="2160" w:type="dxa"/>
          </w:tcPr>
          <w:p w14:paraId="71837B45" w14:textId="77777777" w:rsidR="00161739" w:rsidRPr="00AA7310" w:rsidRDefault="00161739" w:rsidP="00AA7310">
            <w:pPr>
              <w:pStyle w:val="Paragraph"/>
              <w:rPr>
                <w:b/>
                <w:bCs/>
              </w:rPr>
            </w:pPr>
            <w:r w:rsidRPr="00AA7310">
              <w:rPr>
                <w:b/>
                <w:bCs/>
              </w:rPr>
              <w:t>OQR</w:t>
            </w:r>
          </w:p>
        </w:tc>
        <w:tc>
          <w:tcPr>
            <w:tcW w:w="7200" w:type="dxa"/>
          </w:tcPr>
          <w:p w14:paraId="5C1CF3C3" w14:textId="77777777" w:rsidR="00161739" w:rsidRPr="00D56154" w:rsidRDefault="00161739" w:rsidP="00AA7310">
            <w:pPr>
              <w:pStyle w:val="Paragraph"/>
            </w:pPr>
            <w:r w:rsidRPr="00D56154">
              <w:t>Outpatient Quality Reporting</w:t>
            </w:r>
          </w:p>
        </w:tc>
      </w:tr>
      <w:tr w:rsidR="00161739" w:rsidRPr="00D56154" w14:paraId="7F7C63E2" w14:textId="77777777" w:rsidTr="00AA7310">
        <w:tc>
          <w:tcPr>
            <w:tcW w:w="2160" w:type="dxa"/>
          </w:tcPr>
          <w:p w14:paraId="36CA3F0F" w14:textId="77777777" w:rsidR="00161739" w:rsidRPr="00AA7310" w:rsidRDefault="00161739" w:rsidP="00AA7310">
            <w:pPr>
              <w:pStyle w:val="Paragraph"/>
              <w:rPr>
                <w:b/>
                <w:bCs/>
              </w:rPr>
            </w:pPr>
            <w:r w:rsidRPr="00AA7310">
              <w:rPr>
                <w:b/>
                <w:bCs/>
              </w:rPr>
              <w:t>QDM</w:t>
            </w:r>
          </w:p>
        </w:tc>
        <w:tc>
          <w:tcPr>
            <w:tcW w:w="7200" w:type="dxa"/>
          </w:tcPr>
          <w:p w14:paraId="07E1E0DE" w14:textId="77777777" w:rsidR="00161739" w:rsidRPr="00D56154" w:rsidRDefault="00161739" w:rsidP="00AA7310">
            <w:pPr>
              <w:pStyle w:val="Paragraph"/>
            </w:pPr>
            <w:r w:rsidRPr="00D56154">
              <w:t xml:space="preserve">Quality Data Model </w:t>
            </w:r>
          </w:p>
        </w:tc>
      </w:tr>
      <w:tr w:rsidR="00161739" w:rsidRPr="00D56154" w14:paraId="20A403EF" w14:textId="77777777" w:rsidTr="00AA7310">
        <w:tc>
          <w:tcPr>
            <w:tcW w:w="2160" w:type="dxa"/>
          </w:tcPr>
          <w:p w14:paraId="6210E0FE" w14:textId="77777777" w:rsidR="00161739" w:rsidRPr="00AA7310" w:rsidRDefault="00161739" w:rsidP="00AA7310">
            <w:pPr>
              <w:pStyle w:val="Paragraph"/>
              <w:rPr>
                <w:b/>
                <w:bCs/>
              </w:rPr>
            </w:pPr>
            <w:r w:rsidRPr="00AA7310">
              <w:rPr>
                <w:b/>
                <w:bCs/>
              </w:rPr>
              <w:t>SNOMED CT</w:t>
            </w:r>
          </w:p>
        </w:tc>
        <w:tc>
          <w:tcPr>
            <w:tcW w:w="7200" w:type="dxa"/>
          </w:tcPr>
          <w:p w14:paraId="3C944EE9" w14:textId="5A21F270" w:rsidR="00161739" w:rsidRPr="00D56154" w:rsidRDefault="00161739" w:rsidP="00AA7310">
            <w:pPr>
              <w:pStyle w:val="Paragraph"/>
            </w:pPr>
            <w:r w:rsidRPr="00D56154">
              <w:t>Systemized Nomenclature of Medicine, Clinical Terms</w:t>
            </w:r>
          </w:p>
        </w:tc>
      </w:tr>
      <w:tr w:rsidR="00161739" w:rsidRPr="00D56154" w14:paraId="718C52FD" w14:textId="77777777" w:rsidTr="00AA7310">
        <w:tc>
          <w:tcPr>
            <w:tcW w:w="2160" w:type="dxa"/>
          </w:tcPr>
          <w:p w14:paraId="4F379FA5" w14:textId="77777777" w:rsidR="00161739" w:rsidRPr="00AA7310" w:rsidRDefault="00161739" w:rsidP="00AA7310">
            <w:pPr>
              <w:pStyle w:val="Paragraph"/>
              <w:rPr>
                <w:b/>
                <w:bCs/>
              </w:rPr>
            </w:pPr>
            <w:r w:rsidRPr="00AA7310">
              <w:rPr>
                <w:b/>
                <w:bCs/>
              </w:rPr>
              <w:t>VSAC</w:t>
            </w:r>
          </w:p>
        </w:tc>
        <w:tc>
          <w:tcPr>
            <w:tcW w:w="7200" w:type="dxa"/>
          </w:tcPr>
          <w:p w14:paraId="23F46325" w14:textId="77777777" w:rsidR="00161739" w:rsidRPr="00D56154" w:rsidRDefault="00161739" w:rsidP="00AA7310">
            <w:pPr>
              <w:pStyle w:val="Paragraph"/>
            </w:pPr>
            <w:r w:rsidRPr="00D56154">
              <w:t>Value Set Authority Center</w:t>
            </w:r>
          </w:p>
        </w:tc>
      </w:tr>
      <w:tr w:rsidR="00161739" w:rsidRPr="00D56154" w14:paraId="0C6A2F9C" w14:textId="77777777" w:rsidTr="00AA7310">
        <w:tc>
          <w:tcPr>
            <w:tcW w:w="2160" w:type="dxa"/>
          </w:tcPr>
          <w:p w14:paraId="2F5897DE" w14:textId="77777777" w:rsidR="00161739" w:rsidRPr="00AA7310" w:rsidRDefault="00161739" w:rsidP="00AA7310">
            <w:pPr>
              <w:pStyle w:val="Paragraph"/>
              <w:rPr>
                <w:b/>
                <w:bCs/>
              </w:rPr>
            </w:pPr>
            <w:r w:rsidRPr="00AA7310">
              <w:rPr>
                <w:b/>
                <w:bCs/>
              </w:rPr>
              <w:t>XML</w:t>
            </w:r>
          </w:p>
        </w:tc>
        <w:tc>
          <w:tcPr>
            <w:tcW w:w="7200" w:type="dxa"/>
          </w:tcPr>
          <w:p w14:paraId="74C6DF1C" w14:textId="77777777" w:rsidR="00161739" w:rsidRPr="00D56154" w:rsidRDefault="00161739" w:rsidP="00AA7310">
            <w:pPr>
              <w:pStyle w:val="Paragraph"/>
            </w:pPr>
            <w:r w:rsidRPr="00D56154">
              <w:t>Extensible Markup Language</w:t>
            </w:r>
          </w:p>
        </w:tc>
      </w:tr>
      <w:bookmarkEnd w:id="1231"/>
    </w:tbl>
    <w:p w14:paraId="0000039E" w14:textId="77777777" w:rsidR="00D67C8C" w:rsidRPr="006156EE" w:rsidRDefault="00D67C8C" w:rsidP="006156EE">
      <w:pPr>
        <w:pStyle w:val="Paragraph"/>
        <w:rPr>
          <w:sz w:val="2"/>
          <w:szCs w:val="2"/>
        </w:rPr>
      </w:pPr>
    </w:p>
    <w:sectPr w:rsidR="00D67C8C" w:rsidRPr="006156EE" w:rsidSect="00161739">
      <w:headerReference w:type="even" r:id="rId91"/>
      <w:headerReference w:type="default" r:id="rId92"/>
      <w:headerReference w:type="first" r:id="rId93"/>
      <w:pgSz w:w="12240" w:h="15840"/>
      <w:pgMar w:top="1440" w:right="1440" w:bottom="1440" w:left="1440" w:header="504" w:footer="50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D503E1" w14:textId="77777777" w:rsidR="00D04B8B" w:rsidRDefault="00D04B8B">
      <w:pPr>
        <w:spacing w:after="0"/>
      </w:pPr>
      <w:r>
        <w:separator/>
      </w:r>
    </w:p>
  </w:endnote>
  <w:endnote w:type="continuationSeparator" w:id="0">
    <w:p w14:paraId="350399BB" w14:textId="77777777" w:rsidR="00D04B8B" w:rsidRDefault="00D04B8B">
      <w:pPr>
        <w:spacing w:after="0"/>
      </w:pPr>
      <w:r>
        <w:continuationSeparator/>
      </w:r>
    </w:p>
  </w:endnote>
  <w:endnote w:type="continuationNotice" w:id="1">
    <w:p w14:paraId="79BA5807" w14:textId="77777777" w:rsidR="00D04B8B" w:rsidRDefault="00D04B8B">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Times">
    <w:altName w:val="Sylfae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51089" w14:textId="77777777" w:rsidR="009A2046" w:rsidRDefault="009A2046" w:rsidP="009A2046">
    <w:pPr>
      <w:pStyle w:val="Footer"/>
    </w:pPr>
    <w:r>
      <w:t>Guide for Reading Electronic Clinical Quality Measures (eCQMs)</w:t>
    </w:r>
    <w:r>
      <w:tab/>
    </w:r>
    <w:r>
      <w:tab/>
    </w:r>
    <w:r>
      <w:fldChar w:fldCharType="begin"/>
    </w:r>
    <w:r>
      <w:instrText>PAGE</w:instrText>
    </w:r>
    <w:r>
      <w:fldChar w:fldCharType="separate"/>
    </w:r>
    <w:r>
      <w:t>30</w:t>
    </w:r>
    <w:r>
      <w:fldChar w:fldCharType="end"/>
    </w:r>
  </w:p>
  <w:p w14:paraId="65C840F8" w14:textId="129519AD" w:rsidR="009A2046" w:rsidRPr="00C130B0" w:rsidRDefault="009A2046" w:rsidP="009A2046">
    <w:pPr>
      <w:pStyle w:val="Footer"/>
      <w:spacing w:before="0"/>
    </w:pPr>
    <w:r w:rsidRPr="001141A7">
      <w:t xml:space="preserve">Version </w:t>
    </w:r>
    <w:r w:rsidR="00B27B2C">
      <w:t>12</w:t>
    </w:r>
    <w:r w:rsidRPr="001141A7">
      <w:t>.0</w:t>
    </w:r>
    <w:r w:rsidRPr="001141A7">
      <w:tab/>
    </w:r>
    <w:r w:rsidRPr="001141A7">
      <w:tab/>
      <w:t xml:space="preserve">May </w:t>
    </w:r>
    <w:r w:rsidR="00B27B2C">
      <w:t>2026</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B3BDA3" w14:textId="77777777" w:rsidR="009A2046" w:rsidRDefault="009A2046" w:rsidP="009A2046">
    <w:pPr>
      <w:pStyle w:val="Footer"/>
    </w:pPr>
    <w:r>
      <w:t>Guide for Reading Electronic Clinical Quality Measures (eCQMs)</w:t>
    </w:r>
    <w:r>
      <w:tab/>
    </w:r>
    <w:r>
      <w:tab/>
    </w:r>
    <w:r>
      <w:fldChar w:fldCharType="begin"/>
    </w:r>
    <w:r>
      <w:instrText>PAGE</w:instrText>
    </w:r>
    <w:r>
      <w:fldChar w:fldCharType="separate"/>
    </w:r>
    <w:r>
      <w:t>30</w:t>
    </w:r>
    <w:r>
      <w:fldChar w:fldCharType="end"/>
    </w:r>
  </w:p>
  <w:p w14:paraId="527EF36D" w14:textId="056422F5" w:rsidR="009A2046" w:rsidRPr="00C130B0" w:rsidRDefault="009A2046" w:rsidP="009A2046">
    <w:pPr>
      <w:pStyle w:val="Footer"/>
      <w:spacing w:before="0"/>
    </w:pPr>
    <w:r w:rsidRPr="001141A7">
      <w:t xml:space="preserve">Version </w:t>
    </w:r>
    <w:r w:rsidR="00B27B2C">
      <w:t>12</w:t>
    </w:r>
    <w:r w:rsidRPr="001141A7">
      <w:t>.0</w:t>
    </w:r>
    <w:r w:rsidRPr="001141A7">
      <w:tab/>
    </w:r>
    <w:r w:rsidRPr="001141A7">
      <w:tab/>
      <w:t xml:space="preserve">May </w:t>
    </w:r>
    <w:r w:rsidR="00B27B2C">
      <w:t>2026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0C063F" w14:textId="77777777" w:rsidR="009A2046" w:rsidRDefault="009A2046" w:rsidP="009A2046">
    <w:pPr>
      <w:pStyle w:val="Footer"/>
    </w:pPr>
    <w:r>
      <w:t>Guide for Reading Electronic Clinical Quality Measures (eCQMs)</w:t>
    </w:r>
    <w:r>
      <w:tab/>
    </w:r>
    <w:r>
      <w:tab/>
    </w:r>
    <w:r>
      <w:fldChar w:fldCharType="begin"/>
    </w:r>
    <w:r>
      <w:instrText>PAGE</w:instrText>
    </w:r>
    <w:r>
      <w:fldChar w:fldCharType="separate"/>
    </w:r>
    <w:r>
      <w:t>30</w:t>
    </w:r>
    <w:r>
      <w:fldChar w:fldCharType="end"/>
    </w:r>
  </w:p>
  <w:p w14:paraId="6A588024" w14:textId="59172DE3" w:rsidR="009A2046" w:rsidRPr="00C130B0" w:rsidRDefault="009A2046" w:rsidP="009A2046">
    <w:pPr>
      <w:pStyle w:val="Footer"/>
      <w:spacing w:before="0"/>
    </w:pPr>
    <w:r w:rsidRPr="001141A7">
      <w:t xml:space="preserve">Version </w:t>
    </w:r>
    <w:r w:rsidR="00B27B2C">
      <w:t>12</w:t>
    </w:r>
    <w:r w:rsidRPr="001141A7">
      <w:t>.0</w:t>
    </w:r>
    <w:r w:rsidRPr="001141A7">
      <w:tab/>
    </w:r>
    <w:r w:rsidRPr="001141A7">
      <w:tab/>
      <w:t xml:space="preserve">May </w:t>
    </w:r>
    <w:r w:rsidR="00B27B2C">
      <w:t>2026</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6A77F1" w14:textId="77777777" w:rsidR="009A2046" w:rsidRDefault="009A2046" w:rsidP="009A2046">
    <w:pPr>
      <w:pStyle w:val="Footer"/>
    </w:pPr>
    <w:r>
      <w:t>Guide for Reading Electronic Clinical Quality Measures (eCQMs)</w:t>
    </w:r>
    <w:r>
      <w:tab/>
    </w:r>
    <w:r>
      <w:tab/>
    </w:r>
    <w:r>
      <w:fldChar w:fldCharType="begin"/>
    </w:r>
    <w:r>
      <w:instrText>PAGE</w:instrText>
    </w:r>
    <w:r>
      <w:fldChar w:fldCharType="separate"/>
    </w:r>
    <w:r>
      <w:t>30</w:t>
    </w:r>
    <w:r>
      <w:fldChar w:fldCharType="end"/>
    </w:r>
  </w:p>
  <w:p w14:paraId="11884D38" w14:textId="160AD425" w:rsidR="009A2046" w:rsidRPr="00C130B0" w:rsidRDefault="009A2046" w:rsidP="009A2046">
    <w:pPr>
      <w:pStyle w:val="Footer"/>
      <w:spacing w:before="0"/>
    </w:pPr>
    <w:r w:rsidRPr="001141A7">
      <w:t xml:space="preserve">Version </w:t>
    </w:r>
    <w:r w:rsidR="00B27B2C">
      <w:t>12</w:t>
    </w:r>
    <w:r w:rsidRPr="001141A7">
      <w:t>.0</w:t>
    </w:r>
    <w:r w:rsidRPr="001141A7">
      <w:tab/>
    </w:r>
    <w:r w:rsidRPr="001141A7">
      <w:tab/>
      <w:t xml:space="preserve">May </w:t>
    </w:r>
    <w:r w:rsidR="00B27B2C">
      <w:t>2026</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6D9C18" w14:textId="77777777" w:rsidR="009A2046" w:rsidRDefault="009A2046" w:rsidP="009A2046">
    <w:pPr>
      <w:pStyle w:val="Footer"/>
    </w:pPr>
    <w:r>
      <w:t>Guide for Reading Electronic Clinical Quality Measures (eCQMs)</w:t>
    </w:r>
    <w:r>
      <w:tab/>
    </w:r>
    <w:r>
      <w:tab/>
    </w:r>
    <w:r>
      <w:fldChar w:fldCharType="begin"/>
    </w:r>
    <w:r>
      <w:instrText>PAGE</w:instrText>
    </w:r>
    <w:r>
      <w:fldChar w:fldCharType="separate"/>
    </w:r>
    <w:r>
      <w:t>30</w:t>
    </w:r>
    <w:r>
      <w:fldChar w:fldCharType="end"/>
    </w:r>
  </w:p>
  <w:p w14:paraId="0809EB50" w14:textId="1F484033" w:rsidR="009A2046" w:rsidRPr="00C130B0" w:rsidRDefault="009A2046" w:rsidP="009A2046">
    <w:pPr>
      <w:pStyle w:val="Footer"/>
      <w:spacing w:before="0"/>
    </w:pPr>
    <w:r w:rsidRPr="001141A7">
      <w:t xml:space="preserve">Version </w:t>
    </w:r>
    <w:r w:rsidR="00B27B2C">
      <w:t>12</w:t>
    </w:r>
    <w:r w:rsidRPr="001141A7">
      <w:t>.0</w:t>
    </w:r>
    <w:r w:rsidRPr="001141A7">
      <w:tab/>
    </w:r>
    <w:r w:rsidRPr="001141A7">
      <w:tab/>
      <w:t xml:space="preserve">May </w:t>
    </w:r>
    <w:r w:rsidR="00B27B2C">
      <w:t>2026</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47BB7A" w14:textId="77777777" w:rsidR="00161739" w:rsidRDefault="00161739" w:rsidP="009A2046">
    <w:pPr>
      <w:pStyle w:val="Footer"/>
    </w:pPr>
    <w:r>
      <w:t>Guide for Reading Electronic Clinical Quality Measures (eCQMs)</w:t>
    </w:r>
    <w:r>
      <w:tab/>
    </w:r>
    <w:r>
      <w:tab/>
    </w:r>
    <w:r>
      <w:fldChar w:fldCharType="begin"/>
    </w:r>
    <w:r>
      <w:instrText>PAGE</w:instrText>
    </w:r>
    <w:r>
      <w:fldChar w:fldCharType="separate"/>
    </w:r>
    <w:r>
      <w:rPr>
        <w:noProof/>
      </w:rPr>
      <w:t>25</w:t>
    </w:r>
    <w:r>
      <w:fldChar w:fldCharType="end"/>
    </w:r>
  </w:p>
  <w:p w14:paraId="11B2E4C4" w14:textId="211306A7" w:rsidR="00161739" w:rsidRPr="00C130B0" w:rsidRDefault="00161739" w:rsidP="009A2046">
    <w:pPr>
      <w:pStyle w:val="Footer"/>
      <w:spacing w:before="0"/>
    </w:pPr>
    <w:r w:rsidRPr="001141A7">
      <w:t xml:space="preserve">Version </w:t>
    </w:r>
    <w:r w:rsidR="00B27B2C">
      <w:t>12</w:t>
    </w:r>
    <w:r w:rsidRPr="001141A7">
      <w:t>.0</w:t>
    </w:r>
    <w:r w:rsidRPr="001141A7">
      <w:tab/>
    </w:r>
    <w:r w:rsidRPr="001141A7">
      <w:tab/>
      <w:t xml:space="preserve">May </w:t>
    </w:r>
    <w:r w:rsidR="00B27B2C">
      <w:t>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352903" w14:textId="77777777" w:rsidR="00D04B8B" w:rsidRDefault="00D04B8B">
      <w:pPr>
        <w:spacing w:after="0"/>
      </w:pPr>
      <w:r>
        <w:separator/>
      </w:r>
    </w:p>
  </w:footnote>
  <w:footnote w:type="continuationSeparator" w:id="0">
    <w:p w14:paraId="7290B81E" w14:textId="77777777" w:rsidR="00D04B8B" w:rsidRDefault="00D04B8B">
      <w:pPr>
        <w:spacing w:after="0"/>
      </w:pPr>
      <w:r>
        <w:continuationSeparator/>
      </w:r>
    </w:p>
  </w:footnote>
  <w:footnote w:type="continuationNotice" w:id="1">
    <w:p w14:paraId="1893E21A" w14:textId="77777777" w:rsidR="00D04B8B" w:rsidRDefault="00D04B8B">
      <w:pPr>
        <w:spacing w:after="0"/>
      </w:pPr>
    </w:p>
  </w:footnote>
  <w:footnote w:id="2">
    <w:p w14:paraId="61A30DAB" w14:textId="77777777" w:rsidR="00161739" w:rsidRPr="0087486C" w:rsidRDefault="00161739" w:rsidP="00161739">
      <w:pPr>
        <w:pStyle w:val="FootnoteText"/>
      </w:pPr>
      <w:r w:rsidRPr="0087486C">
        <w:rPr>
          <w:rStyle w:val="FootnoteReference"/>
        </w:rPr>
        <w:footnoteRef/>
      </w:r>
      <w:r w:rsidRPr="0087486C">
        <w:t xml:space="preserve"> Further information on </w:t>
      </w:r>
      <w:r>
        <w:t>Fast Healthcare Interoperability Resources (</w:t>
      </w:r>
      <w:r w:rsidRPr="0087486C">
        <w:t>FHIR</w:t>
      </w:r>
      <w:r>
        <w:t>)</w:t>
      </w:r>
      <w:r w:rsidRPr="0087486C">
        <w:t xml:space="preserve"> eCQM packages can be located on the </w:t>
      </w:r>
      <w:hyperlink r:id="rId1" w:history="1">
        <w:r w:rsidRPr="0087486C">
          <w:rPr>
            <w:rStyle w:val="Hyperlink"/>
          </w:rPr>
          <w:t>eCQI Resource C</w:t>
        </w:r>
        <w:r w:rsidRPr="0087486C">
          <w:rPr>
            <w:rStyle w:val="Hyperlink"/>
          </w:rPr>
          <w:t>e</w:t>
        </w:r>
        <w:r w:rsidRPr="0087486C">
          <w:rPr>
            <w:rStyle w:val="Hyperlink"/>
          </w:rPr>
          <w:t>nter</w:t>
        </w:r>
      </w:hyperlink>
      <w:r w:rsidRPr="0087486C">
        <w:t>.</w:t>
      </w:r>
    </w:p>
  </w:footnote>
  <w:footnote w:id="3">
    <w:p w14:paraId="47503E80" w14:textId="318974EA" w:rsidR="00161739" w:rsidRPr="001141A7" w:rsidRDefault="00161739" w:rsidP="00CD5783">
      <w:pPr>
        <w:pStyle w:val="FootnoteText"/>
      </w:pPr>
      <w:r w:rsidRPr="001141A7">
        <w:rPr>
          <w:rStyle w:val="FootnoteReference"/>
        </w:rPr>
        <w:footnoteRef/>
      </w:r>
      <w:r w:rsidR="00CD5783">
        <w:t xml:space="preserve"> </w:t>
      </w:r>
      <w:r w:rsidRPr="001141A7">
        <w:t>HL7 is a nonprofit organization that develops standards accredited by the American National Standards Institute (ANSI).</w:t>
      </w:r>
    </w:p>
  </w:footnote>
  <w:footnote w:id="4">
    <w:p w14:paraId="6C7A851F" w14:textId="481F810B" w:rsidR="00161739" w:rsidRPr="001141A7" w:rsidRDefault="00161739" w:rsidP="00CD5783">
      <w:pPr>
        <w:pStyle w:val="FootnoteText"/>
      </w:pPr>
      <w:r w:rsidRPr="001141A7">
        <w:rPr>
          <w:rStyle w:val="FootnoteReference"/>
        </w:rPr>
        <w:footnoteRef/>
      </w:r>
      <w:r w:rsidRPr="001141A7">
        <w:t xml:space="preserve"> </w:t>
      </w:r>
      <w:r>
        <w:t>Adapted from</w:t>
      </w:r>
      <w:r w:rsidRPr="001141A7">
        <w:t xml:space="preserve"> Centers for Medicare &amp; Medicaid Services. “Quality Data Model, Version 5.6: QDM Data Element Structure.” Section 2.5, January 2021, p</w:t>
      </w:r>
      <w:r>
        <w:t>.</w:t>
      </w:r>
      <w:r w:rsidRPr="001141A7">
        <w:t xml:space="preserve"> 7. </w:t>
      </w:r>
      <w:hyperlink r:id="rId2" w:history="1">
        <w:r w:rsidR="00CD5783" w:rsidRPr="00E610BD">
          <w:rPr>
            <w:rStyle w:val="Hyperlink"/>
            <w:sz w:val="18"/>
          </w:rPr>
          <w:t>https://ecqi.healthit.gov/sites/default/files/QDM-v5.6-508.pdf</w:t>
        </w:r>
      </w:hyperlink>
      <w:r w:rsidRPr="001141A7">
        <w:t>.</w:t>
      </w:r>
      <w:r w:rsidR="00CD5783">
        <w:t xml:space="preserve"> </w:t>
      </w:r>
    </w:p>
  </w:footnote>
  <w:footnote w:id="5">
    <w:p w14:paraId="3351E12F" w14:textId="5B544660" w:rsidR="00161739" w:rsidRPr="001141A7" w:rsidRDefault="00161739" w:rsidP="00CD5783">
      <w:pPr>
        <w:pStyle w:val="FootnoteText"/>
      </w:pPr>
      <w:r w:rsidRPr="001141A7">
        <w:rPr>
          <w:rStyle w:val="FootnoteReference"/>
        </w:rPr>
        <w:footnoteRef/>
      </w:r>
      <w:r w:rsidRPr="001141A7">
        <w:t xml:space="preserve"> Adapted from Centers for Medicare &amp; Medicaid Services. “Quality Data Model, Version 5.6: Description of </w:t>
      </w:r>
      <w:r>
        <w:t>“</w:t>
      </w:r>
      <w:r w:rsidRPr="001141A7">
        <w:t>Laboratory Test</w:t>
      </w:r>
      <w:r>
        <w:t>,</w:t>
      </w:r>
      <w:r w:rsidRPr="001141A7">
        <w:t xml:space="preserve"> Performed</w:t>
      </w:r>
      <w:r>
        <w:t>”</w:t>
      </w:r>
      <w:r w:rsidRPr="001141A7">
        <w:t xml:space="preserve"> Attributes with CQL for QDM 5.6.” Section 2.5, January 2021, p</w:t>
      </w:r>
      <w:r>
        <w:t>.</w:t>
      </w:r>
      <w:r w:rsidRPr="001141A7">
        <w:t xml:space="preserve"> 8. </w:t>
      </w:r>
      <w:hyperlink r:id="rId3" w:history="1">
        <w:r w:rsidR="00CD5783" w:rsidRPr="00E610BD">
          <w:rPr>
            <w:rStyle w:val="Hyperlink"/>
            <w:sz w:val="18"/>
          </w:rPr>
          <w:t>https://ecqi.healthit.gov/sites/default/files/QDM-v5.6-508.pdf</w:t>
        </w:r>
      </w:hyperlink>
      <w:r w:rsidRPr="001141A7">
        <w:t>.</w:t>
      </w:r>
      <w:r w:rsidR="00CD5783">
        <w:t xml:space="preserve"> </w:t>
      </w:r>
    </w:p>
  </w:footnote>
  <w:footnote w:id="6">
    <w:p w14:paraId="6738A9B4" w14:textId="08458945" w:rsidR="00161739" w:rsidRPr="001141A7" w:rsidRDefault="00161739" w:rsidP="00CD5783">
      <w:pPr>
        <w:pStyle w:val="FootnoteText"/>
      </w:pPr>
      <w:r w:rsidRPr="001141A7">
        <w:rPr>
          <w:rStyle w:val="FootnoteReference"/>
        </w:rPr>
        <w:footnoteRef/>
      </w:r>
      <w:r w:rsidRPr="001141A7">
        <w:t xml:space="preserve"> A normative standard is a relatively stable standard developed by the ANSI</w:t>
      </w:r>
      <w:r>
        <w:rPr>
          <w:szCs w:val="18"/>
        </w:rPr>
        <w:t xml:space="preserve"> </w:t>
      </w:r>
      <w:r w:rsidRPr="001141A7">
        <w:t>to maintain backward compatibility with</w:t>
      </w:r>
      <w:r>
        <w:rPr>
          <w:szCs w:val="18"/>
        </w:rPr>
        <w:t xml:space="preserve"> </w:t>
      </w:r>
      <w:r w:rsidRPr="001141A7">
        <w:t>new versions</w:t>
      </w:r>
      <w:r>
        <w:rPr>
          <w:szCs w:val="18"/>
        </w:rPr>
        <w:t xml:space="preserve">. </w:t>
      </w:r>
      <w:r w:rsidRPr="001141A7">
        <w:t>Backward compatibility means implementing the new standard will not break the applications using the standard. For additional information</w:t>
      </w:r>
      <w:r>
        <w:t>,</w:t>
      </w:r>
      <w:r w:rsidRPr="001141A7">
        <w:t xml:space="preserve"> see </w:t>
      </w:r>
      <w:hyperlink r:id="rId4" w:history="1">
        <w:r w:rsidR="00CD5783" w:rsidRPr="00E610BD">
          <w:rPr>
            <w:rStyle w:val="Hyperlink"/>
            <w:sz w:val="18"/>
          </w:rPr>
          <w:t>https://confluence.hl7.org/display/HL7/Understanding+the+Standards+Process</w:t>
        </w:r>
      </w:hyperlink>
      <w:r w:rsidRPr="001141A7">
        <w:t>.</w:t>
      </w:r>
      <w:r w:rsidR="00CD5783">
        <w:t xml:space="preserve"> </w:t>
      </w:r>
    </w:p>
  </w:footnote>
  <w:footnote w:id="7">
    <w:p w14:paraId="03D3523C" w14:textId="77777777" w:rsidR="00161739" w:rsidRPr="003C2D23" w:rsidRDefault="00161739" w:rsidP="00161739">
      <w:pPr>
        <w:pStyle w:val="FootnoteText"/>
      </w:pPr>
      <w:r w:rsidRPr="003C2D23">
        <w:rPr>
          <w:rStyle w:val="FootnoteReference"/>
        </w:rPr>
        <w:footnoteRef/>
      </w:r>
      <w:r w:rsidRPr="003C2D23">
        <w:t xml:space="preserve"> If</w:t>
      </w:r>
      <w:r>
        <w:t xml:space="preserve"> cross-code system</w:t>
      </w:r>
      <w:r w:rsidRPr="003C2D23">
        <w:t xml:space="preserve"> mapping is conducted, implementers should maintain documentation in case of a CMS audit.</w:t>
      </w:r>
    </w:p>
  </w:footnote>
  <w:footnote w:id="8">
    <w:p w14:paraId="5D06743A" w14:textId="6A99EAC0" w:rsidR="00161739" w:rsidRPr="00676080" w:rsidRDefault="00161739" w:rsidP="00676080">
      <w:pPr>
        <w:pBdr>
          <w:top w:val="nil"/>
          <w:left w:val="nil"/>
          <w:bottom w:val="nil"/>
          <w:right w:val="nil"/>
          <w:between w:val="nil"/>
        </w:pBdr>
        <w:spacing w:after="40" w:line="240" w:lineRule="auto"/>
        <w:ind w:left="360" w:hanging="360"/>
        <w:rPr>
          <w:rFonts w:ascii="Times New Roman" w:hAnsi="Times New Roman" w:cs="Times New Roman"/>
          <w:color w:val="000000"/>
          <w:sz w:val="18"/>
        </w:rPr>
      </w:pPr>
      <w:r w:rsidRPr="00676080">
        <w:rPr>
          <w:rStyle w:val="FootnoteReference"/>
          <w:rFonts w:ascii="Times New Roman" w:hAnsi="Times New Roman" w:cs="Times New Roman"/>
        </w:rPr>
        <w:footnoteRef/>
      </w:r>
      <w:r w:rsidRPr="00676080">
        <w:rPr>
          <w:rFonts w:ascii="Times New Roman" w:hAnsi="Times New Roman" w:cs="Times New Roman"/>
          <w:color w:val="000000"/>
          <w:sz w:val="18"/>
        </w:rPr>
        <w:t xml:space="preserve"> </w:t>
      </w:r>
      <w:r w:rsidRPr="00676080">
        <w:rPr>
          <w:rFonts w:ascii="Times New Roman" w:hAnsi="Times New Roman" w:cs="Times New Roman"/>
          <w:color w:val="000000"/>
          <w:szCs w:val="20"/>
        </w:rPr>
        <w:t>Except for measure population</w:t>
      </w:r>
      <w:r w:rsidR="00676080">
        <w:rPr>
          <w:rFonts w:ascii="Times New Roman" w:hAnsi="Times New Roman" w:cs="Times New Roman"/>
          <w:color w:val="000000"/>
          <w:szCs w:val="20"/>
        </w:rPr>
        <w:t xml:space="preserve"> and measure population exclusions</w:t>
      </w:r>
      <w:r w:rsidRPr="00676080">
        <w:rPr>
          <w:rFonts w:ascii="Times New Roman" w:hAnsi="Times New Roman" w:cs="Times New Roman"/>
          <w:color w:val="000000"/>
          <w:szCs w:val="20"/>
        </w:rPr>
        <w:t xml:space="preserve">, all definitions are available on the eCQI Resource Center website at </w:t>
      </w:r>
      <w:hyperlink r:id="rId5">
        <w:r w:rsidRPr="00676080">
          <w:rPr>
            <w:rFonts w:ascii="Times New Roman" w:hAnsi="Times New Roman" w:cs="Times New Roman"/>
            <w:color w:val="0563C1"/>
            <w:sz w:val="18"/>
            <w:szCs w:val="18"/>
            <w:u w:val="single"/>
          </w:rPr>
          <w:t>https://ecqi.healthit.gov/glossary</w:t>
        </w:r>
      </w:hyperlink>
      <w:r w:rsidRPr="00676080">
        <w:rPr>
          <w:rFonts w:ascii="Times New Roman" w:hAnsi="Times New Roman" w:cs="Times New Roman"/>
          <w:color w:val="000000"/>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FC47B" w14:textId="4E7B0BB5" w:rsidR="008B00A2" w:rsidRDefault="00AA7182">
    <w:pPr>
      <w:pStyle w:val="Header"/>
    </w:pPr>
    <w:r>
      <w:rPr>
        <w:noProof/>
      </w:rPr>
      <w:pict w14:anchorId="3C6A20D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3" o:spid="_x0000_s1086" type="#_x0000_t136" style="position:absolute;margin-left:0;margin-top:0;width:412.4pt;height:247.45pt;rotation:315;z-index:-251655168;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A13E77" w14:textId="07371DCE" w:rsidR="008B00A2" w:rsidRDefault="00AA7182">
    <w:pPr>
      <w:pStyle w:val="Header"/>
    </w:pPr>
    <w:r>
      <w:rPr>
        <w:noProof/>
      </w:rPr>
      <w:pict w14:anchorId="6208D09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2" o:spid="_x0000_s1095" type="#_x0000_t136" style="position:absolute;margin-left:0;margin-top:0;width:412.4pt;height:247.45pt;rotation:315;z-index:-251636736;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EE7855" w14:textId="5D3B59CE" w:rsidR="001C2D38" w:rsidRPr="005E64B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522E81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3" o:spid="_x0000_s1096" type="#_x0000_t136" style="position:absolute;margin-left:0;margin-top:0;width:412.4pt;height:247.45pt;rotation:315;z-index:-251634688;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C2D38" w:rsidRPr="005E64B8">
      <w:rPr>
        <w:rFonts w:ascii="Arial Narrow" w:eastAsia="Arial Narrow" w:hAnsi="Arial Narrow"/>
        <w:color w:val="000000"/>
        <w:sz w:val="18"/>
      </w:rPr>
      <w:t>Centers for Medicare &amp; Medicaid Services</w:t>
    </w:r>
    <w:r w:rsidR="001C2D38">
      <w:rPr>
        <w:rFonts w:ascii="Arial Narrow" w:eastAsia="Arial Narrow" w:hAnsi="Arial Narrow"/>
        <w:color w:val="000000"/>
        <w:sz w:val="18"/>
      </w:rPr>
      <w:tab/>
      <w:t>2. eCQM Building Blocks—Standards and Tools</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373BE" w14:textId="04732D47" w:rsidR="001C2D38" w:rsidRPr="005E64B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297EE71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1" o:spid="_x0000_s1094" type="#_x0000_t136" style="position:absolute;margin-left:0;margin-top:0;width:412.4pt;height:247.45pt;rotation:315;z-index:-251638784;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C2D38" w:rsidRPr="005E64B8">
      <w:rPr>
        <w:rFonts w:ascii="Arial Narrow" w:eastAsia="Arial Narrow" w:hAnsi="Arial Narrow"/>
        <w:color w:val="000000"/>
        <w:sz w:val="18"/>
      </w:rPr>
      <w:t>Centers for Medicare &amp; Medicaid Services</w:t>
    </w:r>
    <w:r w:rsidR="001C2D38">
      <w:rPr>
        <w:rFonts w:ascii="Arial Narrow" w:eastAsia="Arial Narrow" w:hAnsi="Arial Narrow"/>
        <w:color w:val="000000"/>
        <w:sz w:val="18"/>
      </w:rPr>
      <w:tab/>
      <w:t>2. eCQM Building Blocks—Standards and Tools</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2DA14A" w14:textId="2E407C7B" w:rsidR="008B00A2" w:rsidRDefault="00AA7182">
    <w:pPr>
      <w:pStyle w:val="Header"/>
    </w:pPr>
    <w:r>
      <w:rPr>
        <w:noProof/>
      </w:rPr>
      <w:pict w14:anchorId="1DCF216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5" o:spid="_x0000_s1098" type="#_x0000_t136" style="position:absolute;margin-left:0;margin-top:0;width:412.4pt;height:247.45pt;rotation:315;z-index:-251630592;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590A8A" w14:textId="7664840E" w:rsidR="001C2D38" w:rsidRPr="005E64B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16E8A73D">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6" o:spid="_x0000_s1099" type="#_x0000_t136" style="position:absolute;margin-left:0;margin-top:0;width:412.4pt;height:247.45pt;rotation:315;z-index:-251628544;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C2D38" w:rsidRPr="005E64B8">
      <w:rPr>
        <w:rFonts w:ascii="Arial Narrow" w:eastAsia="Arial Narrow" w:hAnsi="Arial Narrow"/>
        <w:color w:val="000000"/>
        <w:sz w:val="18"/>
      </w:rPr>
      <w:t>Centers for Medicare &amp; Medicaid Services</w:t>
    </w:r>
    <w:r w:rsidR="001C2D38">
      <w:rPr>
        <w:rFonts w:ascii="Arial Narrow" w:eastAsia="Arial Narrow" w:hAnsi="Arial Narrow"/>
        <w:color w:val="000000"/>
        <w:sz w:val="18"/>
      </w:rPr>
      <w:tab/>
      <w:t>3. eCQM Package</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80CCFA" w14:textId="092938D8" w:rsidR="001C2D38" w:rsidRPr="005E64B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287770A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4" o:spid="_x0000_s1097" type="#_x0000_t136" style="position:absolute;margin-left:0;margin-top:0;width:412.4pt;height:247.45pt;rotation:315;z-index:-251632640;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C2D38" w:rsidRPr="005E64B8">
      <w:rPr>
        <w:rFonts w:ascii="Arial Narrow" w:eastAsia="Arial Narrow" w:hAnsi="Arial Narrow"/>
        <w:color w:val="000000"/>
        <w:sz w:val="18"/>
      </w:rPr>
      <w:t>Centers for Medicare &amp; Medicaid Services</w:t>
    </w:r>
    <w:r w:rsidR="001C2D38">
      <w:rPr>
        <w:rFonts w:ascii="Arial Narrow" w:eastAsia="Arial Narrow" w:hAnsi="Arial Narrow"/>
        <w:color w:val="000000"/>
        <w:sz w:val="18"/>
      </w:rPr>
      <w:tab/>
      <w:t>3. eCQM Package</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B5D6C3" w14:textId="1D8174D6" w:rsidR="008B00A2" w:rsidRDefault="00AA7182">
    <w:pPr>
      <w:pStyle w:val="Header"/>
    </w:pPr>
    <w:r>
      <w:rPr>
        <w:noProof/>
      </w:rPr>
      <w:pict w14:anchorId="041B11A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8" o:spid="_x0000_s1101" type="#_x0000_t136" style="position:absolute;margin-left:0;margin-top:0;width:412.4pt;height:247.45pt;rotation:315;z-index:-251624448;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7C6333" w14:textId="1E9FF98C" w:rsidR="001C2D38" w:rsidRPr="001C2D3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7E5504A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9" o:spid="_x0000_s1102" type="#_x0000_t136" style="position:absolute;margin-left:0;margin-top:0;width:412.4pt;height:247.45pt;rotation:315;z-index:-251622400;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C2D38" w:rsidRPr="005E64B8">
      <w:rPr>
        <w:rFonts w:ascii="Arial Narrow" w:eastAsia="Arial Narrow" w:hAnsi="Arial Narrow"/>
        <w:color w:val="000000"/>
        <w:sz w:val="18"/>
      </w:rPr>
      <w:t>Centers for Medicare &amp; Medicaid Services</w:t>
    </w:r>
    <w:r w:rsidR="001C2D38">
      <w:rPr>
        <w:rFonts w:ascii="Arial Narrow" w:eastAsia="Arial Narrow" w:hAnsi="Arial Narrow"/>
        <w:color w:val="000000"/>
        <w:sz w:val="18"/>
      </w:rPr>
      <w:tab/>
      <w:t>4. Understanding an eCQM Human-Readable HTML File</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82025D" w14:textId="761A424B" w:rsidR="00161739" w:rsidRPr="001C2D3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192D336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7" o:spid="_x0000_s1100" type="#_x0000_t136" style="position:absolute;margin-left:0;margin-top:0;width:412.4pt;height:247.45pt;rotation:315;z-index:-251626496;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C2D38" w:rsidRPr="005E64B8">
      <w:rPr>
        <w:rFonts w:ascii="Arial Narrow" w:eastAsia="Arial Narrow" w:hAnsi="Arial Narrow"/>
        <w:color w:val="000000"/>
        <w:sz w:val="18"/>
      </w:rPr>
      <w:t>Centers for Medicare &amp; Medicaid Services</w:t>
    </w:r>
    <w:r w:rsidR="001C2D38">
      <w:rPr>
        <w:rFonts w:ascii="Arial Narrow" w:eastAsia="Arial Narrow" w:hAnsi="Arial Narrow"/>
        <w:color w:val="000000"/>
        <w:sz w:val="18"/>
      </w:rPr>
      <w:tab/>
      <w:t>4. Understanding an eCQM Human-Readable HTML File</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0BF8A" w14:textId="44E9909F" w:rsidR="008B00A2" w:rsidRDefault="00AA7182">
    <w:pPr>
      <w:pStyle w:val="Header"/>
    </w:pPr>
    <w:r>
      <w:rPr>
        <w:noProof/>
      </w:rPr>
      <w:pict w14:anchorId="7BC80EB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1" o:spid="_x0000_s1104" type="#_x0000_t136" style="position:absolute;margin-left:0;margin-top:0;width:412.4pt;height:247.45pt;rotation:315;z-index:-251618304;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AB1DC2" w14:textId="611BA217" w:rsidR="00B42D27" w:rsidRPr="002A3E6E" w:rsidRDefault="00AA7182" w:rsidP="00B42D27">
    <w:pPr>
      <w:pStyle w:val="Header"/>
    </w:pPr>
    <w:r>
      <w:rPr>
        <w:noProof/>
      </w:rPr>
      <w:pict w14:anchorId="026E6B6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4" o:spid="_x0000_s1087" type="#_x0000_t136" style="position:absolute;margin-left:0;margin-top:0;width:412.4pt;height:247.45pt;rotation:315;z-index:-251653120;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B42D27" w:rsidRPr="002A3E6E">
      <w:t>Centers for Medicare &amp; Medicaid Services</w:t>
    </w:r>
    <w:r w:rsidR="00B42D27">
      <w:tab/>
      <w:t>Table of Contents</w:t>
    </w: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A1AFFE" w14:textId="350829DA" w:rsidR="009A2046" w:rsidRPr="001C2D3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462C85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2" o:spid="_x0000_s1105" type="#_x0000_t136" style="position:absolute;margin-left:0;margin-top:0;width:412.4pt;height:247.45pt;rotation:315;z-index:-251616256;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9A2046" w:rsidRPr="005E64B8">
      <w:rPr>
        <w:rFonts w:ascii="Arial Narrow" w:eastAsia="Arial Narrow" w:hAnsi="Arial Narrow"/>
        <w:color w:val="000000"/>
        <w:sz w:val="18"/>
      </w:rPr>
      <w:t>Centers for Medicare &amp; Medicaid Services</w:t>
    </w:r>
    <w:r w:rsidR="009A2046">
      <w:rPr>
        <w:rFonts w:ascii="Arial Narrow" w:eastAsia="Arial Narrow" w:hAnsi="Arial Narrow"/>
        <w:color w:val="000000"/>
        <w:sz w:val="18"/>
      </w:rPr>
      <w:tab/>
      <w:t>Version History</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90D90A" w14:textId="27DE2C51" w:rsidR="001C2D38" w:rsidRPr="001C2D38" w:rsidRDefault="00AA7182" w:rsidP="001C2D3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7D119D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0" o:spid="_x0000_s1103" type="#_x0000_t136" style="position:absolute;margin-left:0;margin-top:0;width:412.4pt;height:247.45pt;rotation:315;z-index:-251620352;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C2D38" w:rsidRPr="005E64B8">
      <w:rPr>
        <w:rFonts w:ascii="Arial Narrow" w:eastAsia="Arial Narrow" w:hAnsi="Arial Narrow"/>
        <w:color w:val="000000"/>
        <w:sz w:val="18"/>
      </w:rPr>
      <w:t>Centers for Medicare &amp; Medicaid Services</w:t>
    </w:r>
    <w:r w:rsidR="001C2D38">
      <w:rPr>
        <w:rFonts w:ascii="Arial Narrow" w:eastAsia="Arial Narrow" w:hAnsi="Arial Narrow"/>
        <w:color w:val="000000"/>
        <w:sz w:val="18"/>
      </w:rPr>
      <w:tab/>
      <w:t>5. Connect for Assistance</w:t>
    </w: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529BB3" w14:textId="07F2CA40" w:rsidR="00161739" w:rsidRDefault="00AA7182">
    <w:r>
      <w:rPr>
        <w:noProof/>
      </w:rPr>
      <w:pict w14:anchorId="76F09E3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4" o:spid="_x0000_s1107" type="#_x0000_t136" style="position:absolute;margin-left:0;margin-top:0;width:412.4pt;height:247.45pt;rotation:315;z-index:-251612160;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p w14:paraId="532C059B" w14:textId="77777777" w:rsidR="00161739" w:rsidRDefault="00161739"/>
  <w:p w14:paraId="5ADFF482" w14:textId="77777777" w:rsidR="00161739" w:rsidRDefault="00161739"/>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89514B" w14:textId="6F425876" w:rsidR="00161739" w:rsidRPr="001141A7" w:rsidRDefault="00AA7182" w:rsidP="001141A7">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085CE82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5" o:spid="_x0000_s1108" type="#_x0000_t136" style="position:absolute;margin-left:0;margin-top:0;width:412.4pt;height:247.45pt;rotation:315;z-index:-251610112;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161739" w:rsidRPr="001141A7">
      <w:rPr>
        <w:rFonts w:ascii="Arial Narrow" w:eastAsia="Arial Narrow" w:hAnsi="Arial Narrow"/>
        <w:color w:val="000000"/>
        <w:sz w:val="18"/>
      </w:rPr>
      <w:t>Centers for Medicare &amp; Medicaid Services</w:t>
    </w:r>
    <w:r w:rsidR="00161739" w:rsidRPr="001141A7">
      <w:rPr>
        <w:rFonts w:ascii="Arial Narrow" w:eastAsia="Arial Narrow" w:hAnsi="Arial Narrow"/>
        <w:color w:val="000000"/>
        <w:sz w:val="18"/>
      </w:rPr>
      <w:tab/>
    </w:r>
    <w:r w:rsidR="009A2046">
      <w:rPr>
        <w:rFonts w:ascii="Arial Narrow" w:eastAsia="Arial Narrow" w:hAnsi="Arial Narrow"/>
        <w:color w:val="000000"/>
        <w:sz w:val="18"/>
      </w:rPr>
      <w:t xml:space="preserve">Appendix A. </w:t>
    </w:r>
    <w:r w:rsidR="00161739" w:rsidRPr="001141A7">
      <w:rPr>
        <w:rFonts w:ascii="Arial Narrow" w:eastAsia="Arial Narrow" w:hAnsi="Arial Narrow"/>
        <w:color w:val="000000"/>
        <w:sz w:val="18"/>
      </w:rPr>
      <w:t>Sample eCQM Header</w:t>
    </w: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D1B5B" w14:textId="3BE4B358" w:rsidR="009A2046" w:rsidRPr="001C2D38" w:rsidRDefault="00AA7182" w:rsidP="009A2046">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24FA92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3" o:spid="_x0000_s1106" type="#_x0000_t136" style="position:absolute;margin-left:0;margin-top:0;width:412.4pt;height:247.45pt;rotation:315;z-index:-251614208;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9A2046" w:rsidRPr="005E64B8">
      <w:rPr>
        <w:rFonts w:ascii="Arial Narrow" w:eastAsia="Arial Narrow" w:hAnsi="Arial Narrow"/>
        <w:color w:val="000000"/>
        <w:sz w:val="18"/>
      </w:rPr>
      <w:t>Centers for Medicare &amp; Medicaid Services</w:t>
    </w:r>
    <w:r w:rsidR="009A2046">
      <w:rPr>
        <w:rFonts w:ascii="Arial Narrow" w:eastAsia="Arial Narrow" w:hAnsi="Arial Narrow"/>
        <w:color w:val="000000"/>
        <w:sz w:val="18"/>
      </w:rPr>
      <w:tab/>
      <w:t>Appendix A. Sample eCQM Header</w:t>
    </w: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DA274" w14:textId="76D7CB50" w:rsidR="008B00A2" w:rsidRDefault="00AA7182">
    <w:pPr>
      <w:pStyle w:val="Header"/>
    </w:pPr>
    <w:r>
      <w:rPr>
        <w:noProof/>
      </w:rPr>
      <w:pict w14:anchorId="7674B88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7" o:spid="_x0000_s1110" type="#_x0000_t136" style="position:absolute;margin-left:0;margin-top:0;width:412.4pt;height:247.45pt;rotation:315;z-index:-251606016;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897C5D" w14:textId="339AE301" w:rsidR="008B00A2" w:rsidRDefault="00AA7182">
    <w:pPr>
      <w:pStyle w:val="Header"/>
    </w:pPr>
    <w:r>
      <w:rPr>
        <w:noProof/>
      </w:rPr>
      <w:pict w14:anchorId="3CEB8D5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8" o:spid="_x0000_s1111" type="#_x0000_t136" style="position:absolute;margin-left:0;margin-top:0;width:412.4pt;height:247.45pt;rotation:315;z-index:-251603968;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C4236F" w14:textId="48BE6CB9" w:rsidR="009A2046" w:rsidRPr="001C2D38" w:rsidRDefault="00AA7182" w:rsidP="009A2046">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424E166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86" o:spid="_x0000_s1109" type="#_x0000_t136" style="position:absolute;margin-left:0;margin-top:0;width:412.4pt;height:247.45pt;rotation:315;z-index:-251608064;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9A2046" w:rsidRPr="005E64B8">
      <w:rPr>
        <w:rFonts w:ascii="Arial Narrow" w:eastAsia="Arial Narrow" w:hAnsi="Arial Narrow"/>
        <w:color w:val="000000"/>
        <w:sz w:val="18"/>
      </w:rPr>
      <w:t>Centers for Medicare &amp; Medicaid Services</w:t>
    </w:r>
    <w:r w:rsidR="009A2046">
      <w:rPr>
        <w:rFonts w:ascii="Arial Narrow" w:eastAsia="Arial Narrow" w:hAnsi="Arial Narrow"/>
        <w:color w:val="000000"/>
        <w:sz w:val="18"/>
      </w:rPr>
      <w:tab/>
      <w:t>Acronyms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83A87" w14:textId="22B20251" w:rsidR="008B00A2" w:rsidRDefault="00AA7182" w:rsidP="00840462">
    <w:pPr>
      <w:pStyle w:val="Header"/>
      <w:pBdr>
        <w:top w:val="none" w:sz="0" w:space="0" w:color="auto"/>
        <w:left w:val="none" w:sz="0" w:space="0" w:color="auto"/>
        <w:bottom w:val="none" w:sz="0" w:space="0" w:color="auto"/>
        <w:right w:val="none" w:sz="0" w:space="0" w:color="auto"/>
        <w:between w:val="none" w:sz="0" w:space="0" w:color="auto"/>
      </w:pBdr>
    </w:pPr>
    <w:r>
      <w:rPr>
        <w:noProof/>
      </w:rPr>
      <w:pict w14:anchorId="5241003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2" o:spid="_x0000_s1085" type="#_x0000_t136" style="position:absolute;margin-left:0;margin-top:0;width:412.4pt;height:247.45pt;rotation:315;z-index:-251657216;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3A0C13" w14:textId="0843A85A" w:rsidR="008B00A2" w:rsidRDefault="00AA7182">
    <w:pPr>
      <w:pStyle w:val="Header"/>
    </w:pPr>
    <w:r>
      <w:rPr>
        <w:noProof/>
      </w:rPr>
      <w:pict w14:anchorId="47BBBCB8">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6" o:spid="_x0000_s1089" type="#_x0000_t136" style="position:absolute;margin-left:0;margin-top:0;width:412.4pt;height:247.45pt;rotation:315;z-index:-251649024;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C8E191" w14:textId="358D857C" w:rsidR="008B00A2" w:rsidRDefault="00AA7182">
    <w:pPr>
      <w:pStyle w:val="Header"/>
    </w:pPr>
    <w:r>
      <w:rPr>
        <w:noProof/>
      </w:rPr>
      <w:pict w14:anchorId="0B6ED27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7" o:spid="_x0000_s1090" type="#_x0000_t136" style="position:absolute;margin-left:0;margin-top:0;width:412.4pt;height:247.45pt;rotation:315;z-index:-251646976;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191B67" w14:textId="36D946AD" w:rsidR="002865A5" w:rsidRPr="005E64B8" w:rsidRDefault="00AA7182" w:rsidP="005E64B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2FADBA8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5" o:spid="_x0000_s1088" type="#_x0000_t136" style="position:absolute;margin-left:0;margin-top:0;width:412.4pt;height:247.45pt;rotation:315;z-index:-251651072;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2865A5" w:rsidRPr="005E64B8">
      <w:rPr>
        <w:rFonts w:ascii="Arial Narrow" w:eastAsia="Arial Narrow" w:hAnsi="Arial Narrow"/>
        <w:color w:val="000000"/>
        <w:sz w:val="18"/>
      </w:rPr>
      <w:t>Centers for Medicare &amp; Medicaid Services</w:t>
    </w:r>
    <w:r w:rsidR="00F77E87">
      <w:rPr>
        <w:rFonts w:ascii="Arial Narrow" w:eastAsia="Arial Narrow" w:hAnsi="Arial Narrow"/>
        <w:color w:val="000000"/>
        <w:sz w:val="18"/>
      </w:rPr>
      <w:tab/>
      <w:t>Table of Contents</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783E1" w14:textId="2BB63B7C" w:rsidR="008B00A2" w:rsidRDefault="00AA7182">
    <w:pPr>
      <w:pStyle w:val="Header"/>
    </w:pPr>
    <w:r>
      <w:rPr>
        <w:noProof/>
      </w:rPr>
      <w:pict w14:anchorId="7009315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9" o:spid="_x0000_s1092" type="#_x0000_t136" style="position:absolute;margin-left:0;margin-top:0;width:412.4pt;height:247.45pt;rotation:315;z-index:-251642880;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D488AA" w14:textId="47167052" w:rsidR="008B00A2" w:rsidRDefault="00AA7182">
    <w:pPr>
      <w:pStyle w:val="Header"/>
    </w:pPr>
    <w:r>
      <w:rPr>
        <w:noProof/>
      </w:rPr>
      <w:pict w14:anchorId="636F7CDF">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70" o:spid="_x0000_s1093" type="#_x0000_t136" style="position:absolute;margin-left:0;margin-top:0;width:412.4pt;height:247.45pt;rotation:315;z-index:-251640832;mso-position-horizontal:center;mso-position-horizontal-relative:margin;mso-position-vertical:center;mso-position-vertical-relative:margin" o:allowincell="f" fillcolor="silver" stroked="f">
          <v:textpath style="font-family:&quot;Segoe UI&quot;;font-size:1pt" string="DRAFT"/>
          <w10:wrap anchorx="margin" anchory="margin"/>
        </v:shape>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AB53FD" w14:textId="6D4802AA" w:rsidR="00245C29" w:rsidRPr="005E64B8" w:rsidRDefault="00AA7182" w:rsidP="005E64B8">
    <w:pPr>
      <w:pBdr>
        <w:top w:val="nil"/>
        <w:left w:val="nil"/>
        <w:bottom w:val="single" w:sz="4" w:space="1" w:color="000000"/>
        <w:right w:val="nil"/>
        <w:between w:val="nil"/>
      </w:pBdr>
      <w:tabs>
        <w:tab w:val="right" w:pos="9360"/>
      </w:tabs>
      <w:spacing w:after="240"/>
      <w:rPr>
        <w:rFonts w:ascii="Arial Narrow" w:eastAsia="Arial Narrow" w:hAnsi="Arial Narrow"/>
        <w:color w:val="000000"/>
        <w:sz w:val="18"/>
      </w:rPr>
    </w:pPr>
    <w:r>
      <w:rPr>
        <w:noProof/>
      </w:rPr>
      <w:pict w14:anchorId="0C3BCD8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69007068" o:spid="_x0000_s1091" type="#_x0000_t136" style="position:absolute;margin-left:0;margin-top:0;width:412.4pt;height:247.45pt;rotation:315;z-index:-251644928;mso-position-horizontal:center;mso-position-horizontal-relative:margin;mso-position-vertical:center;mso-position-vertical-relative:margin" o:allowincell="f" fillcolor="silver" stroked="f">
          <v:textpath style="font-family:&quot;Segoe UI&quot;;font-size:1pt" string="DRAFT"/>
          <w10:wrap anchorx="margin" anchory="margin"/>
        </v:shape>
      </w:pict>
    </w:r>
    <w:r w:rsidR="00245C29" w:rsidRPr="005E64B8">
      <w:rPr>
        <w:rFonts w:ascii="Arial Narrow" w:eastAsia="Arial Narrow" w:hAnsi="Arial Narrow"/>
        <w:color w:val="000000"/>
        <w:sz w:val="18"/>
      </w:rPr>
      <w:t>Centers for Medicare &amp; Medicaid Services</w:t>
    </w:r>
    <w:r w:rsidR="00245C29">
      <w:rPr>
        <w:rFonts w:ascii="Arial Narrow" w:eastAsia="Arial Narrow" w:hAnsi="Arial Narrow"/>
        <w:color w:val="000000"/>
        <w:sz w:val="18"/>
      </w:rPr>
      <w:tab/>
      <w:t>1. Introduction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CE2A98E"/>
    <w:lvl w:ilvl="0">
      <w:start w:val="1"/>
      <w:numFmt w:val="decimal"/>
      <w:pStyle w:val="ListNumber5"/>
      <w:lvlText w:val="%1."/>
      <w:lvlJc w:val="left"/>
      <w:pPr>
        <w:tabs>
          <w:tab w:val="num" w:pos="1800"/>
        </w:tabs>
        <w:ind w:left="1800" w:hanging="360"/>
      </w:pPr>
      <w:rPr>
        <w:rFonts w:hint="default"/>
      </w:rPr>
    </w:lvl>
  </w:abstractNum>
  <w:abstractNum w:abstractNumId="1" w15:restartNumberingAfterBreak="0">
    <w:nsid w:val="FFFFFF7D"/>
    <w:multiLevelType w:val="singleLevel"/>
    <w:tmpl w:val="4CE2E99C"/>
    <w:lvl w:ilvl="0">
      <w:start w:val="1"/>
      <w:numFmt w:val="decimal"/>
      <w:pStyle w:val="ListNumber4"/>
      <w:lvlText w:val="%1."/>
      <w:lvlJc w:val="left"/>
      <w:pPr>
        <w:tabs>
          <w:tab w:val="num" w:pos="1440"/>
        </w:tabs>
        <w:ind w:left="1440" w:hanging="360"/>
      </w:pPr>
      <w:rPr>
        <w:rFonts w:hint="default"/>
      </w:rPr>
    </w:lvl>
  </w:abstractNum>
  <w:abstractNum w:abstractNumId="2" w15:restartNumberingAfterBreak="0">
    <w:nsid w:val="FFFFFF7E"/>
    <w:multiLevelType w:val="singleLevel"/>
    <w:tmpl w:val="C16609D6"/>
    <w:lvl w:ilvl="0">
      <w:start w:val="1"/>
      <w:numFmt w:val="decimal"/>
      <w:pStyle w:val="ListNumber3"/>
      <w:lvlText w:val="%1."/>
      <w:lvlJc w:val="left"/>
      <w:pPr>
        <w:tabs>
          <w:tab w:val="num" w:pos="1080"/>
        </w:tabs>
        <w:ind w:left="1080" w:hanging="360"/>
      </w:pPr>
      <w:rPr>
        <w:rFonts w:hint="default"/>
      </w:rPr>
    </w:lvl>
  </w:abstractNum>
  <w:abstractNum w:abstractNumId="3" w15:restartNumberingAfterBreak="0">
    <w:nsid w:val="FFFFFF7F"/>
    <w:multiLevelType w:val="singleLevel"/>
    <w:tmpl w:val="662E6778"/>
    <w:lvl w:ilvl="0">
      <w:start w:val="1"/>
      <w:numFmt w:val="decimal"/>
      <w:pStyle w:val="ListNumber2"/>
      <w:lvlText w:val="%1."/>
      <w:lvlJc w:val="left"/>
      <w:pPr>
        <w:tabs>
          <w:tab w:val="num" w:pos="720"/>
        </w:tabs>
        <w:ind w:left="720" w:hanging="360"/>
      </w:pPr>
      <w:rPr>
        <w:rFonts w:hint="default"/>
      </w:rPr>
    </w:lvl>
  </w:abstractNum>
  <w:abstractNum w:abstractNumId="4" w15:restartNumberingAfterBreak="0">
    <w:nsid w:val="FFFFFF80"/>
    <w:multiLevelType w:val="singleLevel"/>
    <w:tmpl w:val="02B2D40C"/>
    <w:lvl w:ilvl="0">
      <w:start w:val="1"/>
      <w:numFmt w:val="bullet"/>
      <w:pStyle w:val="ListBullet5"/>
      <w:lvlText w:val=""/>
      <w:lvlJc w:val="left"/>
      <w:pPr>
        <w:tabs>
          <w:tab w:val="num" w:pos="2160"/>
        </w:tabs>
        <w:ind w:left="2160" w:hanging="360"/>
      </w:pPr>
      <w:rPr>
        <w:rFonts w:ascii="Symbol" w:hAnsi="Symbol" w:hint="default"/>
      </w:rPr>
    </w:lvl>
  </w:abstractNum>
  <w:abstractNum w:abstractNumId="5" w15:restartNumberingAfterBreak="0">
    <w:nsid w:val="FFFFFF81"/>
    <w:multiLevelType w:val="singleLevel"/>
    <w:tmpl w:val="8AC05C86"/>
    <w:lvl w:ilvl="0">
      <w:start w:val="1"/>
      <w:numFmt w:val="bullet"/>
      <w:pStyle w:val="ListBullet4"/>
      <w:lvlText w:val=""/>
      <w:lvlJc w:val="left"/>
      <w:pPr>
        <w:tabs>
          <w:tab w:val="num" w:pos="1800"/>
        </w:tabs>
        <w:ind w:left="1800" w:hanging="360"/>
      </w:pPr>
      <w:rPr>
        <w:rFonts w:ascii="Symbol" w:hAnsi="Symbol" w:hint="default"/>
      </w:rPr>
    </w:lvl>
  </w:abstractNum>
  <w:abstractNum w:abstractNumId="6" w15:restartNumberingAfterBreak="0">
    <w:nsid w:val="FFFFFF82"/>
    <w:multiLevelType w:val="singleLevel"/>
    <w:tmpl w:val="176CDE68"/>
    <w:lvl w:ilvl="0">
      <w:start w:val="1"/>
      <w:numFmt w:val="bullet"/>
      <w:pStyle w:val="ListBullet3"/>
      <w:lvlText w:val="o"/>
      <w:lvlJc w:val="left"/>
      <w:pPr>
        <w:tabs>
          <w:tab w:val="num" w:pos="540"/>
        </w:tabs>
        <w:ind w:left="540" w:hanging="180"/>
      </w:pPr>
      <w:rPr>
        <w:rFonts w:ascii="Courier New" w:hAnsi="Courier New" w:hint="default"/>
      </w:rPr>
    </w:lvl>
  </w:abstractNum>
  <w:abstractNum w:abstractNumId="7" w15:restartNumberingAfterBreak="0">
    <w:nsid w:val="FFFFFF83"/>
    <w:multiLevelType w:val="singleLevel"/>
    <w:tmpl w:val="D51AC6B8"/>
    <w:lvl w:ilvl="0">
      <w:start w:val="1"/>
      <w:numFmt w:val="bullet"/>
      <w:pStyle w:val="ListBullet2"/>
      <w:lvlText w:val="o"/>
      <w:lvlJc w:val="left"/>
      <w:pPr>
        <w:ind w:left="547" w:hanging="360"/>
      </w:pPr>
      <w:rPr>
        <w:rFonts w:ascii="Courier New" w:hAnsi="Courier New" w:cs="Courier New" w:hint="default"/>
      </w:rPr>
    </w:lvl>
  </w:abstractNum>
  <w:abstractNum w:abstractNumId="8" w15:restartNumberingAfterBreak="0">
    <w:nsid w:val="FFFFFF88"/>
    <w:multiLevelType w:val="singleLevel"/>
    <w:tmpl w:val="A6FA73C8"/>
    <w:lvl w:ilvl="0">
      <w:start w:val="1"/>
      <w:numFmt w:val="decimal"/>
      <w:pStyle w:val="ListNumber"/>
      <w:lvlText w:val="%1."/>
      <w:lvlJc w:val="left"/>
      <w:pPr>
        <w:ind w:left="720" w:hanging="360"/>
      </w:pPr>
      <w:rPr>
        <w:rFonts w:ascii="Times New Roman" w:hAnsi="Times New Roman" w:hint="default"/>
        <w:b w:val="0"/>
        <w:i w:val="0"/>
        <w:color w:val="auto"/>
        <w:sz w:val="24"/>
      </w:rPr>
    </w:lvl>
  </w:abstractNum>
  <w:abstractNum w:abstractNumId="9" w15:restartNumberingAfterBreak="0">
    <w:nsid w:val="FFFFFF89"/>
    <w:multiLevelType w:val="singleLevel"/>
    <w:tmpl w:val="3E106C4E"/>
    <w:lvl w:ilvl="0">
      <w:start w:val="1"/>
      <w:numFmt w:val="bullet"/>
      <w:pStyle w:val="ListBullet"/>
      <w:lvlText w:val=""/>
      <w:lvlJc w:val="left"/>
      <w:pPr>
        <w:tabs>
          <w:tab w:val="num" w:pos="180"/>
        </w:tabs>
        <w:ind w:left="180" w:hanging="180"/>
      </w:pPr>
      <w:rPr>
        <w:rFonts w:ascii="Symbol" w:hAnsi="Symbol" w:hint="default"/>
      </w:rPr>
    </w:lvl>
  </w:abstractNum>
  <w:abstractNum w:abstractNumId="10" w15:restartNumberingAfterBreak="0">
    <w:nsid w:val="019608F7"/>
    <w:multiLevelType w:val="hybridMultilevel"/>
    <w:tmpl w:val="43E61B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01A54FC7"/>
    <w:multiLevelType w:val="multilevel"/>
    <w:tmpl w:val="7B642B86"/>
    <w:lvl w:ilvl="0">
      <w:start w:val="1"/>
      <w:numFmt w:val="decimal"/>
      <w:lvlText w:val="%1."/>
      <w:lvlJc w:val="left"/>
      <w:pPr>
        <w:ind w:left="360" w:hanging="360"/>
      </w:pPr>
      <w:rPr>
        <w:rFonts w:eastAsia="Arial Narrow" w:hint="default"/>
      </w:rPr>
    </w:lvl>
    <w:lvl w:ilvl="1">
      <w:start w:val="1"/>
      <w:numFmt w:val="decimal"/>
      <w:isLgl/>
      <w:lvlText w:val="%1.%2"/>
      <w:lvlJc w:val="left"/>
      <w:pPr>
        <w:ind w:left="720" w:hanging="720"/>
      </w:pPr>
      <w:rPr>
        <w:rFonts w:eastAsia="Arial Narrow" w:hint="default"/>
      </w:rPr>
    </w:lvl>
    <w:lvl w:ilvl="2">
      <w:start w:val="1"/>
      <w:numFmt w:val="decimal"/>
      <w:isLgl/>
      <w:lvlText w:val="%1.%2.%3"/>
      <w:lvlJc w:val="left"/>
      <w:pPr>
        <w:ind w:left="720" w:hanging="720"/>
      </w:pPr>
      <w:rPr>
        <w:rFonts w:eastAsia="Arial Narrow" w:hint="default"/>
      </w:rPr>
    </w:lvl>
    <w:lvl w:ilvl="3">
      <w:start w:val="1"/>
      <w:numFmt w:val="decimal"/>
      <w:isLgl/>
      <w:lvlText w:val="%1.%2.%3.%4"/>
      <w:lvlJc w:val="left"/>
      <w:pPr>
        <w:ind w:left="1080" w:hanging="1080"/>
      </w:pPr>
      <w:rPr>
        <w:rFonts w:eastAsia="Arial Narrow" w:hint="default"/>
      </w:rPr>
    </w:lvl>
    <w:lvl w:ilvl="4">
      <w:start w:val="1"/>
      <w:numFmt w:val="decimal"/>
      <w:isLgl/>
      <w:lvlText w:val="%1.%2.%3.%4.%5"/>
      <w:lvlJc w:val="left"/>
      <w:pPr>
        <w:ind w:left="1080" w:hanging="1080"/>
      </w:pPr>
      <w:rPr>
        <w:rFonts w:eastAsia="Arial Narrow" w:hint="default"/>
      </w:rPr>
    </w:lvl>
    <w:lvl w:ilvl="5">
      <w:start w:val="1"/>
      <w:numFmt w:val="decimal"/>
      <w:isLgl/>
      <w:lvlText w:val="%1.%2.%3.%4.%5.%6"/>
      <w:lvlJc w:val="left"/>
      <w:pPr>
        <w:ind w:left="1440" w:hanging="1440"/>
      </w:pPr>
      <w:rPr>
        <w:rFonts w:eastAsia="Arial Narrow" w:hint="default"/>
      </w:rPr>
    </w:lvl>
    <w:lvl w:ilvl="6">
      <w:start w:val="1"/>
      <w:numFmt w:val="decimal"/>
      <w:isLgl/>
      <w:lvlText w:val="%1.%2.%3.%4.%5.%6.%7"/>
      <w:lvlJc w:val="left"/>
      <w:pPr>
        <w:ind w:left="1800" w:hanging="1800"/>
      </w:pPr>
      <w:rPr>
        <w:rFonts w:eastAsia="Arial Narrow" w:hint="default"/>
      </w:rPr>
    </w:lvl>
    <w:lvl w:ilvl="7">
      <w:start w:val="1"/>
      <w:numFmt w:val="decimal"/>
      <w:isLgl/>
      <w:lvlText w:val="%1.%2.%3.%4.%5.%6.%7.%8"/>
      <w:lvlJc w:val="left"/>
      <w:pPr>
        <w:ind w:left="1800" w:hanging="1800"/>
      </w:pPr>
      <w:rPr>
        <w:rFonts w:eastAsia="Arial Narrow" w:hint="default"/>
      </w:rPr>
    </w:lvl>
    <w:lvl w:ilvl="8">
      <w:start w:val="1"/>
      <w:numFmt w:val="decimal"/>
      <w:isLgl/>
      <w:lvlText w:val="%1.%2.%3.%4.%5.%6.%7.%8.%9"/>
      <w:lvlJc w:val="left"/>
      <w:pPr>
        <w:ind w:left="2160" w:hanging="2160"/>
      </w:pPr>
      <w:rPr>
        <w:rFonts w:eastAsia="Arial Narrow" w:hint="default"/>
      </w:rPr>
    </w:lvl>
  </w:abstractNum>
  <w:abstractNum w:abstractNumId="12" w15:restartNumberingAfterBreak="0">
    <w:nsid w:val="03E50D66"/>
    <w:multiLevelType w:val="multilevel"/>
    <w:tmpl w:val="9D4AC124"/>
    <w:styleLink w:val="Feature2"/>
    <w:lvl w:ilvl="0">
      <w:start w:val="1"/>
      <w:numFmt w:val="decimal"/>
      <w:lvlText w:val="%1)"/>
      <w:lvlJc w:val="left"/>
      <w:pPr>
        <w:ind w:left="360" w:hanging="360"/>
      </w:pPr>
      <w:rPr>
        <w:b/>
        <w:color w:val="0B2949" w:themeColor="accent1"/>
        <w:sz w:val="2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06477A71"/>
    <w:multiLevelType w:val="multilevel"/>
    <w:tmpl w:val="134EEA1A"/>
    <w:lvl w:ilvl="0">
      <w:start w:val="1"/>
      <w:numFmt w:val="bullet"/>
      <w:pStyle w:val="BulletListMultiple"/>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14" w15:restartNumberingAfterBreak="0">
    <w:nsid w:val="07894E48"/>
    <w:multiLevelType w:val="hybridMultilevel"/>
    <w:tmpl w:val="7B26FD56"/>
    <w:lvl w:ilvl="0" w:tplc="5EFC5982">
      <w:start w:val="1"/>
      <w:numFmt w:val="bullet"/>
      <w:pStyle w:val="ListBullet1"/>
      <w:lvlText w:val="/"/>
      <w:lvlJc w:val="left"/>
      <w:pPr>
        <w:tabs>
          <w:tab w:val="num" w:pos="180"/>
        </w:tabs>
        <w:ind w:left="180" w:hanging="180"/>
      </w:pPr>
      <w:rPr>
        <w:rFonts w:ascii="Calibri" w:hAnsi="Calibri" w:hint="default"/>
        <w:b w:val="0"/>
        <w:i w:val="0"/>
        <w:color w:val="5B6771" w:themeColor="accent3"/>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8E56F9F"/>
    <w:multiLevelType w:val="hybridMultilevel"/>
    <w:tmpl w:val="AC1A0ACE"/>
    <w:lvl w:ilvl="0" w:tplc="E40402AC">
      <w:start w:val="1"/>
      <w:numFmt w:val="lowerLetter"/>
      <w:pStyle w:val="ListAlpha3"/>
      <w:lvlText w:val="%1."/>
      <w:lvlJc w:val="left"/>
      <w:pPr>
        <w:tabs>
          <w:tab w:val="num" w:pos="1080"/>
        </w:tabs>
        <w:ind w:left="1080" w:hanging="360"/>
      </w:pPr>
      <w:rPr>
        <w:rFonts w:asciiTheme="minorHAnsi" w:hAnsiTheme="minorHAnsi" w:cstheme="minorHAnsi" w:hint="default"/>
        <w:b w:val="0"/>
        <w:i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0FFF533D"/>
    <w:multiLevelType w:val="hybridMultilevel"/>
    <w:tmpl w:val="4508ACE0"/>
    <w:lvl w:ilvl="0" w:tplc="AF0E3784">
      <w:start w:val="1"/>
      <w:numFmt w:val="decimal"/>
      <w:pStyle w:val="TableListNumber2"/>
      <w:lvlText w:val="%1."/>
      <w:lvlJc w:val="left"/>
      <w:pPr>
        <w:tabs>
          <w:tab w:val="num" w:pos="432"/>
        </w:tabs>
        <w:ind w:left="432" w:hanging="216"/>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3ED3016"/>
    <w:multiLevelType w:val="hybridMultilevel"/>
    <w:tmpl w:val="37FAFE3C"/>
    <w:lvl w:ilvl="0" w:tplc="7228F856">
      <w:start w:val="1"/>
      <w:numFmt w:val="bullet"/>
      <w:pStyle w:val="TableListBullet"/>
      <w:lvlText w:val=""/>
      <w:lvlJc w:val="left"/>
      <w:pPr>
        <w:tabs>
          <w:tab w:val="num" w:pos="216"/>
        </w:tabs>
        <w:ind w:left="216" w:hanging="216"/>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6C53CFC"/>
    <w:multiLevelType w:val="hybridMultilevel"/>
    <w:tmpl w:val="5DBA44F8"/>
    <w:lvl w:ilvl="0" w:tplc="F154CD68">
      <w:start w:val="1"/>
      <w:numFmt w:val="decimal"/>
      <w:pStyle w:val="TableListNumber"/>
      <w:lvlText w:val="%1."/>
      <w:lvlJc w:val="left"/>
      <w:pPr>
        <w:tabs>
          <w:tab w:val="num" w:pos="216"/>
        </w:tabs>
        <w:ind w:left="216" w:hanging="216"/>
      </w:pPr>
      <w:rPr>
        <w:rFonts w:hint="default"/>
        <w:b/>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B153D6E"/>
    <w:multiLevelType w:val="hybridMultilevel"/>
    <w:tmpl w:val="A6FCB174"/>
    <w:lvl w:ilvl="0" w:tplc="24145FFA">
      <w:start w:val="1"/>
      <w:numFmt w:val="bullet"/>
      <w:lvlText w:val=""/>
      <w:lvlJc w:val="left"/>
      <w:pPr>
        <w:ind w:left="720" w:hanging="360"/>
      </w:pPr>
      <w:rPr>
        <w:rFonts w:ascii="Symbol" w:hAnsi="Symbol"/>
      </w:rPr>
    </w:lvl>
    <w:lvl w:ilvl="1" w:tplc="6D34F656">
      <w:start w:val="1"/>
      <w:numFmt w:val="bullet"/>
      <w:lvlText w:val=""/>
      <w:lvlJc w:val="left"/>
      <w:pPr>
        <w:ind w:left="720" w:hanging="360"/>
      </w:pPr>
      <w:rPr>
        <w:rFonts w:ascii="Symbol" w:hAnsi="Symbol"/>
      </w:rPr>
    </w:lvl>
    <w:lvl w:ilvl="2" w:tplc="E6D2B666">
      <w:start w:val="1"/>
      <w:numFmt w:val="bullet"/>
      <w:lvlText w:val=""/>
      <w:lvlJc w:val="left"/>
      <w:pPr>
        <w:ind w:left="720" w:hanging="360"/>
      </w:pPr>
      <w:rPr>
        <w:rFonts w:ascii="Symbol" w:hAnsi="Symbol"/>
      </w:rPr>
    </w:lvl>
    <w:lvl w:ilvl="3" w:tplc="EB18A032">
      <w:start w:val="1"/>
      <w:numFmt w:val="bullet"/>
      <w:lvlText w:val=""/>
      <w:lvlJc w:val="left"/>
      <w:pPr>
        <w:ind w:left="720" w:hanging="360"/>
      </w:pPr>
      <w:rPr>
        <w:rFonts w:ascii="Symbol" w:hAnsi="Symbol"/>
      </w:rPr>
    </w:lvl>
    <w:lvl w:ilvl="4" w:tplc="4826613C">
      <w:start w:val="1"/>
      <w:numFmt w:val="bullet"/>
      <w:lvlText w:val=""/>
      <w:lvlJc w:val="left"/>
      <w:pPr>
        <w:ind w:left="720" w:hanging="360"/>
      </w:pPr>
      <w:rPr>
        <w:rFonts w:ascii="Symbol" w:hAnsi="Symbol"/>
      </w:rPr>
    </w:lvl>
    <w:lvl w:ilvl="5" w:tplc="9E860530">
      <w:start w:val="1"/>
      <w:numFmt w:val="bullet"/>
      <w:lvlText w:val=""/>
      <w:lvlJc w:val="left"/>
      <w:pPr>
        <w:ind w:left="720" w:hanging="360"/>
      </w:pPr>
      <w:rPr>
        <w:rFonts w:ascii="Symbol" w:hAnsi="Symbol"/>
      </w:rPr>
    </w:lvl>
    <w:lvl w:ilvl="6" w:tplc="44281498">
      <w:start w:val="1"/>
      <w:numFmt w:val="bullet"/>
      <w:lvlText w:val=""/>
      <w:lvlJc w:val="left"/>
      <w:pPr>
        <w:ind w:left="720" w:hanging="360"/>
      </w:pPr>
      <w:rPr>
        <w:rFonts w:ascii="Symbol" w:hAnsi="Symbol"/>
      </w:rPr>
    </w:lvl>
    <w:lvl w:ilvl="7" w:tplc="9350FE78">
      <w:start w:val="1"/>
      <w:numFmt w:val="bullet"/>
      <w:lvlText w:val=""/>
      <w:lvlJc w:val="left"/>
      <w:pPr>
        <w:ind w:left="720" w:hanging="360"/>
      </w:pPr>
      <w:rPr>
        <w:rFonts w:ascii="Symbol" w:hAnsi="Symbol"/>
      </w:rPr>
    </w:lvl>
    <w:lvl w:ilvl="8" w:tplc="E3E6A14E">
      <w:start w:val="1"/>
      <w:numFmt w:val="bullet"/>
      <w:lvlText w:val=""/>
      <w:lvlJc w:val="left"/>
      <w:pPr>
        <w:ind w:left="720" w:hanging="360"/>
      </w:pPr>
      <w:rPr>
        <w:rFonts w:ascii="Symbol" w:hAnsi="Symbol"/>
      </w:rPr>
    </w:lvl>
  </w:abstractNum>
  <w:abstractNum w:abstractNumId="20" w15:restartNumberingAfterBreak="0">
    <w:nsid w:val="21C700F5"/>
    <w:multiLevelType w:val="hybridMultilevel"/>
    <w:tmpl w:val="C28ABA4C"/>
    <w:lvl w:ilvl="0" w:tplc="FCA6086A">
      <w:start w:val="1"/>
      <w:numFmt w:val="bullet"/>
      <w:pStyle w:val="ESListBullet"/>
      <w:lvlText w:val=""/>
      <w:lvlJc w:val="left"/>
      <w:pPr>
        <w:tabs>
          <w:tab w:val="num" w:pos="360"/>
        </w:tabs>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4074D03"/>
    <w:multiLevelType w:val="multilevel"/>
    <w:tmpl w:val="5A165630"/>
    <w:lvl w:ilvl="0">
      <w:start w:val="1"/>
      <w:numFmt w:val="bullet"/>
      <w:pStyle w:val="BulletListMultipleLas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4910351"/>
    <w:multiLevelType w:val="multilevel"/>
    <w:tmpl w:val="E9F4C7D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B4F425B"/>
    <w:multiLevelType w:val="hybridMultilevel"/>
    <w:tmpl w:val="7616BBFE"/>
    <w:lvl w:ilvl="0" w:tplc="76589562">
      <w:start w:val="1"/>
      <w:numFmt w:val="decimal"/>
      <w:lvlText w:val="%1."/>
      <w:lvlJc w:val="left"/>
      <w:pPr>
        <w:ind w:left="720" w:hanging="360"/>
      </w:pPr>
      <w:rPr>
        <w:rFonts w:hint="default"/>
        <w:color w:val="00000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2D416409"/>
    <w:multiLevelType w:val="multilevel"/>
    <w:tmpl w:val="1D3A7F34"/>
    <w:lvl w:ilvl="0">
      <w:start w:val="1"/>
      <w:numFmt w:val="upperRoman"/>
      <w:pStyle w:val="List"/>
      <w:lvlText w:val="%1."/>
      <w:lvlJc w:val="left"/>
      <w:pPr>
        <w:ind w:left="720" w:hanging="720"/>
      </w:pPr>
      <w:rPr>
        <w:rFonts w:hint="default"/>
        <w:b/>
        <w:i w:val="0"/>
      </w:rPr>
    </w:lvl>
    <w:lvl w:ilvl="1">
      <w:start w:val="1"/>
      <w:numFmt w:val="upperLetter"/>
      <w:pStyle w:val="List2"/>
      <w:lvlText w:val="%2."/>
      <w:lvlJc w:val="left"/>
      <w:pPr>
        <w:tabs>
          <w:tab w:val="num" w:pos="720"/>
        </w:tabs>
        <w:ind w:left="1080" w:hanging="360"/>
      </w:pPr>
      <w:rPr>
        <w:rFonts w:hint="default"/>
      </w:rPr>
    </w:lvl>
    <w:lvl w:ilvl="2">
      <w:start w:val="1"/>
      <w:numFmt w:val="decimal"/>
      <w:pStyle w:val="List3"/>
      <w:lvlText w:val="%3."/>
      <w:lvlJc w:val="left"/>
      <w:pPr>
        <w:tabs>
          <w:tab w:val="num" w:pos="1080"/>
        </w:tabs>
        <w:ind w:left="1440" w:hanging="360"/>
      </w:pPr>
      <w:rPr>
        <w:rFonts w:hint="default"/>
      </w:rPr>
    </w:lvl>
    <w:lvl w:ilvl="3">
      <w:start w:val="1"/>
      <w:numFmt w:val="lowerLetter"/>
      <w:pStyle w:val="List4"/>
      <w:lvlText w:val="%4."/>
      <w:lvlJc w:val="left"/>
      <w:pPr>
        <w:tabs>
          <w:tab w:val="num" w:pos="1440"/>
        </w:tabs>
        <w:ind w:left="1800" w:hanging="360"/>
      </w:pPr>
      <w:rPr>
        <w:rFonts w:hint="default"/>
      </w:rPr>
    </w:lvl>
    <w:lvl w:ilvl="4">
      <w:start w:val="1"/>
      <w:numFmt w:val="lowerRoman"/>
      <w:pStyle w:val="List5"/>
      <w:lvlText w:val="%5."/>
      <w:lvlJc w:val="left"/>
      <w:pPr>
        <w:tabs>
          <w:tab w:val="num" w:pos="1800"/>
        </w:tabs>
        <w:ind w:left="2376" w:hanging="576"/>
      </w:pPr>
      <w:rPr>
        <w:rFonts w:hint="default"/>
      </w:rPr>
    </w:lvl>
    <w:lvl w:ilvl="5">
      <w:start w:val="1"/>
      <w:numFmt w:val="lowerRoman"/>
      <w:lvlText w:val="(%6)"/>
      <w:lvlJc w:val="left"/>
      <w:pPr>
        <w:ind w:left="1800" w:hanging="360"/>
      </w:pPr>
      <w:rPr>
        <w:rFonts w:hint="default"/>
      </w:rPr>
    </w:lvl>
    <w:lvl w:ilvl="6">
      <w:start w:val="1"/>
      <w:numFmt w:val="decimal"/>
      <w:lvlText w:val="%7."/>
      <w:lvlJc w:val="left"/>
      <w:pPr>
        <w:ind w:left="2160" w:hanging="360"/>
      </w:pPr>
      <w:rPr>
        <w:rFonts w:hint="default"/>
      </w:rPr>
    </w:lvl>
    <w:lvl w:ilvl="7">
      <w:start w:val="1"/>
      <w:numFmt w:val="lowerLetter"/>
      <w:lvlText w:val="%8."/>
      <w:lvlJc w:val="left"/>
      <w:pPr>
        <w:ind w:left="2520" w:hanging="360"/>
      </w:pPr>
      <w:rPr>
        <w:rFonts w:hint="default"/>
      </w:rPr>
    </w:lvl>
    <w:lvl w:ilvl="8">
      <w:start w:val="1"/>
      <w:numFmt w:val="lowerRoman"/>
      <w:lvlText w:val="%9."/>
      <w:lvlJc w:val="left"/>
      <w:pPr>
        <w:ind w:left="2880" w:hanging="360"/>
      </w:pPr>
      <w:rPr>
        <w:rFonts w:hint="default"/>
      </w:rPr>
    </w:lvl>
  </w:abstractNum>
  <w:abstractNum w:abstractNumId="25" w15:restartNumberingAfterBreak="0">
    <w:nsid w:val="307660DD"/>
    <w:multiLevelType w:val="hybridMultilevel"/>
    <w:tmpl w:val="B62E88E6"/>
    <w:lvl w:ilvl="0" w:tplc="FFFFFFFF">
      <w:start w:val="1"/>
      <w:numFmt w:val="decimal"/>
      <w:lvlText w:val="%1."/>
      <w:lvlJc w:val="left"/>
      <w:pPr>
        <w:ind w:left="720" w:hanging="360"/>
      </w:pPr>
      <w:rPr>
        <w:rFonts w:hint="default"/>
        <w:color w:val="000000"/>
      </w:rPr>
    </w:lvl>
    <w:lvl w:ilvl="1" w:tplc="04090001">
      <w:start w:val="1"/>
      <w:numFmt w:val="bullet"/>
      <w:lvlText w:val=""/>
      <w:lvlJc w:val="left"/>
      <w:pPr>
        <w:ind w:left="1440" w:hanging="360"/>
      </w:pPr>
      <w:rPr>
        <w:rFonts w:ascii="Symbol" w:hAnsi="Symbol" w:hint="default"/>
      </w:rPr>
    </w:lvl>
    <w:lvl w:ilvl="2" w:tplc="5BA4F454">
      <w:start w:val="1"/>
      <w:numFmt w:val="low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33AC03F4"/>
    <w:multiLevelType w:val="hybridMultilevel"/>
    <w:tmpl w:val="04FEDE68"/>
    <w:lvl w:ilvl="0" w:tplc="FC40B628">
      <w:start w:val="1"/>
      <w:numFmt w:val="bullet"/>
      <w:pStyle w:val="SidebarListBullet"/>
      <w:lvlText w:val=""/>
      <w:lvlJc w:val="left"/>
      <w:pPr>
        <w:tabs>
          <w:tab w:val="num" w:pos="288"/>
        </w:tabs>
        <w:ind w:left="288" w:hanging="288"/>
      </w:pPr>
      <w:rPr>
        <w:rFonts w:ascii="Symbol" w:hAnsi="Symbol" w:hint="default"/>
        <w:color w:val="5B6771" w:themeColor="accent3"/>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37655570"/>
    <w:multiLevelType w:val="hybridMultilevel"/>
    <w:tmpl w:val="0BBED9BE"/>
    <w:lvl w:ilvl="0" w:tplc="F4F02EBE">
      <w:start w:val="1"/>
      <w:numFmt w:val="bullet"/>
      <w:pStyle w:val="TableListBullet2"/>
      <w:lvlText w:val="–"/>
      <w:lvlJc w:val="left"/>
      <w:pPr>
        <w:tabs>
          <w:tab w:val="num" w:pos="432"/>
        </w:tabs>
        <w:ind w:left="432" w:hanging="216"/>
      </w:pPr>
    </w:lvl>
    <w:lvl w:ilvl="1" w:tplc="9ABE1BD8" w:tentative="1">
      <w:start w:val="1"/>
      <w:numFmt w:val="bullet"/>
      <w:lvlText w:val="o"/>
      <w:lvlJc w:val="left"/>
      <w:pPr>
        <w:ind w:left="1440" w:hanging="360"/>
      </w:pPr>
      <w:rPr>
        <w:rFonts w:ascii="Courier New" w:hAnsi="Courier New" w:hint="default"/>
      </w:rPr>
    </w:lvl>
    <w:lvl w:ilvl="2" w:tplc="B1F8FCF4" w:tentative="1">
      <w:start w:val="1"/>
      <w:numFmt w:val="bullet"/>
      <w:lvlText w:val=""/>
      <w:lvlJc w:val="left"/>
      <w:pPr>
        <w:ind w:left="2160" w:hanging="360"/>
      </w:pPr>
      <w:rPr>
        <w:rFonts w:ascii="Wingdings" w:hAnsi="Wingdings" w:hint="default"/>
      </w:rPr>
    </w:lvl>
    <w:lvl w:ilvl="3" w:tplc="D596536E" w:tentative="1">
      <w:start w:val="1"/>
      <w:numFmt w:val="bullet"/>
      <w:lvlText w:val=""/>
      <w:lvlJc w:val="left"/>
      <w:pPr>
        <w:ind w:left="2880" w:hanging="360"/>
      </w:pPr>
      <w:rPr>
        <w:rFonts w:ascii="Symbol" w:hAnsi="Symbol" w:hint="default"/>
      </w:rPr>
    </w:lvl>
    <w:lvl w:ilvl="4" w:tplc="323E026C" w:tentative="1">
      <w:start w:val="1"/>
      <w:numFmt w:val="bullet"/>
      <w:lvlText w:val="o"/>
      <w:lvlJc w:val="left"/>
      <w:pPr>
        <w:ind w:left="3600" w:hanging="360"/>
      </w:pPr>
      <w:rPr>
        <w:rFonts w:ascii="Courier New" w:hAnsi="Courier New" w:hint="default"/>
      </w:rPr>
    </w:lvl>
    <w:lvl w:ilvl="5" w:tplc="3E1E7924" w:tentative="1">
      <w:start w:val="1"/>
      <w:numFmt w:val="bullet"/>
      <w:lvlText w:val=""/>
      <w:lvlJc w:val="left"/>
      <w:pPr>
        <w:ind w:left="4320" w:hanging="360"/>
      </w:pPr>
      <w:rPr>
        <w:rFonts w:ascii="Wingdings" w:hAnsi="Wingdings" w:hint="default"/>
      </w:rPr>
    </w:lvl>
    <w:lvl w:ilvl="6" w:tplc="B9DCD844" w:tentative="1">
      <w:start w:val="1"/>
      <w:numFmt w:val="bullet"/>
      <w:lvlText w:val=""/>
      <w:lvlJc w:val="left"/>
      <w:pPr>
        <w:ind w:left="5040" w:hanging="360"/>
      </w:pPr>
      <w:rPr>
        <w:rFonts w:ascii="Symbol" w:hAnsi="Symbol" w:hint="default"/>
      </w:rPr>
    </w:lvl>
    <w:lvl w:ilvl="7" w:tplc="59C8A706" w:tentative="1">
      <w:start w:val="1"/>
      <w:numFmt w:val="bullet"/>
      <w:lvlText w:val="o"/>
      <w:lvlJc w:val="left"/>
      <w:pPr>
        <w:ind w:left="5760" w:hanging="360"/>
      </w:pPr>
      <w:rPr>
        <w:rFonts w:ascii="Courier New" w:hAnsi="Courier New" w:hint="default"/>
      </w:rPr>
    </w:lvl>
    <w:lvl w:ilvl="8" w:tplc="FB407354" w:tentative="1">
      <w:start w:val="1"/>
      <w:numFmt w:val="bullet"/>
      <w:lvlText w:val=""/>
      <w:lvlJc w:val="left"/>
      <w:pPr>
        <w:ind w:left="6480" w:hanging="360"/>
      </w:pPr>
      <w:rPr>
        <w:rFonts w:ascii="Wingdings" w:hAnsi="Wingdings" w:hint="default"/>
      </w:rPr>
    </w:lvl>
  </w:abstractNum>
  <w:abstractNum w:abstractNumId="28" w15:restartNumberingAfterBreak="0">
    <w:nsid w:val="3B8B0C27"/>
    <w:multiLevelType w:val="hybridMultilevel"/>
    <w:tmpl w:val="B10A41F4"/>
    <w:lvl w:ilvl="0" w:tplc="04090001">
      <w:start w:val="1"/>
      <w:numFmt w:val="bullet"/>
      <w:lvlText w:val=""/>
      <w:lvlJc w:val="left"/>
      <w:pPr>
        <w:ind w:left="1110" w:hanging="360"/>
      </w:pPr>
      <w:rPr>
        <w:rFonts w:ascii="Symbol" w:hAnsi="Symbol" w:hint="default"/>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29" w15:restartNumberingAfterBreak="0">
    <w:nsid w:val="3D16378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41354FAD"/>
    <w:multiLevelType w:val="multilevel"/>
    <w:tmpl w:val="AC9EA6A8"/>
    <w:lvl w:ilvl="0">
      <w:start w:val="1"/>
      <w:numFmt w:val="decimal"/>
      <w:pStyle w:val="BulletSecondLeve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41F04643"/>
    <w:multiLevelType w:val="multilevel"/>
    <w:tmpl w:val="8998149A"/>
    <w:lvl w:ilvl="0">
      <w:start w:val="1"/>
      <w:numFmt w:val="decimal"/>
      <w:pStyle w:val="BulletThirdLevel"/>
      <w:lvlText w:val="%1."/>
      <w:lvlJc w:val="left"/>
      <w:pPr>
        <w:ind w:left="450" w:hanging="450"/>
      </w:pPr>
      <w:rPr>
        <w:rFonts w:ascii="Arial Narrow" w:hAnsi="Arial Narrow" w:hint="default"/>
        <w:b/>
        <w:bCs/>
        <w:sz w:val="36"/>
        <w:szCs w:val="36"/>
      </w:rPr>
    </w:lvl>
    <w:lvl w:ilvl="1">
      <w:start w:val="1"/>
      <w:numFmt w:val="decimal"/>
      <w:lvlText w:val="%1.%2."/>
      <w:lvlJc w:val="left"/>
      <w:pPr>
        <w:ind w:left="720" w:hanging="720"/>
      </w:pPr>
      <w:rPr>
        <w:rFonts w:ascii="Arial Narrow" w:hAnsi="Arial Narrow" w:hint="default"/>
        <w:b/>
        <w:bCs/>
        <w:sz w:val="32"/>
        <w:szCs w:val="32"/>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440" w:hanging="144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2" w15:restartNumberingAfterBreak="0">
    <w:nsid w:val="4268522A"/>
    <w:multiLevelType w:val="multilevel"/>
    <w:tmpl w:val="D7DE1CA4"/>
    <w:lvl w:ilvl="0">
      <w:start w:val="1"/>
      <w:numFmt w:val="decimal"/>
      <w:pStyle w:val="BulletListSingleLast"/>
      <w:lvlText w:val="%1."/>
      <w:lvlJc w:val="left"/>
      <w:pPr>
        <w:ind w:left="720" w:hanging="720"/>
      </w:pPr>
      <w:rPr>
        <w:rFonts w:ascii="Arial Narrow" w:eastAsia="Arial Narrow" w:hAnsi="Arial Narrow" w:cs="Arial Narrow"/>
        <w:b/>
        <w:i w:val="0"/>
        <w:sz w:val="36"/>
        <w:szCs w:val="36"/>
      </w:rPr>
    </w:lvl>
    <w:lvl w:ilvl="1">
      <w:start w:val="1"/>
      <w:numFmt w:val="decimal"/>
      <w:lvlText w:val="%1.%2"/>
      <w:lvlJc w:val="left"/>
      <w:pPr>
        <w:ind w:left="720" w:hanging="720"/>
      </w:pPr>
      <w:rPr>
        <w:rFonts w:ascii="Arial Narrow" w:eastAsia="Arial Narrow" w:hAnsi="Arial Narrow" w:cs="Arial Narrow"/>
        <w:b/>
        <w:i w:val="0"/>
        <w:sz w:val="32"/>
        <w:szCs w:val="32"/>
      </w:rPr>
    </w:lvl>
    <w:lvl w:ilvl="2">
      <w:start w:val="1"/>
      <w:numFmt w:val="decimal"/>
      <w:lvlText w:val="%1.%2.%3"/>
      <w:lvlJc w:val="left"/>
      <w:pPr>
        <w:ind w:left="2286" w:hanging="936"/>
      </w:pPr>
      <w:rPr>
        <w:rFonts w:ascii="Arial Narrow" w:eastAsia="Arial Narrow" w:hAnsi="Arial Narrow" w:cs="Arial Narrow"/>
        <w:b/>
        <w:i w:val="0"/>
        <w:sz w:val="28"/>
        <w:szCs w:val="28"/>
      </w:rPr>
    </w:lvl>
    <w:lvl w:ilvl="3">
      <w:start w:val="1"/>
      <w:numFmt w:val="decimal"/>
      <w:lvlText w:val="%1.%2.%3.%4"/>
      <w:lvlJc w:val="left"/>
      <w:pPr>
        <w:ind w:left="1008" w:hanging="1008"/>
      </w:pPr>
      <w:rPr>
        <w:rFonts w:ascii="Arial Narrow" w:eastAsia="Arial Narrow" w:hAnsi="Arial Narrow" w:cs="Arial Narrow"/>
        <w:b/>
        <w:i w:val="0"/>
        <w:smallCaps w:val="0"/>
        <w:strike w:val="0"/>
        <w:color w:val="000000"/>
        <w:sz w:val="26"/>
        <w:szCs w:val="26"/>
        <w:vertAlign w:val="baseline"/>
      </w:rPr>
    </w:lvl>
    <w:lvl w:ilvl="4">
      <w:start w:val="1"/>
      <w:numFmt w:val="decimal"/>
      <w:lvlText w:val="%1.%2.%3.%4.%5"/>
      <w:lvlJc w:val="left"/>
      <w:pPr>
        <w:ind w:left="1224" w:hanging="1224"/>
      </w:pPr>
      <w:rPr>
        <w:rFonts w:ascii="Arial Narrow" w:eastAsia="Arial Narrow" w:hAnsi="Arial Narrow" w:cs="Arial Narrow"/>
        <w:b w:val="0"/>
        <w:i/>
        <w:sz w:val="26"/>
        <w:szCs w:val="26"/>
      </w:rPr>
    </w:lvl>
    <w:lvl w:ilvl="5">
      <w:start w:val="1"/>
      <w:numFmt w:val="decimal"/>
      <w:lvlText w:val="%1.%2.%3.%4.%5.%6"/>
      <w:lvlJc w:val="left"/>
      <w:pPr>
        <w:ind w:left="1728" w:hanging="1152"/>
      </w:pPr>
      <w:rPr>
        <w:rFonts w:ascii="Arial Narrow" w:eastAsia="Arial Narrow" w:hAnsi="Arial Narrow" w:cs="Arial Narrow"/>
        <w:b w:val="0"/>
        <w:i/>
        <w:sz w:val="26"/>
        <w:szCs w:val="26"/>
      </w:rPr>
    </w:lvl>
    <w:lvl w:ilvl="6">
      <w:start w:val="1"/>
      <w:numFmt w:val="decimal"/>
      <w:lvlText w:val="%1.%2.%3.%4.%5.%6.%7"/>
      <w:lvlJc w:val="left"/>
      <w:pPr>
        <w:ind w:left="1872" w:hanging="1872"/>
      </w:pPr>
      <w:rPr>
        <w:rFonts w:ascii="Arial Narrow" w:eastAsia="Arial Narrow" w:hAnsi="Arial Narrow" w:cs="Arial Narrow"/>
        <w:b w:val="0"/>
        <w:i/>
        <w:sz w:val="24"/>
        <w:szCs w:val="24"/>
      </w:r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3" w15:restartNumberingAfterBreak="0">
    <w:nsid w:val="439D1990"/>
    <w:multiLevelType w:val="hybridMultilevel"/>
    <w:tmpl w:val="11C4FD16"/>
    <w:lvl w:ilvl="0" w:tplc="C214EA3A">
      <w:start w:val="1"/>
      <w:numFmt w:val="lowerLetter"/>
      <w:pStyle w:val="ListAlpha2"/>
      <w:lvlText w:val="%1."/>
      <w:lvlJc w:val="left"/>
      <w:pPr>
        <w:tabs>
          <w:tab w:val="num" w:pos="720"/>
        </w:tabs>
        <w:ind w:left="720" w:hanging="360"/>
      </w:pPr>
    </w:lvl>
    <w:lvl w:ilvl="1" w:tplc="E536F2EE" w:tentative="1">
      <w:start w:val="1"/>
      <w:numFmt w:val="lowerLetter"/>
      <w:lvlText w:val="%2."/>
      <w:lvlJc w:val="left"/>
      <w:pPr>
        <w:ind w:left="1800" w:hanging="360"/>
      </w:pPr>
    </w:lvl>
    <w:lvl w:ilvl="2" w:tplc="46C6B0FC" w:tentative="1">
      <w:start w:val="1"/>
      <w:numFmt w:val="lowerRoman"/>
      <w:lvlText w:val="%3."/>
      <w:lvlJc w:val="right"/>
      <w:pPr>
        <w:ind w:left="2520" w:hanging="180"/>
      </w:pPr>
    </w:lvl>
    <w:lvl w:ilvl="3" w:tplc="4FE0B10A" w:tentative="1">
      <w:start w:val="1"/>
      <w:numFmt w:val="decimal"/>
      <w:lvlText w:val="%4."/>
      <w:lvlJc w:val="left"/>
      <w:pPr>
        <w:ind w:left="3240" w:hanging="360"/>
      </w:pPr>
    </w:lvl>
    <w:lvl w:ilvl="4" w:tplc="6B32C604" w:tentative="1">
      <w:start w:val="1"/>
      <w:numFmt w:val="lowerLetter"/>
      <w:lvlText w:val="%5."/>
      <w:lvlJc w:val="left"/>
      <w:pPr>
        <w:ind w:left="3960" w:hanging="360"/>
      </w:pPr>
    </w:lvl>
    <w:lvl w:ilvl="5" w:tplc="3572A762" w:tentative="1">
      <w:start w:val="1"/>
      <w:numFmt w:val="lowerRoman"/>
      <w:lvlText w:val="%6."/>
      <w:lvlJc w:val="right"/>
      <w:pPr>
        <w:ind w:left="4680" w:hanging="180"/>
      </w:pPr>
    </w:lvl>
    <w:lvl w:ilvl="6" w:tplc="DE2014EA" w:tentative="1">
      <w:start w:val="1"/>
      <w:numFmt w:val="decimal"/>
      <w:lvlText w:val="%7."/>
      <w:lvlJc w:val="left"/>
      <w:pPr>
        <w:ind w:left="5400" w:hanging="360"/>
      </w:pPr>
    </w:lvl>
    <w:lvl w:ilvl="7" w:tplc="AB2C570C" w:tentative="1">
      <w:start w:val="1"/>
      <w:numFmt w:val="lowerLetter"/>
      <w:lvlText w:val="%8."/>
      <w:lvlJc w:val="left"/>
      <w:pPr>
        <w:ind w:left="6120" w:hanging="360"/>
      </w:pPr>
    </w:lvl>
    <w:lvl w:ilvl="8" w:tplc="FCEA6618" w:tentative="1">
      <w:start w:val="1"/>
      <w:numFmt w:val="lowerRoman"/>
      <w:lvlText w:val="%9."/>
      <w:lvlJc w:val="right"/>
      <w:pPr>
        <w:ind w:left="6840" w:hanging="180"/>
      </w:pPr>
    </w:lvl>
  </w:abstractNum>
  <w:abstractNum w:abstractNumId="34" w15:restartNumberingAfterBreak="0">
    <w:nsid w:val="464E67B2"/>
    <w:multiLevelType w:val="multilevel"/>
    <w:tmpl w:val="EED2A8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7E974C4"/>
    <w:multiLevelType w:val="hybridMultilevel"/>
    <w:tmpl w:val="6762965A"/>
    <w:lvl w:ilvl="0" w:tplc="4F747BC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497A07EF"/>
    <w:multiLevelType w:val="hybridMultilevel"/>
    <w:tmpl w:val="2CD2F928"/>
    <w:lvl w:ilvl="0" w:tplc="39EA2308">
      <w:start w:val="1"/>
      <w:numFmt w:val="bullet"/>
      <w:lvlText w:val=""/>
      <w:lvlJc w:val="left"/>
      <w:pPr>
        <w:ind w:left="720" w:hanging="360"/>
      </w:pPr>
      <w:rPr>
        <w:rFonts w:ascii="Symbol" w:hAnsi="Symbol"/>
      </w:rPr>
    </w:lvl>
    <w:lvl w:ilvl="1" w:tplc="5DD888C4">
      <w:start w:val="1"/>
      <w:numFmt w:val="bullet"/>
      <w:lvlText w:val=""/>
      <w:lvlJc w:val="left"/>
      <w:pPr>
        <w:ind w:left="720" w:hanging="360"/>
      </w:pPr>
      <w:rPr>
        <w:rFonts w:ascii="Symbol" w:hAnsi="Symbol"/>
      </w:rPr>
    </w:lvl>
    <w:lvl w:ilvl="2" w:tplc="5E3692C4">
      <w:start w:val="1"/>
      <w:numFmt w:val="bullet"/>
      <w:lvlText w:val=""/>
      <w:lvlJc w:val="left"/>
      <w:pPr>
        <w:ind w:left="720" w:hanging="360"/>
      </w:pPr>
      <w:rPr>
        <w:rFonts w:ascii="Symbol" w:hAnsi="Symbol"/>
      </w:rPr>
    </w:lvl>
    <w:lvl w:ilvl="3" w:tplc="028AA028">
      <w:start w:val="1"/>
      <w:numFmt w:val="bullet"/>
      <w:lvlText w:val=""/>
      <w:lvlJc w:val="left"/>
      <w:pPr>
        <w:ind w:left="720" w:hanging="360"/>
      </w:pPr>
      <w:rPr>
        <w:rFonts w:ascii="Symbol" w:hAnsi="Symbol"/>
      </w:rPr>
    </w:lvl>
    <w:lvl w:ilvl="4" w:tplc="BC5A59B0">
      <w:start w:val="1"/>
      <w:numFmt w:val="bullet"/>
      <w:lvlText w:val=""/>
      <w:lvlJc w:val="left"/>
      <w:pPr>
        <w:ind w:left="720" w:hanging="360"/>
      </w:pPr>
      <w:rPr>
        <w:rFonts w:ascii="Symbol" w:hAnsi="Symbol"/>
      </w:rPr>
    </w:lvl>
    <w:lvl w:ilvl="5" w:tplc="0B949E6C">
      <w:start w:val="1"/>
      <w:numFmt w:val="bullet"/>
      <w:lvlText w:val=""/>
      <w:lvlJc w:val="left"/>
      <w:pPr>
        <w:ind w:left="720" w:hanging="360"/>
      </w:pPr>
      <w:rPr>
        <w:rFonts w:ascii="Symbol" w:hAnsi="Symbol"/>
      </w:rPr>
    </w:lvl>
    <w:lvl w:ilvl="6" w:tplc="051200BC">
      <w:start w:val="1"/>
      <w:numFmt w:val="bullet"/>
      <w:lvlText w:val=""/>
      <w:lvlJc w:val="left"/>
      <w:pPr>
        <w:ind w:left="720" w:hanging="360"/>
      </w:pPr>
      <w:rPr>
        <w:rFonts w:ascii="Symbol" w:hAnsi="Symbol"/>
      </w:rPr>
    </w:lvl>
    <w:lvl w:ilvl="7" w:tplc="A810F950">
      <w:start w:val="1"/>
      <w:numFmt w:val="bullet"/>
      <w:lvlText w:val=""/>
      <w:lvlJc w:val="left"/>
      <w:pPr>
        <w:ind w:left="720" w:hanging="360"/>
      </w:pPr>
      <w:rPr>
        <w:rFonts w:ascii="Symbol" w:hAnsi="Symbol"/>
      </w:rPr>
    </w:lvl>
    <w:lvl w:ilvl="8" w:tplc="34A8649A">
      <w:start w:val="1"/>
      <w:numFmt w:val="bullet"/>
      <w:lvlText w:val=""/>
      <w:lvlJc w:val="left"/>
      <w:pPr>
        <w:ind w:left="720" w:hanging="360"/>
      </w:pPr>
      <w:rPr>
        <w:rFonts w:ascii="Symbol" w:hAnsi="Symbol"/>
      </w:rPr>
    </w:lvl>
  </w:abstractNum>
  <w:abstractNum w:abstractNumId="37" w15:restartNumberingAfterBreak="0">
    <w:nsid w:val="4CB46582"/>
    <w:multiLevelType w:val="multilevel"/>
    <w:tmpl w:val="07C2E57A"/>
    <w:lvl w:ilvl="0">
      <w:start w:val="1"/>
      <w:numFmt w:val="upperLetter"/>
      <w:pStyle w:val="ListAlpha"/>
      <w:lvlText w:val="%1."/>
      <w:lvlJc w:val="left"/>
      <w:pPr>
        <w:ind w:left="360" w:hanging="360"/>
      </w:pPr>
    </w:lvl>
    <w:lvl w:ilvl="1">
      <w:start w:val="1"/>
      <w:numFmt w:val="upperLetter"/>
      <w:pStyle w:val="Heading2"/>
      <w:lvlText w:val="%2."/>
      <w:lvlJc w:val="left"/>
      <w:pPr>
        <w:ind w:left="720" w:firstLine="0"/>
      </w:pPr>
      <w:rPr>
        <w:rFonts w:hint="default"/>
      </w:rPr>
    </w:lvl>
    <w:lvl w:ilvl="2">
      <w:start w:val="1"/>
      <w:numFmt w:val="decimal"/>
      <w:pStyle w:val="Heading3"/>
      <w:lvlText w:val="%3."/>
      <w:lvlJc w:val="left"/>
      <w:pPr>
        <w:ind w:left="1440" w:firstLine="0"/>
      </w:pPr>
      <w:rPr>
        <w:rFonts w:hint="default"/>
      </w:rPr>
    </w:lvl>
    <w:lvl w:ilvl="3">
      <w:start w:val="1"/>
      <w:numFmt w:val="lowerLetter"/>
      <w:pStyle w:val="Heading4"/>
      <w:lvlText w:val="%4)"/>
      <w:lvlJc w:val="left"/>
      <w:pPr>
        <w:ind w:left="2160" w:firstLine="0"/>
      </w:pPr>
      <w:rPr>
        <w:rFonts w:hint="default"/>
      </w:rPr>
    </w:lvl>
    <w:lvl w:ilvl="4">
      <w:start w:val="1"/>
      <w:numFmt w:val="decimal"/>
      <w:pStyle w:val="Heading5"/>
      <w:lvlText w:val="(%5)"/>
      <w:lvlJc w:val="left"/>
      <w:pPr>
        <w:ind w:left="2880" w:firstLine="0"/>
      </w:pPr>
      <w:rPr>
        <w:rFonts w:hint="default"/>
      </w:rPr>
    </w:lvl>
    <w:lvl w:ilvl="5">
      <w:start w:val="1"/>
      <w:numFmt w:val="lowerLetter"/>
      <w:pStyle w:val="Heading6"/>
      <w:lvlText w:val="(%6)"/>
      <w:lvlJc w:val="left"/>
      <w:pPr>
        <w:ind w:left="3600" w:firstLine="0"/>
      </w:pPr>
      <w:rPr>
        <w:rFonts w:hint="default"/>
      </w:rPr>
    </w:lvl>
    <w:lvl w:ilvl="6">
      <w:start w:val="1"/>
      <w:numFmt w:val="lowerRoman"/>
      <w:pStyle w:val="Heading7"/>
      <w:lvlText w:val="(%7)"/>
      <w:lvlJc w:val="left"/>
      <w:pPr>
        <w:ind w:left="4320" w:firstLine="0"/>
      </w:pPr>
      <w:rPr>
        <w:rFonts w:hint="default"/>
      </w:rPr>
    </w:lvl>
    <w:lvl w:ilvl="7">
      <w:start w:val="1"/>
      <w:numFmt w:val="lowerLetter"/>
      <w:pStyle w:val="Heading8"/>
      <w:lvlText w:val="(%8)"/>
      <w:lvlJc w:val="left"/>
      <w:pPr>
        <w:ind w:left="5040" w:firstLine="0"/>
      </w:pPr>
      <w:rPr>
        <w:rFonts w:hint="default"/>
      </w:rPr>
    </w:lvl>
    <w:lvl w:ilvl="8">
      <w:start w:val="1"/>
      <w:numFmt w:val="lowerRoman"/>
      <w:pStyle w:val="Heading9"/>
      <w:lvlText w:val="(%9)"/>
      <w:lvlJc w:val="left"/>
      <w:pPr>
        <w:ind w:left="5760" w:firstLine="0"/>
      </w:pPr>
      <w:rPr>
        <w:rFonts w:hint="default"/>
      </w:rPr>
    </w:lvl>
  </w:abstractNum>
  <w:abstractNum w:abstractNumId="38" w15:restartNumberingAfterBreak="0">
    <w:nsid w:val="4E2F2ADC"/>
    <w:multiLevelType w:val="multilevel"/>
    <w:tmpl w:val="CA3E43B8"/>
    <w:lvl w:ilvl="0">
      <w:start w:val="1"/>
      <w:numFmt w:val="bullet"/>
      <w:lvlText w:val="●"/>
      <w:lvlJc w:val="left"/>
      <w:pPr>
        <w:ind w:left="720" w:hanging="360"/>
      </w:pPr>
      <w:rPr>
        <w:rFonts w:ascii="Noto Sans Symbols" w:eastAsia="Noto Sans Symbols" w:hAnsi="Noto Sans Symbols" w:cs="Noto Sans Symbols"/>
        <w:b w:val="0"/>
        <w:i w:val="0"/>
        <w:color w:val="00000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pStyle w:val="BulletListMultipleInd3"/>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39" w15:restartNumberingAfterBreak="0">
    <w:nsid w:val="51A6124B"/>
    <w:multiLevelType w:val="multilevel"/>
    <w:tmpl w:val="04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40" w15:restartNumberingAfterBreak="0">
    <w:nsid w:val="51EB5C8B"/>
    <w:multiLevelType w:val="hybridMultilevel"/>
    <w:tmpl w:val="2C0C29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32B5A8D"/>
    <w:multiLevelType w:val="multilevel"/>
    <w:tmpl w:val="499A04FE"/>
    <w:lvl w:ilvl="0">
      <w:start w:val="1"/>
      <w:numFmt w:val="bullet"/>
      <w:pStyle w:val="ESHeading1"/>
      <w:lvlText w:val="●"/>
      <w:lvlJc w:val="left"/>
      <w:pPr>
        <w:ind w:left="720" w:hanging="360"/>
      </w:pPr>
      <w:rPr>
        <w:rFonts w:ascii="Noto Sans Symbols" w:eastAsia="Noto Sans Symbols" w:hAnsi="Noto Sans Symbols" w:cs="Noto Sans Symbols"/>
        <w:b w:val="0"/>
        <w:i w:val="0"/>
        <w:color w:val="000000"/>
        <w:sz w:val="24"/>
        <w:szCs w:val="24"/>
      </w:rPr>
    </w:lvl>
    <w:lvl w:ilvl="1">
      <w:start w:val="1"/>
      <w:numFmt w:val="bullet"/>
      <w:pStyle w:val="ESHeading2"/>
      <w:lvlText w:val="o"/>
      <w:lvlJc w:val="left"/>
      <w:pPr>
        <w:ind w:left="1080" w:hanging="360"/>
      </w:pPr>
      <w:rPr>
        <w:rFonts w:ascii="Courier New" w:eastAsia="Courier New" w:hAnsi="Courier New" w:cs="Courier New"/>
      </w:rPr>
    </w:lvl>
    <w:lvl w:ilvl="2">
      <w:start w:val="1"/>
      <w:numFmt w:val="bullet"/>
      <w:pStyle w:val="ESHeading3"/>
      <w:lvlText w:val="♦"/>
      <w:lvlJc w:val="left"/>
      <w:pPr>
        <w:ind w:left="1440" w:hanging="360"/>
      </w:pPr>
      <w:rPr>
        <w:rFonts w:ascii="Noto Sans Symbols" w:eastAsia="Noto Sans Symbols" w:hAnsi="Noto Sans Symbols" w:cs="Noto Sans Symbols"/>
        <w:b w:val="0"/>
        <w:i w:val="0"/>
        <w:sz w:val="16"/>
        <w:szCs w:val="16"/>
      </w:rPr>
    </w:lvl>
    <w:lvl w:ilvl="3">
      <w:start w:val="1"/>
      <w:numFmt w:val="bullet"/>
      <w:pStyle w:val="ESHeading4"/>
      <w:lvlText w:val="●"/>
      <w:lvlJc w:val="left"/>
      <w:pPr>
        <w:ind w:left="360" w:hanging="360"/>
      </w:pPr>
      <w:rPr>
        <w:rFonts w:ascii="Noto Sans Symbols" w:eastAsia="Noto Sans Symbols" w:hAnsi="Noto Sans Symbols" w:cs="Noto Sans Symbols"/>
        <w:b w:val="0"/>
        <w:i w:val="0"/>
        <w:sz w:val="22"/>
        <w:szCs w:val="22"/>
      </w:rPr>
    </w:lvl>
    <w:lvl w:ilvl="4">
      <w:start w:val="1"/>
      <w:numFmt w:val="decimal"/>
      <w:pStyle w:val="ESHeading5"/>
      <w:lvlText w:val="●.o.♦.●.%5."/>
      <w:lvlJc w:val="left"/>
      <w:pPr>
        <w:ind w:left="3096" w:hanging="864"/>
      </w:pPr>
      <w:rPr>
        <w:rFonts w:ascii="Arial Narrow" w:eastAsia="Arial Narrow" w:hAnsi="Arial Narrow" w:cs="Arial Narrow"/>
        <w:b w:val="0"/>
        <w:i w:val="0"/>
        <w:sz w:val="24"/>
        <w:szCs w:val="24"/>
      </w:rPr>
    </w:lvl>
    <w:lvl w:ilvl="5">
      <w:start w:val="1"/>
      <w:numFmt w:val="decimal"/>
      <w:pStyle w:val="ESHeading6"/>
      <w:lvlText w:val="●.o.♦.●.%5.%6."/>
      <w:lvlJc w:val="left"/>
      <w:pPr>
        <w:ind w:left="4176" w:hanging="1080"/>
      </w:pPr>
      <w:rPr>
        <w:rFonts w:ascii="Arial Narrow" w:eastAsia="Arial Narrow" w:hAnsi="Arial Narrow" w:cs="Arial Narrow"/>
        <w:b w:val="0"/>
        <w:i w:val="0"/>
        <w:sz w:val="24"/>
        <w:szCs w:val="24"/>
      </w:rPr>
    </w:lvl>
    <w:lvl w:ilvl="6">
      <w:start w:val="1"/>
      <w:numFmt w:val="decimal"/>
      <w:pStyle w:val="ESHeading7"/>
      <w:lvlText w:val="●.o.♦.●.%5.%6.%7."/>
      <w:lvlJc w:val="left"/>
      <w:pPr>
        <w:ind w:left="5400" w:hanging="1224"/>
      </w:pPr>
      <w:rPr>
        <w:rFonts w:ascii="Arial Narrow" w:eastAsia="Arial Narrow" w:hAnsi="Arial Narrow" w:cs="Arial Narrow"/>
        <w:b w:val="0"/>
        <w:i w:val="0"/>
        <w:sz w:val="24"/>
        <w:szCs w:val="24"/>
      </w:rPr>
    </w:lvl>
    <w:lvl w:ilvl="7">
      <w:start w:val="1"/>
      <w:numFmt w:val="decimal"/>
      <w:lvlText w:val="●.o.♦.●.%5.%6.%7.%8."/>
      <w:lvlJc w:val="left"/>
      <w:pPr>
        <w:ind w:left="3744" w:hanging="1224"/>
      </w:pPr>
      <w:rPr>
        <w:rFonts w:ascii="Arial Narrow" w:eastAsia="Arial Narrow" w:hAnsi="Arial Narrow" w:cs="Arial Narrow"/>
        <w:b w:val="0"/>
        <w:i w:val="0"/>
        <w:sz w:val="18"/>
        <w:szCs w:val="18"/>
      </w:rPr>
    </w:lvl>
    <w:lvl w:ilvl="8">
      <w:start w:val="1"/>
      <w:numFmt w:val="decimal"/>
      <w:lvlText w:val="●.o.♦.●.%5.%6.%7.%8.%9."/>
      <w:lvlJc w:val="left"/>
      <w:pPr>
        <w:ind w:left="4320" w:hanging="1440"/>
      </w:pPr>
      <w:rPr>
        <w:rFonts w:ascii="Arial Narrow" w:eastAsia="Arial Narrow" w:hAnsi="Arial Narrow" w:cs="Arial Narrow"/>
        <w:b w:val="0"/>
        <w:i w:val="0"/>
        <w:sz w:val="18"/>
        <w:szCs w:val="18"/>
      </w:rPr>
    </w:lvl>
  </w:abstractNum>
  <w:abstractNum w:abstractNumId="42" w15:restartNumberingAfterBreak="0">
    <w:nsid w:val="542A0870"/>
    <w:multiLevelType w:val="multilevel"/>
    <w:tmpl w:val="A53C9DD4"/>
    <w:lvl w:ilvl="0">
      <w:start w:val="1"/>
      <w:numFmt w:val="bullet"/>
      <w:pStyle w:val="NumberedList2bulleted"/>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55387DC8"/>
    <w:multiLevelType w:val="multilevel"/>
    <w:tmpl w:val="0CDA77FC"/>
    <w:lvl w:ilvl="0">
      <w:start w:val="1"/>
      <w:numFmt w:val="upperRoman"/>
      <w:lvlText w:val="%1"/>
      <w:lvlJc w:val="left"/>
      <w:pPr>
        <w:tabs>
          <w:tab w:val="num" w:pos="720"/>
        </w:tabs>
        <w:ind w:left="720" w:hanging="360"/>
      </w:pPr>
      <w:rPr>
        <w:rFonts w:hint="default"/>
      </w:rPr>
    </w:lvl>
    <w:lvl w:ilvl="1">
      <w:start w:val="1"/>
      <w:numFmt w:val="upperLetter"/>
      <w:pStyle w:val="Outline2"/>
      <w:lvlText w:val="%2."/>
      <w:lvlJc w:val="left"/>
      <w:pPr>
        <w:tabs>
          <w:tab w:val="num" w:pos="1080"/>
        </w:tabs>
        <w:ind w:left="1080" w:hanging="360"/>
      </w:pPr>
      <w:rPr>
        <w:rFonts w:hint="default"/>
      </w:rPr>
    </w:lvl>
    <w:lvl w:ilvl="2">
      <w:start w:val="1"/>
      <w:numFmt w:val="decimal"/>
      <w:pStyle w:val="Outline3"/>
      <w:lvlText w:val="%3."/>
      <w:lvlJc w:val="left"/>
      <w:pPr>
        <w:tabs>
          <w:tab w:val="num" w:pos="1440"/>
        </w:tabs>
        <w:ind w:left="1440" w:hanging="360"/>
      </w:pPr>
      <w:rPr>
        <w:rFonts w:hint="default"/>
      </w:rPr>
    </w:lvl>
    <w:lvl w:ilvl="3">
      <w:start w:val="1"/>
      <w:numFmt w:val="lowerLetter"/>
      <w:lvlText w:val="%4."/>
      <w:lvlJc w:val="left"/>
      <w:pPr>
        <w:tabs>
          <w:tab w:val="num" w:pos="1800"/>
        </w:tabs>
        <w:ind w:left="1800" w:hanging="360"/>
      </w:pPr>
      <w:rPr>
        <w:rFonts w:hint="default"/>
      </w:rPr>
    </w:lvl>
    <w:lvl w:ilvl="4">
      <w:start w:val="1"/>
      <w:numFmt w:val="lowerRoman"/>
      <w:lvlText w:val="%5."/>
      <w:lvlJc w:val="left"/>
      <w:pPr>
        <w:tabs>
          <w:tab w:val="num" w:pos="2160"/>
        </w:tabs>
        <w:ind w:left="216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4" w15:restartNumberingAfterBreak="0">
    <w:nsid w:val="55D64DC3"/>
    <w:multiLevelType w:val="multilevel"/>
    <w:tmpl w:val="D54447EE"/>
    <w:lvl w:ilvl="0">
      <w:start w:val="1"/>
      <w:numFmt w:val="bullet"/>
      <w:pStyle w:val="TableBullet"/>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45" w15:restartNumberingAfterBreak="0">
    <w:nsid w:val="5CBE3338"/>
    <w:multiLevelType w:val="multilevel"/>
    <w:tmpl w:val="477E22FA"/>
    <w:lvl w:ilvl="0">
      <w:start w:val="1"/>
      <w:numFmt w:val="bullet"/>
      <w:pStyle w:val="BulletList-SecondLevel"/>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6" w15:restartNumberingAfterBreak="0">
    <w:nsid w:val="5E4D71C9"/>
    <w:multiLevelType w:val="multilevel"/>
    <w:tmpl w:val="FBD23AE8"/>
    <w:lvl w:ilvl="0">
      <w:start w:val="1"/>
      <w:numFmt w:val="bullet"/>
      <w:pStyle w:val="BulletList"/>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o.♦.●.%5."/>
      <w:lvlJc w:val="left"/>
      <w:pPr>
        <w:ind w:left="3096" w:hanging="864"/>
      </w:pPr>
      <w:rPr>
        <w:rFonts w:ascii="Arial Narrow" w:eastAsia="Arial Narrow" w:hAnsi="Arial Narrow" w:cs="Arial Narrow"/>
        <w:b w:val="0"/>
        <w:i w:val="0"/>
        <w:sz w:val="24"/>
        <w:szCs w:val="24"/>
      </w:rPr>
    </w:lvl>
    <w:lvl w:ilvl="5">
      <w:start w:val="1"/>
      <w:numFmt w:val="decimal"/>
      <w:lvlText w:val="●.o.♦.●.%5.%6."/>
      <w:lvlJc w:val="left"/>
      <w:pPr>
        <w:ind w:left="4176" w:hanging="1080"/>
      </w:pPr>
      <w:rPr>
        <w:rFonts w:ascii="Arial Narrow" w:eastAsia="Arial Narrow" w:hAnsi="Arial Narrow" w:cs="Arial Narrow"/>
        <w:b w:val="0"/>
        <w:i w:val="0"/>
        <w:sz w:val="24"/>
        <w:szCs w:val="24"/>
      </w:rPr>
    </w:lvl>
    <w:lvl w:ilvl="6">
      <w:start w:val="1"/>
      <w:numFmt w:val="decimal"/>
      <w:lvlText w:val="●.o.♦.●.%5.%6.%7."/>
      <w:lvlJc w:val="left"/>
      <w:pPr>
        <w:ind w:left="5400" w:hanging="1224"/>
      </w:pPr>
      <w:rPr>
        <w:rFonts w:ascii="Arial Narrow" w:eastAsia="Arial Narrow" w:hAnsi="Arial Narrow" w:cs="Arial Narrow"/>
        <w:b w:val="0"/>
        <w:i w:val="0"/>
        <w:sz w:val="24"/>
        <w:szCs w:val="24"/>
      </w:rPr>
    </w:lvl>
    <w:lvl w:ilvl="7">
      <w:start w:val="1"/>
      <w:numFmt w:val="decimal"/>
      <w:lvlText w:val="●.o.♦.●.%5.%6.%7.%8."/>
      <w:lvlJc w:val="left"/>
      <w:pPr>
        <w:ind w:left="3744" w:hanging="1224"/>
      </w:pPr>
      <w:rPr>
        <w:rFonts w:ascii="Arial Narrow" w:eastAsia="Arial Narrow" w:hAnsi="Arial Narrow" w:cs="Arial Narrow"/>
        <w:b w:val="0"/>
        <w:i w:val="0"/>
        <w:sz w:val="18"/>
        <w:szCs w:val="18"/>
      </w:rPr>
    </w:lvl>
    <w:lvl w:ilvl="8">
      <w:start w:val="1"/>
      <w:numFmt w:val="decimal"/>
      <w:lvlText w:val="●.o.♦.●.%5.%6.%7.%8.%9."/>
      <w:lvlJc w:val="left"/>
      <w:pPr>
        <w:ind w:left="4320" w:hanging="1440"/>
      </w:pPr>
      <w:rPr>
        <w:rFonts w:ascii="Arial Narrow" w:eastAsia="Arial Narrow" w:hAnsi="Arial Narrow" w:cs="Arial Narrow"/>
        <w:b w:val="0"/>
        <w:i w:val="0"/>
        <w:sz w:val="18"/>
        <w:szCs w:val="18"/>
      </w:rPr>
    </w:lvl>
  </w:abstractNum>
  <w:abstractNum w:abstractNumId="47" w15:restartNumberingAfterBreak="0">
    <w:nsid w:val="5EE36962"/>
    <w:multiLevelType w:val="hybridMultilevel"/>
    <w:tmpl w:val="980A3E10"/>
    <w:lvl w:ilvl="0" w:tplc="8A1271EE">
      <w:start w:val="1"/>
      <w:numFmt w:val="decimal"/>
      <w:pStyle w:val="ESListNumber"/>
      <w:lvlText w:val="%1."/>
      <w:lvlJc w:val="left"/>
      <w:pPr>
        <w:tabs>
          <w:tab w:val="num" w:pos="360"/>
        </w:tabs>
        <w:ind w:left="360" w:hanging="360"/>
      </w:pPr>
      <w:rPr>
        <w:rFonts w:hint="default"/>
        <w:b/>
        <w:i w:val="0"/>
      </w:rPr>
    </w:lvl>
    <w:lvl w:ilvl="1" w:tplc="E6FE4D78" w:tentative="1">
      <w:start w:val="1"/>
      <w:numFmt w:val="lowerLetter"/>
      <w:lvlText w:val="%2."/>
      <w:lvlJc w:val="left"/>
      <w:pPr>
        <w:ind w:left="1440" w:hanging="360"/>
      </w:pPr>
    </w:lvl>
    <w:lvl w:ilvl="2" w:tplc="6052B4A2" w:tentative="1">
      <w:start w:val="1"/>
      <w:numFmt w:val="lowerRoman"/>
      <w:lvlText w:val="%3."/>
      <w:lvlJc w:val="right"/>
      <w:pPr>
        <w:ind w:left="2160" w:hanging="180"/>
      </w:pPr>
    </w:lvl>
    <w:lvl w:ilvl="3" w:tplc="2BBAC2D4" w:tentative="1">
      <w:start w:val="1"/>
      <w:numFmt w:val="decimal"/>
      <w:lvlText w:val="%4."/>
      <w:lvlJc w:val="left"/>
      <w:pPr>
        <w:ind w:left="2880" w:hanging="360"/>
      </w:pPr>
    </w:lvl>
    <w:lvl w:ilvl="4" w:tplc="C5248704" w:tentative="1">
      <w:start w:val="1"/>
      <w:numFmt w:val="lowerLetter"/>
      <w:lvlText w:val="%5."/>
      <w:lvlJc w:val="left"/>
      <w:pPr>
        <w:ind w:left="3600" w:hanging="360"/>
      </w:pPr>
    </w:lvl>
    <w:lvl w:ilvl="5" w:tplc="3690B6B2" w:tentative="1">
      <w:start w:val="1"/>
      <w:numFmt w:val="lowerRoman"/>
      <w:lvlText w:val="%6."/>
      <w:lvlJc w:val="right"/>
      <w:pPr>
        <w:ind w:left="4320" w:hanging="180"/>
      </w:pPr>
    </w:lvl>
    <w:lvl w:ilvl="6" w:tplc="780E26F6" w:tentative="1">
      <w:start w:val="1"/>
      <w:numFmt w:val="decimal"/>
      <w:lvlText w:val="%7."/>
      <w:lvlJc w:val="left"/>
      <w:pPr>
        <w:ind w:left="5040" w:hanging="360"/>
      </w:pPr>
    </w:lvl>
    <w:lvl w:ilvl="7" w:tplc="046E580C" w:tentative="1">
      <w:start w:val="1"/>
      <w:numFmt w:val="lowerLetter"/>
      <w:lvlText w:val="%8."/>
      <w:lvlJc w:val="left"/>
      <w:pPr>
        <w:ind w:left="5760" w:hanging="360"/>
      </w:pPr>
    </w:lvl>
    <w:lvl w:ilvl="8" w:tplc="40382734" w:tentative="1">
      <w:start w:val="1"/>
      <w:numFmt w:val="lowerRoman"/>
      <w:lvlText w:val="%9."/>
      <w:lvlJc w:val="right"/>
      <w:pPr>
        <w:ind w:left="6480" w:hanging="180"/>
      </w:pPr>
    </w:lvl>
  </w:abstractNum>
  <w:abstractNum w:abstractNumId="48" w15:restartNumberingAfterBreak="0">
    <w:nsid w:val="651D4D85"/>
    <w:multiLevelType w:val="hybridMultilevel"/>
    <w:tmpl w:val="56C684B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9" w15:restartNumberingAfterBreak="0">
    <w:nsid w:val="654A0A4F"/>
    <w:multiLevelType w:val="multilevel"/>
    <w:tmpl w:val="4D287FEE"/>
    <w:lvl w:ilvl="0">
      <w:start w:val="1"/>
      <w:numFmt w:val="bullet"/>
      <w:pStyle w:val="Numberedlis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0" w15:restartNumberingAfterBreak="0">
    <w:nsid w:val="670C07F0"/>
    <w:multiLevelType w:val="multilevel"/>
    <w:tmpl w:val="730AD512"/>
    <w:lvl w:ilvl="0">
      <w:start w:val="1"/>
      <w:numFmt w:val="bullet"/>
      <w:pStyle w:val="AppHeading1"/>
      <w:lvlText w:val="●"/>
      <w:lvlJc w:val="left"/>
      <w:pPr>
        <w:ind w:left="720" w:hanging="360"/>
      </w:pPr>
      <w:rPr>
        <w:rFonts w:ascii="Noto Sans Symbols" w:eastAsia="Noto Sans Symbols" w:hAnsi="Noto Sans Symbols" w:cs="Noto Sans Symbols"/>
        <w:b w:val="0"/>
        <w:i w:val="0"/>
        <w:color w:val="000000"/>
        <w:sz w:val="24"/>
        <w:szCs w:val="24"/>
      </w:rPr>
    </w:lvl>
    <w:lvl w:ilvl="1">
      <w:start w:val="1"/>
      <w:numFmt w:val="bullet"/>
      <w:pStyle w:val="AppHeading2"/>
      <w:lvlText w:val="o"/>
      <w:lvlJc w:val="left"/>
      <w:pPr>
        <w:ind w:left="1080" w:hanging="360"/>
      </w:pPr>
      <w:rPr>
        <w:rFonts w:ascii="Courier New" w:eastAsia="Courier New" w:hAnsi="Courier New" w:cs="Courier New"/>
      </w:rPr>
    </w:lvl>
    <w:lvl w:ilvl="2">
      <w:start w:val="1"/>
      <w:numFmt w:val="bullet"/>
      <w:pStyle w:val="AppHeading3"/>
      <w:lvlText w:val="♦"/>
      <w:lvlJc w:val="left"/>
      <w:pPr>
        <w:ind w:left="1440" w:hanging="360"/>
      </w:pPr>
      <w:rPr>
        <w:rFonts w:ascii="Noto Sans Symbols" w:eastAsia="Noto Sans Symbols" w:hAnsi="Noto Sans Symbols" w:cs="Noto Sans Symbols"/>
        <w:b w:val="0"/>
        <w:i w:val="0"/>
        <w:sz w:val="16"/>
        <w:szCs w:val="16"/>
      </w:rPr>
    </w:lvl>
    <w:lvl w:ilvl="3">
      <w:start w:val="1"/>
      <w:numFmt w:val="bullet"/>
      <w:pStyle w:val="AppHeading4"/>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o.♦.●.%5."/>
      <w:lvlJc w:val="left"/>
      <w:pPr>
        <w:ind w:left="3096" w:hanging="864"/>
      </w:pPr>
      <w:rPr>
        <w:rFonts w:ascii="Arial Narrow" w:eastAsia="Arial Narrow" w:hAnsi="Arial Narrow" w:cs="Arial Narrow"/>
        <w:b w:val="0"/>
        <w:i w:val="0"/>
        <w:sz w:val="24"/>
        <w:szCs w:val="24"/>
      </w:rPr>
    </w:lvl>
    <w:lvl w:ilvl="5">
      <w:start w:val="1"/>
      <w:numFmt w:val="decimal"/>
      <w:lvlText w:val="●.o.♦.●.%5.%6."/>
      <w:lvlJc w:val="left"/>
      <w:pPr>
        <w:ind w:left="4176" w:hanging="1080"/>
      </w:pPr>
      <w:rPr>
        <w:rFonts w:ascii="Arial Narrow" w:eastAsia="Arial Narrow" w:hAnsi="Arial Narrow" w:cs="Arial Narrow"/>
        <w:b w:val="0"/>
        <w:i w:val="0"/>
        <w:sz w:val="24"/>
        <w:szCs w:val="24"/>
      </w:rPr>
    </w:lvl>
    <w:lvl w:ilvl="6">
      <w:start w:val="1"/>
      <w:numFmt w:val="decimal"/>
      <w:lvlText w:val="●.o.♦.●.%5.%6.%7."/>
      <w:lvlJc w:val="left"/>
      <w:pPr>
        <w:ind w:left="5400" w:hanging="1224"/>
      </w:pPr>
      <w:rPr>
        <w:rFonts w:ascii="Arial Narrow" w:eastAsia="Arial Narrow" w:hAnsi="Arial Narrow" w:cs="Arial Narrow"/>
        <w:b w:val="0"/>
        <w:i w:val="0"/>
        <w:sz w:val="24"/>
        <w:szCs w:val="24"/>
      </w:rPr>
    </w:lvl>
    <w:lvl w:ilvl="7">
      <w:start w:val="1"/>
      <w:numFmt w:val="decimal"/>
      <w:lvlText w:val="●.o.♦.●.%5.%6.%7.%8."/>
      <w:lvlJc w:val="left"/>
      <w:pPr>
        <w:ind w:left="3744" w:hanging="1224"/>
      </w:pPr>
      <w:rPr>
        <w:rFonts w:ascii="Arial Narrow" w:eastAsia="Arial Narrow" w:hAnsi="Arial Narrow" w:cs="Arial Narrow"/>
        <w:b w:val="0"/>
        <w:i w:val="0"/>
        <w:sz w:val="18"/>
        <w:szCs w:val="18"/>
      </w:rPr>
    </w:lvl>
    <w:lvl w:ilvl="8">
      <w:start w:val="1"/>
      <w:numFmt w:val="decimal"/>
      <w:lvlText w:val="●.o.♦.●.%5.%6.%7.%8.%9."/>
      <w:lvlJc w:val="left"/>
      <w:pPr>
        <w:ind w:left="4320" w:hanging="1440"/>
      </w:pPr>
      <w:rPr>
        <w:rFonts w:ascii="Arial Narrow" w:eastAsia="Arial Narrow" w:hAnsi="Arial Narrow" w:cs="Arial Narrow"/>
        <w:b w:val="0"/>
        <w:i w:val="0"/>
        <w:sz w:val="18"/>
        <w:szCs w:val="18"/>
      </w:rPr>
    </w:lvl>
  </w:abstractNum>
  <w:abstractNum w:abstractNumId="51" w15:restartNumberingAfterBreak="0">
    <w:nsid w:val="68880320"/>
    <w:multiLevelType w:val="multilevel"/>
    <w:tmpl w:val="4440A442"/>
    <w:lvl w:ilvl="0">
      <w:start w:val="1"/>
      <w:numFmt w:val="decimal"/>
      <w:pStyle w:val="Numberedlist2"/>
      <w:lvlText w:val="%1."/>
      <w:lvlJc w:val="left"/>
      <w:pPr>
        <w:ind w:left="810" w:hanging="360"/>
      </w:p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2" w15:restartNumberingAfterBreak="0">
    <w:nsid w:val="69357370"/>
    <w:multiLevelType w:val="hybridMultilevel"/>
    <w:tmpl w:val="63C6FF2E"/>
    <w:lvl w:ilvl="0" w:tplc="1256F3FC">
      <w:start w:val="1"/>
      <w:numFmt w:val="bullet"/>
      <w:lvlText w:val=""/>
      <w:lvlJc w:val="left"/>
      <w:pPr>
        <w:tabs>
          <w:tab w:val="num" w:pos="288"/>
        </w:tabs>
        <w:ind w:left="288" w:hanging="288"/>
      </w:pPr>
      <w:rPr>
        <w:rFonts w:ascii="Symbol" w:hAnsi="Symbol" w:hint="default"/>
        <w:color w:val="5B6771" w:themeColor="accent3"/>
      </w:rPr>
    </w:lvl>
    <w:lvl w:ilvl="1" w:tplc="04090019" w:tentative="1">
      <w:start w:val="1"/>
      <w:numFmt w:val="bullet"/>
      <w:lvlText w:val="o"/>
      <w:lvlJc w:val="left"/>
      <w:pPr>
        <w:ind w:left="1440" w:hanging="360"/>
      </w:pPr>
      <w:rPr>
        <w:rFonts w:ascii="Courier New" w:hAnsi="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53" w15:restartNumberingAfterBreak="0">
    <w:nsid w:val="6A1A31F9"/>
    <w:multiLevelType w:val="singleLevel"/>
    <w:tmpl w:val="2AA6940E"/>
    <w:lvl w:ilvl="0">
      <w:start w:val="1"/>
      <w:numFmt w:val="decimal"/>
      <w:pStyle w:val="SidebarListNumber"/>
      <w:lvlText w:val="%1."/>
      <w:lvlJc w:val="left"/>
      <w:pPr>
        <w:tabs>
          <w:tab w:val="num" w:pos="576"/>
        </w:tabs>
        <w:ind w:left="576" w:hanging="288"/>
      </w:pPr>
      <w:rPr>
        <w:rFonts w:hint="default"/>
        <w:color w:val="5B6771" w:themeColor="accent3"/>
      </w:rPr>
    </w:lvl>
  </w:abstractNum>
  <w:abstractNum w:abstractNumId="54" w15:restartNumberingAfterBreak="0">
    <w:nsid w:val="6FBF4DBA"/>
    <w:multiLevelType w:val="multilevel"/>
    <w:tmpl w:val="233E8AAA"/>
    <w:lvl w:ilvl="0">
      <w:start w:val="1"/>
      <w:numFmt w:val="bullet"/>
      <w:pStyle w:val="NumberedList0"/>
      <w:lvlText w:val="●"/>
      <w:lvlJc w:val="left"/>
      <w:pPr>
        <w:ind w:left="216" w:hanging="216"/>
      </w:pPr>
      <w:rPr>
        <w:rFonts w:ascii="Noto Sans Symbols" w:eastAsia="Noto Sans Symbols" w:hAnsi="Noto Sans Symbols" w:cs="Noto Sans Symbols"/>
        <w:b/>
        <w:i w:val="0"/>
        <w:sz w:val="20"/>
        <w:szCs w:val="20"/>
      </w:rPr>
    </w:lvl>
    <w:lvl w:ilvl="1">
      <w:start w:val="1"/>
      <w:numFmt w:val="bullet"/>
      <w:lvlText w:val="–"/>
      <w:lvlJc w:val="left"/>
      <w:pPr>
        <w:ind w:left="720" w:hanging="360"/>
      </w:pPr>
      <w:rPr>
        <w:rFonts w:ascii="Times New Roman" w:eastAsia="Times New Roman" w:hAnsi="Times New Roman" w:cs="Times New Roman"/>
        <w:b/>
        <w:i w:val="0"/>
        <w:sz w:val="22"/>
        <w:szCs w:val="22"/>
      </w:rPr>
    </w:lvl>
    <w:lvl w:ilvl="2">
      <w:start w:val="1"/>
      <w:numFmt w:val="bullet"/>
      <w:lvlText w:val="♦"/>
      <w:lvlJc w:val="left"/>
      <w:pPr>
        <w:ind w:left="1080" w:hanging="360"/>
      </w:pPr>
      <w:rPr>
        <w:rFonts w:ascii="Noto Sans Symbols" w:eastAsia="Noto Sans Symbols" w:hAnsi="Noto Sans Symbols" w:cs="Noto Sans Symbols"/>
        <w:b w:val="0"/>
        <w:i w:val="0"/>
        <w:sz w:val="16"/>
        <w:szCs w:val="16"/>
      </w:rPr>
    </w:lvl>
    <w:lvl w:ilvl="3">
      <w:start w:val="1"/>
      <w:numFmt w:val="decimal"/>
      <w:lvlText w:val="●.–.♦.%4."/>
      <w:lvlJc w:val="left"/>
      <w:pPr>
        <w:ind w:left="2088" w:hanging="1007"/>
      </w:pPr>
      <w:rPr>
        <w:rFonts w:ascii="Arial Narrow" w:eastAsia="Arial Narrow" w:hAnsi="Arial Narrow" w:cs="Arial Narrow"/>
        <w:b w:val="0"/>
        <w:i w:val="0"/>
        <w:sz w:val="22"/>
        <w:szCs w:val="22"/>
      </w:rPr>
    </w:lvl>
    <w:lvl w:ilvl="4">
      <w:start w:val="1"/>
      <w:numFmt w:val="decimal"/>
      <w:lvlText w:val="●.–.♦.%4.%5."/>
      <w:lvlJc w:val="left"/>
      <w:pPr>
        <w:ind w:left="1872" w:hanging="792"/>
      </w:pPr>
      <w:rPr>
        <w:rFonts w:ascii="Arial Narrow" w:eastAsia="Arial Narrow" w:hAnsi="Arial Narrow" w:cs="Arial Narrow"/>
        <w:b w:val="0"/>
        <w:i w:val="0"/>
        <w:sz w:val="20"/>
        <w:szCs w:val="20"/>
      </w:rPr>
    </w:lvl>
    <w:lvl w:ilvl="5">
      <w:start w:val="1"/>
      <w:numFmt w:val="decimal"/>
      <w:lvlText w:val="●.–.♦.%4.%5.%6."/>
      <w:lvlJc w:val="left"/>
      <w:pPr>
        <w:ind w:left="2376" w:hanging="936"/>
      </w:pPr>
      <w:rPr>
        <w:rFonts w:ascii="Arial Narrow" w:eastAsia="Arial Narrow" w:hAnsi="Arial Narrow" w:cs="Arial Narrow"/>
        <w:b w:val="0"/>
        <w:i/>
        <w:sz w:val="20"/>
        <w:szCs w:val="20"/>
      </w:rPr>
    </w:lvl>
    <w:lvl w:ilvl="6">
      <w:start w:val="1"/>
      <w:numFmt w:val="decimal"/>
      <w:lvlText w:val="●.–.♦.%4.%5.%6.%7."/>
      <w:lvlJc w:val="left"/>
      <w:pPr>
        <w:ind w:left="2880" w:hanging="1080"/>
      </w:pPr>
      <w:rPr>
        <w:rFonts w:ascii="Arial Narrow" w:eastAsia="Arial Narrow" w:hAnsi="Arial Narrow" w:cs="Arial Narrow"/>
        <w:b w:val="0"/>
        <w:i/>
        <w:sz w:val="20"/>
        <w:szCs w:val="20"/>
      </w:rPr>
    </w:lvl>
    <w:lvl w:ilvl="7">
      <w:start w:val="1"/>
      <w:numFmt w:val="decimal"/>
      <w:lvlText w:val="●.–.♦.%4.%5.%6.%7.%8."/>
      <w:lvlJc w:val="left"/>
      <w:pPr>
        <w:ind w:left="3384" w:hanging="1224"/>
      </w:pPr>
      <w:rPr>
        <w:rFonts w:ascii="Arial Narrow" w:eastAsia="Arial Narrow" w:hAnsi="Arial Narrow" w:cs="Arial Narrow"/>
        <w:b w:val="0"/>
        <w:i w:val="0"/>
        <w:sz w:val="18"/>
        <w:szCs w:val="18"/>
      </w:rPr>
    </w:lvl>
    <w:lvl w:ilvl="8">
      <w:start w:val="1"/>
      <w:numFmt w:val="decimal"/>
      <w:lvlText w:val="●.–.♦.%4.%5.%6.%7.%8.%9."/>
      <w:lvlJc w:val="left"/>
      <w:pPr>
        <w:ind w:left="3960" w:hanging="1440"/>
      </w:pPr>
      <w:rPr>
        <w:rFonts w:ascii="Arial Narrow" w:eastAsia="Arial Narrow" w:hAnsi="Arial Narrow" w:cs="Arial Narrow"/>
        <w:b w:val="0"/>
        <w:i w:val="0"/>
        <w:sz w:val="18"/>
        <w:szCs w:val="18"/>
      </w:rPr>
    </w:lvl>
  </w:abstractNum>
  <w:abstractNum w:abstractNumId="55" w15:restartNumberingAfterBreak="0">
    <w:nsid w:val="6FF4341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7171419C"/>
    <w:multiLevelType w:val="multilevel"/>
    <w:tmpl w:val="A3C2D6AA"/>
    <w:lvl w:ilvl="0">
      <w:start w:val="1"/>
      <w:numFmt w:val="bullet"/>
      <w:pStyle w:val="BulletListSingle"/>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15:restartNumberingAfterBreak="0">
    <w:nsid w:val="75B744DB"/>
    <w:multiLevelType w:val="hybridMultilevel"/>
    <w:tmpl w:val="B3705BF6"/>
    <w:lvl w:ilvl="0" w:tplc="789A3446">
      <w:start w:val="1"/>
      <w:numFmt w:val="bullet"/>
      <w:lvlText w:val=""/>
      <w:lvlJc w:val="left"/>
      <w:pPr>
        <w:ind w:left="720" w:hanging="360"/>
      </w:pPr>
      <w:rPr>
        <w:rFonts w:ascii="Symbol" w:hAnsi="Symbol"/>
      </w:rPr>
    </w:lvl>
    <w:lvl w:ilvl="1" w:tplc="DDB2B684">
      <w:start w:val="1"/>
      <w:numFmt w:val="bullet"/>
      <w:lvlText w:val=""/>
      <w:lvlJc w:val="left"/>
      <w:pPr>
        <w:ind w:left="720" w:hanging="360"/>
      </w:pPr>
      <w:rPr>
        <w:rFonts w:ascii="Symbol" w:hAnsi="Symbol"/>
      </w:rPr>
    </w:lvl>
    <w:lvl w:ilvl="2" w:tplc="81E6EC1E">
      <w:start w:val="1"/>
      <w:numFmt w:val="bullet"/>
      <w:lvlText w:val=""/>
      <w:lvlJc w:val="left"/>
      <w:pPr>
        <w:ind w:left="720" w:hanging="360"/>
      </w:pPr>
      <w:rPr>
        <w:rFonts w:ascii="Symbol" w:hAnsi="Symbol"/>
      </w:rPr>
    </w:lvl>
    <w:lvl w:ilvl="3" w:tplc="FE909790">
      <w:start w:val="1"/>
      <w:numFmt w:val="bullet"/>
      <w:lvlText w:val=""/>
      <w:lvlJc w:val="left"/>
      <w:pPr>
        <w:ind w:left="720" w:hanging="360"/>
      </w:pPr>
      <w:rPr>
        <w:rFonts w:ascii="Symbol" w:hAnsi="Symbol"/>
      </w:rPr>
    </w:lvl>
    <w:lvl w:ilvl="4" w:tplc="E1D89F1A">
      <w:start w:val="1"/>
      <w:numFmt w:val="bullet"/>
      <w:lvlText w:val=""/>
      <w:lvlJc w:val="left"/>
      <w:pPr>
        <w:ind w:left="720" w:hanging="360"/>
      </w:pPr>
      <w:rPr>
        <w:rFonts w:ascii="Symbol" w:hAnsi="Symbol"/>
      </w:rPr>
    </w:lvl>
    <w:lvl w:ilvl="5" w:tplc="5510CD04">
      <w:start w:val="1"/>
      <w:numFmt w:val="bullet"/>
      <w:lvlText w:val=""/>
      <w:lvlJc w:val="left"/>
      <w:pPr>
        <w:ind w:left="720" w:hanging="360"/>
      </w:pPr>
      <w:rPr>
        <w:rFonts w:ascii="Symbol" w:hAnsi="Symbol"/>
      </w:rPr>
    </w:lvl>
    <w:lvl w:ilvl="6" w:tplc="B8B45ABA">
      <w:start w:val="1"/>
      <w:numFmt w:val="bullet"/>
      <w:lvlText w:val=""/>
      <w:lvlJc w:val="left"/>
      <w:pPr>
        <w:ind w:left="720" w:hanging="360"/>
      </w:pPr>
      <w:rPr>
        <w:rFonts w:ascii="Symbol" w:hAnsi="Symbol"/>
      </w:rPr>
    </w:lvl>
    <w:lvl w:ilvl="7" w:tplc="072A4A26">
      <w:start w:val="1"/>
      <w:numFmt w:val="bullet"/>
      <w:lvlText w:val=""/>
      <w:lvlJc w:val="left"/>
      <w:pPr>
        <w:ind w:left="720" w:hanging="360"/>
      </w:pPr>
      <w:rPr>
        <w:rFonts w:ascii="Symbol" w:hAnsi="Symbol"/>
      </w:rPr>
    </w:lvl>
    <w:lvl w:ilvl="8" w:tplc="F4C615FE">
      <w:start w:val="1"/>
      <w:numFmt w:val="bullet"/>
      <w:lvlText w:val=""/>
      <w:lvlJc w:val="left"/>
      <w:pPr>
        <w:ind w:left="720" w:hanging="360"/>
      </w:pPr>
      <w:rPr>
        <w:rFonts w:ascii="Symbol" w:hAnsi="Symbol"/>
      </w:rPr>
    </w:lvl>
  </w:abstractNum>
  <w:abstractNum w:abstractNumId="58" w15:restartNumberingAfterBreak="0">
    <w:nsid w:val="7A0D1F2D"/>
    <w:multiLevelType w:val="multilevel"/>
    <w:tmpl w:val="67440146"/>
    <w:lvl w:ilvl="0">
      <w:start w:val="1"/>
      <w:numFmt w:val="bullet"/>
      <w:pStyle w:val="TableBulletSmaller"/>
      <w:lvlText w:val="●"/>
      <w:lvlJc w:val="left"/>
      <w:pPr>
        <w:ind w:left="720" w:hanging="360"/>
      </w:pPr>
      <w:rPr>
        <w:rFonts w:ascii="Noto Sans Symbols" w:eastAsia="Noto Sans Symbols" w:hAnsi="Noto Sans Symbols" w:cs="Noto Sans Symbols"/>
        <w:b w:val="0"/>
        <w:i w:val="0"/>
        <w:sz w:val="24"/>
        <w:szCs w:val="24"/>
      </w:rPr>
    </w:lvl>
    <w:lvl w:ilvl="1">
      <w:start w:val="1"/>
      <w:numFmt w:val="bullet"/>
      <w:lvlText w:val="–"/>
      <w:lvlJc w:val="left"/>
      <w:pPr>
        <w:ind w:left="1080" w:hanging="360"/>
      </w:pPr>
      <w:rPr>
        <w:rFonts w:ascii="Arial" w:eastAsia="Arial" w:hAnsi="Arial" w:cs="Arial"/>
        <w:b w:val="0"/>
        <w:i w:val="0"/>
        <w:sz w:val="24"/>
        <w:szCs w:val="24"/>
      </w:rPr>
    </w:lvl>
    <w:lvl w:ilvl="2">
      <w:start w:val="1"/>
      <w:numFmt w:val="bullet"/>
      <w:lvlText w:val="♦"/>
      <w:lvlJc w:val="left"/>
      <w:pPr>
        <w:ind w:left="1440" w:hanging="360"/>
      </w:pPr>
      <w:rPr>
        <w:rFonts w:ascii="Noto Sans Symbols" w:eastAsia="Noto Sans Symbols" w:hAnsi="Noto Sans Symbols" w:cs="Noto Sans Symbols"/>
        <w:b w:val="0"/>
        <w:i w:val="0"/>
        <w:sz w:val="16"/>
        <w:szCs w:val="16"/>
      </w:rPr>
    </w:lvl>
    <w:lvl w:ilvl="3">
      <w:start w:val="1"/>
      <w:numFmt w:val="bullet"/>
      <w:lvlText w:val="●"/>
      <w:lvlJc w:val="left"/>
      <w:pPr>
        <w:ind w:left="360" w:hanging="360"/>
      </w:pPr>
      <w:rPr>
        <w:rFonts w:ascii="Noto Sans Symbols" w:eastAsia="Noto Sans Symbols" w:hAnsi="Noto Sans Symbols" w:cs="Noto Sans Symbols"/>
        <w:b w:val="0"/>
        <w:i w:val="0"/>
        <w:sz w:val="22"/>
        <w:szCs w:val="22"/>
      </w:rPr>
    </w:lvl>
    <w:lvl w:ilvl="4">
      <w:start w:val="1"/>
      <w:numFmt w:val="decimal"/>
      <w:lvlText w:val="●.–.♦.●.%5."/>
      <w:lvlJc w:val="left"/>
      <w:pPr>
        <w:ind w:left="3096" w:hanging="864"/>
      </w:pPr>
      <w:rPr>
        <w:rFonts w:ascii="Arial Narrow" w:eastAsia="Arial Narrow" w:hAnsi="Arial Narrow" w:cs="Arial Narrow"/>
        <w:b w:val="0"/>
        <w:i w:val="0"/>
        <w:sz w:val="24"/>
        <w:szCs w:val="24"/>
      </w:rPr>
    </w:lvl>
    <w:lvl w:ilvl="5">
      <w:start w:val="1"/>
      <w:numFmt w:val="decimal"/>
      <w:lvlText w:val="●.–.♦.●.%5.%6."/>
      <w:lvlJc w:val="left"/>
      <w:pPr>
        <w:ind w:left="4176" w:hanging="1080"/>
      </w:pPr>
      <w:rPr>
        <w:rFonts w:ascii="Arial Narrow" w:eastAsia="Arial Narrow" w:hAnsi="Arial Narrow" w:cs="Arial Narrow"/>
        <w:b w:val="0"/>
        <w:i w:val="0"/>
        <w:sz w:val="24"/>
        <w:szCs w:val="24"/>
      </w:rPr>
    </w:lvl>
    <w:lvl w:ilvl="6">
      <w:start w:val="1"/>
      <w:numFmt w:val="decimal"/>
      <w:lvlText w:val="●.–.♦.●.%5.%6.%7."/>
      <w:lvlJc w:val="left"/>
      <w:pPr>
        <w:ind w:left="5400" w:hanging="1224"/>
      </w:pPr>
      <w:rPr>
        <w:rFonts w:ascii="Arial Narrow" w:eastAsia="Arial Narrow" w:hAnsi="Arial Narrow" w:cs="Arial Narrow"/>
        <w:b w:val="0"/>
        <w:i w:val="0"/>
        <w:sz w:val="24"/>
        <w:szCs w:val="24"/>
      </w:rPr>
    </w:lvl>
    <w:lvl w:ilvl="7">
      <w:start w:val="1"/>
      <w:numFmt w:val="decimal"/>
      <w:lvlText w:val="●.–.♦.●.%5.%6.%7.%8."/>
      <w:lvlJc w:val="left"/>
      <w:pPr>
        <w:ind w:left="3744" w:hanging="1224"/>
      </w:pPr>
      <w:rPr>
        <w:rFonts w:ascii="Arial Narrow" w:eastAsia="Arial Narrow" w:hAnsi="Arial Narrow" w:cs="Arial Narrow"/>
        <w:b w:val="0"/>
        <w:i w:val="0"/>
        <w:sz w:val="18"/>
        <w:szCs w:val="18"/>
      </w:rPr>
    </w:lvl>
    <w:lvl w:ilvl="8">
      <w:start w:val="1"/>
      <w:numFmt w:val="decimal"/>
      <w:lvlText w:val="●.–.♦.●.%5.%6.%7.%8.%9."/>
      <w:lvlJc w:val="left"/>
      <w:pPr>
        <w:ind w:left="4320" w:hanging="1440"/>
      </w:pPr>
      <w:rPr>
        <w:rFonts w:ascii="Arial Narrow" w:eastAsia="Arial Narrow" w:hAnsi="Arial Narrow" w:cs="Arial Narrow"/>
        <w:b w:val="0"/>
        <w:i w:val="0"/>
        <w:sz w:val="18"/>
        <w:szCs w:val="18"/>
      </w:rPr>
    </w:lvl>
  </w:abstractNum>
  <w:abstractNum w:abstractNumId="59" w15:restartNumberingAfterBreak="0">
    <w:nsid w:val="7D74110A"/>
    <w:multiLevelType w:val="hybridMultilevel"/>
    <w:tmpl w:val="D95C5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F2D47C4"/>
    <w:multiLevelType w:val="multilevel"/>
    <w:tmpl w:val="D68C6F66"/>
    <w:lvl w:ilvl="0">
      <w:start w:val="1"/>
      <w:numFmt w:val="bullet"/>
      <w:pStyle w:val="TableBulletIndented"/>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5"/>
      <w:numFmt w:val="decimal"/>
      <w:lvlText w:val="%3)"/>
      <w:lvlJc w:val="left"/>
      <w:pPr>
        <w:ind w:left="2340" w:hanging="360"/>
      </w:pPr>
      <w:rPr>
        <w:color w:val="000000"/>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69263581">
    <w:abstractNumId w:val="13"/>
  </w:num>
  <w:num w:numId="2" w16cid:durableId="1928340458">
    <w:abstractNumId w:val="21"/>
  </w:num>
  <w:num w:numId="3" w16cid:durableId="291328217">
    <w:abstractNumId w:val="56"/>
  </w:num>
  <w:num w:numId="4" w16cid:durableId="1334067964">
    <w:abstractNumId w:val="32"/>
  </w:num>
  <w:num w:numId="5" w16cid:durableId="1728530688">
    <w:abstractNumId w:val="45"/>
  </w:num>
  <w:num w:numId="6" w16cid:durableId="1503348848">
    <w:abstractNumId w:val="44"/>
  </w:num>
  <w:num w:numId="7" w16cid:durableId="1928152072">
    <w:abstractNumId w:val="58"/>
  </w:num>
  <w:num w:numId="8" w16cid:durableId="1869760280">
    <w:abstractNumId w:val="54"/>
  </w:num>
  <w:num w:numId="9" w16cid:durableId="185139892">
    <w:abstractNumId w:val="42"/>
  </w:num>
  <w:num w:numId="10" w16cid:durableId="335614200">
    <w:abstractNumId w:val="60"/>
  </w:num>
  <w:num w:numId="11" w16cid:durableId="311757276">
    <w:abstractNumId w:val="38"/>
  </w:num>
  <w:num w:numId="12" w16cid:durableId="1058821544">
    <w:abstractNumId w:val="49"/>
  </w:num>
  <w:num w:numId="13" w16cid:durableId="1213738372">
    <w:abstractNumId w:val="51"/>
  </w:num>
  <w:num w:numId="14" w16cid:durableId="2121216131">
    <w:abstractNumId w:val="30"/>
  </w:num>
  <w:num w:numId="15" w16cid:durableId="234433507">
    <w:abstractNumId w:val="31"/>
  </w:num>
  <w:num w:numId="16" w16cid:durableId="145317950">
    <w:abstractNumId w:val="50"/>
  </w:num>
  <w:num w:numId="17" w16cid:durableId="148793156">
    <w:abstractNumId w:val="41"/>
  </w:num>
  <w:num w:numId="18" w16cid:durableId="817846980">
    <w:abstractNumId w:val="46"/>
  </w:num>
  <w:num w:numId="19" w16cid:durableId="2103524893">
    <w:abstractNumId w:val="12"/>
  </w:num>
  <w:num w:numId="20" w16cid:durableId="458693862">
    <w:abstractNumId w:val="55"/>
  </w:num>
  <w:num w:numId="21" w16cid:durableId="904294637">
    <w:abstractNumId w:val="29"/>
  </w:num>
  <w:num w:numId="22" w16cid:durableId="2063164409">
    <w:abstractNumId w:val="39"/>
  </w:num>
  <w:num w:numId="23" w16cid:durableId="1004285544">
    <w:abstractNumId w:val="9"/>
  </w:num>
  <w:num w:numId="24" w16cid:durableId="1871411524">
    <w:abstractNumId w:val="8"/>
  </w:num>
  <w:num w:numId="25" w16cid:durableId="1963805252">
    <w:abstractNumId w:val="24"/>
  </w:num>
  <w:num w:numId="26" w16cid:durableId="845023676">
    <w:abstractNumId w:val="7"/>
  </w:num>
  <w:num w:numId="27" w16cid:durableId="1815681797">
    <w:abstractNumId w:val="6"/>
  </w:num>
  <w:num w:numId="28" w16cid:durableId="369456832">
    <w:abstractNumId w:val="5"/>
  </w:num>
  <w:num w:numId="29" w16cid:durableId="512572406">
    <w:abstractNumId w:val="4"/>
  </w:num>
  <w:num w:numId="30" w16cid:durableId="2100054984">
    <w:abstractNumId w:val="3"/>
  </w:num>
  <w:num w:numId="31" w16cid:durableId="1400254172">
    <w:abstractNumId w:val="2"/>
  </w:num>
  <w:num w:numId="32" w16cid:durableId="204221278">
    <w:abstractNumId w:val="1"/>
  </w:num>
  <w:num w:numId="33" w16cid:durableId="1063210555">
    <w:abstractNumId w:val="0"/>
  </w:num>
  <w:num w:numId="34" w16cid:durableId="401100817">
    <w:abstractNumId w:val="20"/>
  </w:num>
  <w:num w:numId="35" w16cid:durableId="154497235">
    <w:abstractNumId w:val="47"/>
  </w:num>
  <w:num w:numId="36" w16cid:durableId="552617016">
    <w:abstractNumId w:val="18"/>
  </w:num>
  <w:num w:numId="37" w16cid:durableId="1631743707">
    <w:abstractNumId w:val="17"/>
  </w:num>
  <w:num w:numId="38" w16cid:durableId="1965039050">
    <w:abstractNumId w:val="37"/>
  </w:num>
  <w:num w:numId="39" w16cid:durableId="238909924">
    <w:abstractNumId w:val="33"/>
  </w:num>
  <w:num w:numId="40" w16cid:durableId="255018379">
    <w:abstractNumId w:val="15"/>
  </w:num>
  <w:num w:numId="41" w16cid:durableId="742291920">
    <w:abstractNumId w:val="43"/>
  </w:num>
  <w:num w:numId="42" w16cid:durableId="1191334729">
    <w:abstractNumId w:val="53"/>
  </w:num>
  <w:num w:numId="43" w16cid:durableId="363486531">
    <w:abstractNumId w:val="27"/>
  </w:num>
  <w:num w:numId="44" w16cid:durableId="2056729964">
    <w:abstractNumId w:val="16"/>
  </w:num>
  <w:num w:numId="45" w16cid:durableId="713038560">
    <w:abstractNumId w:val="14"/>
  </w:num>
  <w:num w:numId="46" w16cid:durableId="1330525296">
    <w:abstractNumId w:val="26"/>
  </w:num>
  <w:num w:numId="47" w16cid:durableId="358749867">
    <w:abstractNumId w:val="59"/>
  </w:num>
  <w:num w:numId="48" w16cid:durableId="1108432888">
    <w:abstractNumId w:val="23"/>
  </w:num>
  <w:num w:numId="49" w16cid:durableId="1085148348">
    <w:abstractNumId w:val="25"/>
  </w:num>
  <w:num w:numId="50" w16cid:durableId="469129046">
    <w:abstractNumId w:val="40"/>
  </w:num>
  <w:num w:numId="51" w16cid:durableId="386228531">
    <w:abstractNumId w:val="28"/>
  </w:num>
  <w:num w:numId="52" w16cid:durableId="1406761717">
    <w:abstractNumId w:val="48"/>
  </w:num>
  <w:num w:numId="53" w16cid:durableId="80564736">
    <w:abstractNumId w:val="10"/>
  </w:num>
  <w:num w:numId="54" w16cid:durableId="420952372">
    <w:abstractNumId w:val="22"/>
  </w:num>
  <w:num w:numId="55" w16cid:durableId="215241634">
    <w:abstractNumId w:val="52"/>
  </w:num>
  <w:num w:numId="56" w16cid:durableId="662049765">
    <w:abstractNumId w:val="34"/>
  </w:num>
  <w:num w:numId="57" w16cid:durableId="2050643533">
    <w:abstractNumId w:val="36"/>
  </w:num>
  <w:num w:numId="58" w16cid:durableId="1412846997">
    <w:abstractNumId w:val="19"/>
  </w:num>
  <w:num w:numId="59" w16cid:durableId="1997566551">
    <w:abstractNumId w:val="57"/>
  </w:num>
  <w:num w:numId="60" w16cid:durableId="592276681">
    <w:abstractNumId w:val="35"/>
  </w:num>
  <w:num w:numId="61" w16cid:durableId="2088724373">
    <w:abstractNumId w:val="1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2"/>
  <w:proofState w:spelling="clean" w:grammar="clean"/>
  <w:attachedTemplate r:id="rId1"/>
  <w:stylePaneSortMethod w:val="000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ui" w:val="5"/>
  </w:docVars>
  <w:rsids>
    <w:rsidRoot w:val="00D67C8C"/>
    <w:rsid w:val="0000021B"/>
    <w:rsid w:val="00000B44"/>
    <w:rsid w:val="00000CED"/>
    <w:rsid w:val="00000EAE"/>
    <w:rsid w:val="000017F9"/>
    <w:rsid w:val="000022B5"/>
    <w:rsid w:val="0000357C"/>
    <w:rsid w:val="00003A52"/>
    <w:rsid w:val="00003AAA"/>
    <w:rsid w:val="00003CDE"/>
    <w:rsid w:val="0000407C"/>
    <w:rsid w:val="00004A01"/>
    <w:rsid w:val="00004C98"/>
    <w:rsid w:val="00004E3A"/>
    <w:rsid w:val="000054DF"/>
    <w:rsid w:val="000058FF"/>
    <w:rsid w:val="00005D8A"/>
    <w:rsid w:val="00007E87"/>
    <w:rsid w:val="0001046E"/>
    <w:rsid w:val="00010ADB"/>
    <w:rsid w:val="00010F8A"/>
    <w:rsid w:val="0001107A"/>
    <w:rsid w:val="00011583"/>
    <w:rsid w:val="00011E1B"/>
    <w:rsid w:val="000120BC"/>
    <w:rsid w:val="000129E7"/>
    <w:rsid w:val="00014774"/>
    <w:rsid w:val="0001494E"/>
    <w:rsid w:val="00014A7C"/>
    <w:rsid w:val="000153C0"/>
    <w:rsid w:val="000167A6"/>
    <w:rsid w:val="000167AB"/>
    <w:rsid w:val="00016A8C"/>
    <w:rsid w:val="00016FBB"/>
    <w:rsid w:val="000171A8"/>
    <w:rsid w:val="000201FB"/>
    <w:rsid w:val="00020576"/>
    <w:rsid w:val="000214B8"/>
    <w:rsid w:val="000216C2"/>
    <w:rsid w:val="0002191E"/>
    <w:rsid w:val="00022A36"/>
    <w:rsid w:val="00022E7D"/>
    <w:rsid w:val="000230AA"/>
    <w:rsid w:val="00023FDB"/>
    <w:rsid w:val="00024BFC"/>
    <w:rsid w:val="000258AA"/>
    <w:rsid w:val="000258E1"/>
    <w:rsid w:val="00025E7A"/>
    <w:rsid w:val="00026423"/>
    <w:rsid w:val="00026AC8"/>
    <w:rsid w:val="00027B7A"/>
    <w:rsid w:val="00027F17"/>
    <w:rsid w:val="00030383"/>
    <w:rsid w:val="00031154"/>
    <w:rsid w:val="0003172E"/>
    <w:rsid w:val="000318CF"/>
    <w:rsid w:val="00032F73"/>
    <w:rsid w:val="000334AE"/>
    <w:rsid w:val="000348D0"/>
    <w:rsid w:val="00034F11"/>
    <w:rsid w:val="00034F34"/>
    <w:rsid w:val="00035544"/>
    <w:rsid w:val="000371DD"/>
    <w:rsid w:val="00037218"/>
    <w:rsid w:val="00037587"/>
    <w:rsid w:val="000403A2"/>
    <w:rsid w:val="0004097A"/>
    <w:rsid w:val="00040A8D"/>
    <w:rsid w:val="00040FC6"/>
    <w:rsid w:val="00042323"/>
    <w:rsid w:val="00042579"/>
    <w:rsid w:val="00043062"/>
    <w:rsid w:val="00043BB3"/>
    <w:rsid w:val="000441BB"/>
    <w:rsid w:val="000442CC"/>
    <w:rsid w:val="00044DC6"/>
    <w:rsid w:val="00044F4A"/>
    <w:rsid w:val="00046225"/>
    <w:rsid w:val="000462ED"/>
    <w:rsid w:val="000464B1"/>
    <w:rsid w:val="00047011"/>
    <w:rsid w:val="000477DF"/>
    <w:rsid w:val="00047A89"/>
    <w:rsid w:val="0005055A"/>
    <w:rsid w:val="0005077E"/>
    <w:rsid w:val="000508AC"/>
    <w:rsid w:val="000509F9"/>
    <w:rsid w:val="00050F91"/>
    <w:rsid w:val="000510B6"/>
    <w:rsid w:val="000510F2"/>
    <w:rsid w:val="000511F1"/>
    <w:rsid w:val="00052593"/>
    <w:rsid w:val="00052B8C"/>
    <w:rsid w:val="00052CBD"/>
    <w:rsid w:val="000537AA"/>
    <w:rsid w:val="00054464"/>
    <w:rsid w:val="000544BB"/>
    <w:rsid w:val="000549A2"/>
    <w:rsid w:val="00054D7B"/>
    <w:rsid w:val="0005568C"/>
    <w:rsid w:val="000569BE"/>
    <w:rsid w:val="00056A94"/>
    <w:rsid w:val="000573EB"/>
    <w:rsid w:val="0005768B"/>
    <w:rsid w:val="0005775D"/>
    <w:rsid w:val="0006016B"/>
    <w:rsid w:val="000601E7"/>
    <w:rsid w:val="00062189"/>
    <w:rsid w:val="00062C47"/>
    <w:rsid w:val="000634A1"/>
    <w:rsid w:val="00063527"/>
    <w:rsid w:val="0006353A"/>
    <w:rsid w:val="000635F4"/>
    <w:rsid w:val="0006432A"/>
    <w:rsid w:val="000644CA"/>
    <w:rsid w:val="00064B7E"/>
    <w:rsid w:val="00064ECC"/>
    <w:rsid w:val="00065488"/>
    <w:rsid w:val="00065D9F"/>
    <w:rsid w:val="000665C0"/>
    <w:rsid w:val="00066A8E"/>
    <w:rsid w:val="00067B2A"/>
    <w:rsid w:val="000708F8"/>
    <w:rsid w:val="000719C5"/>
    <w:rsid w:val="00071DB6"/>
    <w:rsid w:val="00072246"/>
    <w:rsid w:val="000734CF"/>
    <w:rsid w:val="000737A6"/>
    <w:rsid w:val="000739C9"/>
    <w:rsid w:val="00073E15"/>
    <w:rsid w:val="000749C9"/>
    <w:rsid w:val="00074AA1"/>
    <w:rsid w:val="0007502D"/>
    <w:rsid w:val="00075225"/>
    <w:rsid w:val="00075325"/>
    <w:rsid w:val="00075613"/>
    <w:rsid w:val="000760A4"/>
    <w:rsid w:val="00076EB1"/>
    <w:rsid w:val="00076EBA"/>
    <w:rsid w:val="00076F05"/>
    <w:rsid w:val="0007720D"/>
    <w:rsid w:val="0007738A"/>
    <w:rsid w:val="00077D8C"/>
    <w:rsid w:val="00080202"/>
    <w:rsid w:val="0008027C"/>
    <w:rsid w:val="000804B6"/>
    <w:rsid w:val="00080A87"/>
    <w:rsid w:val="00080BA5"/>
    <w:rsid w:val="00080C9B"/>
    <w:rsid w:val="00080D3A"/>
    <w:rsid w:val="00081DE0"/>
    <w:rsid w:val="0008260F"/>
    <w:rsid w:val="000833BD"/>
    <w:rsid w:val="0008373B"/>
    <w:rsid w:val="00083990"/>
    <w:rsid w:val="0008441E"/>
    <w:rsid w:val="000850B7"/>
    <w:rsid w:val="00086320"/>
    <w:rsid w:val="00086AE1"/>
    <w:rsid w:val="00086B01"/>
    <w:rsid w:val="00086C85"/>
    <w:rsid w:val="000874B8"/>
    <w:rsid w:val="00087C49"/>
    <w:rsid w:val="000903EE"/>
    <w:rsid w:val="0009075F"/>
    <w:rsid w:val="000909FC"/>
    <w:rsid w:val="00090B0F"/>
    <w:rsid w:val="00090FFD"/>
    <w:rsid w:val="0009276F"/>
    <w:rsid w:val="00092D0A"/>
    <w:rsid w:val="00093261"/>
    <w:rsid w:val="0009334D"/>
    <w:rsid w:val="00093BDA"/>
    <w:rsid w:val="00093CAF"/>
    <w:rsid w:val="00093F97"/>
    <w:rsid w:val="00094248"/>
    <w:rsid w:val="000945FD"/>
    <w:rsid w:val="000950B6"/>
    <w:rsid w:val="00095845"/>
    <w:rsid w:val="00096103"/>
    <w:rsid w:val="000963EF"/>
    <w:rsid w:val="0009654A"/>
    <w:rsid w:val="00096DBE"/>
    <w:rsid w:val="000A0DFF"/>
    <w:rsid w:val="000A0F82"/>
    <w:rsid w:val="000A12E7"/>
    <w:rsid w:val="000A1607"/>
    <w:rsid w:val="000A1796"/>
    <w:rsid w:val="000A22BF"/>
    <w:rsid w:val="000A3581"/>
    <w:rsid w:val="000A3650"/>
    <w:rsid w:val="000A4034"/>
    <w:rsid w:val="000A5106"/>
    <w:rsid w:val="000A5193"/>
    <w:rsid w:val="000A5557"/>
    <w:rsid w:val="000A56F8"/>
    <w:rsid w:val="000A57A6"/>
    <w:rsid w:val="000A5D13"/>
    <w:rsid w:val="000A6181"/>
    <w:rsid w:val="000A6BB6"/>
    <w:rsid w:val="000A7343"/>
    <w:rsid w:val="000A7E36"/>
    <w:rsid w:val="000B016B"/>
    <w:rsid w:val="000B0CA9"/>
    <w:rsid w:val="000B157F"/>
    <w:rsid w:val="000B1C6B"/>
    <w:rsid w:val="000B1E4B"/>
    <w:rsid w:val="000B24BC"/>
    <w:rsid w:val="000B271C"/>
    <w:rsid w:val="000B2860"/>
    <w:rsid w:val="000B3A42"/>
    <w:rsid w:val="000B3AF8"/>
    <w:rsid w:val="000B3AFB"/>
    <w:rsid w:val="000B4DAD"/>
    <w:rsid w:val="000B4E91"/>
    <w:rsid w:val="000B52E8"/>
    <w:rsid w:val="000B5335"/>
    <w:rsid w:val="000B54CA"/>
    <w:rsid w:val="000B6608"/>
    <w:rsid w:val="000B6A4A"/>
    <w:rsid w:val="000B71E8"/>
    <w:rsid w:val="000C06AA"/>
    <w:rsid w:val="000C08CC"/>
    <w:rsid w:val="000C1580"/>
    <w:rsid w:val="000C1B1F"/>
    <w:rsid w:val="000C1C8A"/>
    <w:rsid w:val="000C2F38"/>
    <w:rsid w:val="000C478A"/>
    <w:rsid w:val="000C482A"/>
    <w:rsid w:val="000C48E6"/>
    <w:rsid w:val="000C514F"/>
    <w:rsid w:val="000C522B"/>
    <w:rsid w:val="000C534E"/>
    <w:rsid w:val="000C663E"/>
    <w:rsid w:val="000C6863"/>
    <w:rsid w:val="000C68D8"/>
    <w:rsid w:val="000C6DDB"/>
    <w:rsid w:val="000D0D7E"/>
    <w:rsid w:val="000D13B8"/>
    <w:rsid w:val="000D1E76"/>
    <w:rsid w:val="000D27E5"/>
    <w:rsid w:val="000D27FE"/>
    <w:rsid w:val="000D2A25"/>
    <w:rsid w:val="000D3089"/>
    <w:rsid w:val="000D354C"/>
    <w:rsid w:val="000D3DFD"/>
    <w:rsid w:val="000D4114"/>
    <w:rsid w:val="000D41B7"/>
    <w:rsid w:val="000D515E"/>
    <w:rsid w:val="000D5908"/>
    <w:rsid w:val="000D6A51"/>
    <w:rsid w:val="000D6FE6"/>
    <w:rsid w:val="000D7688"/>
    <w:rsid w:val="000D796D"/>
    <w:rsid w:val="000D7BF1"/>
    <w:rsid w:val="000E0028"/>
    <w:rsid w:val="000E13B4"/>
    <w:rsid w:val="000E1658"/>
    <w:rsid w:val="000E1675"/>
    <w:rsid w:val="000E2694"/>
    <w:rsid w:val="000E2718"/>
    <w:rsid w:val="000E3358"/>
    <w:rsid w:val="000E343F"/>
    <w:rsid w:val="000E3AC7"/>
    <w:rsid w:val="000E4B70"/>
    <w:rsid w:val="000E53EE"/>
    <w:rsid w:val="000E5B95"/>
    <w:rsid w:val="000E5BDB"/>
    <w:rsid w:val="000E5E63"/>
    <w:rsid w:val="000E65F7"/>
    <w:rsid w:val="000E67C8"/>
    <w:rsid w:val="000E7111"/>
    <w:rsid w:val="000E713C"/>
    <w:rsid w:val="000E754F"/>
    <w:rsid w:val="000E7CD7"/>
    <w:rsid w:val="000F08B8"/>
    <w:rsid w:val="000F0C41"/>
    <w:rsid w:val="000F136D"/>
    <w:rsid w:val="000F3A63"/>
    <w:rsid w:val="000F4019"/>
    <w:rsid w:val="000F44DE"/>
    <w:rsid w:val="000F49CB"/>
    <w:rsid w:val="000F59D1"/>
    <w:rsid w:val="000F5B07"/>
    <w:rsid w:val="000F62B9"/>
    <w:rsid w:val="000F78A3"/>
    <w:rsid w:val="000F7D35"/>
    <w:rsid w:val="000F7DF2"/>
    <w:rsid w:val="0010073D"/>
    <w:rsid w:val="00100C5C"/>
    <w:rsid w:val="001012BA"/>
    <w:rsid w:val="00102CE8"/>
    <w:rsid w:val="00103250"/>
    <w:rsid w:val="0010359C"/>
    <w:rsid w:val="00103DB8"/>
    <w:rsid w:val="00104924"/>
    <w:rsid w:val="00104B3A"/>
    <w:rsid w:val="0010529F"/>
    <w:rsid w:val="0010556B"/>
    <w:rsid w:val="001055F4"/>
    <w:rsid w:val="00105D57"/>
    <w:rsid w:val="00105E05"/>
    <w:rsid w:val="001060A1"/>
    <w:rsid w:val="00106642"/>
    <w:rsid w:val="0010728B"/>
    <w:rsid w:val="00107942"/>
    <w:rsid w:val="00107990"/>
    <w:rsid w:val="00107D59"/>
    <w:rsid w:val="00110696"/>
    <w:rsid w:val="00110E29"/>
    <w:rsid w:val="00110F8A"/>
    <w:rsid w:val="0011169E"/>
    <w:rsid w:val="00111E3E"/>
    <w:rsid w:val="001126BC"/>
    <w:rsid w:val="00112914"/>
    <w:rsid w:val="00112A58"/>
    <w:rsid w:val="001135CA"/>
    <w:rsid w:val="00114208"/>
    <w:rsid w:val="00114561"/>
    <w:rsid w:val="0011460D"/>
    <w:rsid w:val="0011482F"/>
    <w:rsid w:val="00114F52"/>
    <w:rsid w:val="00114FB5"/>
    <w:rsid w:val="00116423"/>
    <w:rsid w:val="00116E91"/>
    <w:rsid w:val="00116ED3"/>
    <w:rsid w:val="001170C3"/>
    <w:rsid w:val="00117111"/>
    <w:rsid w:val="00117165"/>
    <w:rsid w:val="0011749E"/>
    <w:rsid w:val="00117659"/>
    <w:rsid w:val="00120F7F"/>
    <w:rsid w:val="0012167C"/>
    <w:rsid w:val="001219B7"/>
    <w:rsid w:val="00121BB5"/>
    <w:rsid w:val="00122DE2"/>
    <w:rsid w:val="00122E48"/>
    <w:rsid w:val="00123530"/>
    <w:rsid w:val="00123BB7"/>
    <w:rsid w:val="001242DC"/>
    <w:rsid w:val="00125421"/>
    <w:rsid w:val="00125432"/>
    <w:rsid w:val="0012577F"/>
    <w:rsid w:val="00125A7C"/>
    <w:rsid w:val="00125F47"/>
    <w:rsid w:val="00126382"/>
    <w:rsid w:val="001266B7"/>
    <w:rsid w:val="00126D00"/>
    <w:rsid w:val="00127A5E"/>
    <w:rsid w:val="00130376"/>
    <w:rsid w:val="00130437"/>
    <w:rsid w:val="0013099E"/>
    <w:rsid w:val="00130A3C"/>
    <w:rsid w:val="00132096"/>
    <w:rsid w:val="001321CE"/>
    <w:rsid w:val="0013443D"/>
    <w:rsid w:val="00134590"/>
    <w:rsid w:val="001349EB"/>
    <w:rsid w:val="001352C9"/>
    <w:rsid w:val="00135781"/>
    <w:rsid w:val="00135B95"/>
    <w:rsid w:val="00136076"/>
    <w:rsid w:val="001369FE"/>
    <w:rsid w:val="00137425"/>
    <w:rsid w:val="00137499"/>
    <w:rsid w:val="001374DA"/>
    <w:rsid w:val="001377C6"/>
    <w:rsid w:val="00137913"/>
    <w:rsid w:val="0014067A"/>
    <w:rsid w:val="00140980"/>
    <w:rsid w:val="00140D3A"/>
    <w:rsid w:val="001413C4"/>
    <w:rsid w:val="001414F6"/>
    <w:rsid w:val="00141DD5"/>
    <w:rsid w:val="001436F8"/>
    <w:rsid w:val="00145619"/>
    <w:rsid w:val="00145E9F"/>
    <w:rsid w:val="00145EC5"/>
    <w:rsid w:val="0014609C"/>
    <w:rsid w:val="0014625F"/>
    <w:rsid w:val="00146FB2"/>
    <w:rsid w:val="0014771A"/>
    <w:rsid w:val="00147EF0"/>
    <w:rsid w:val="00150407"/>
    <w:rsid w:val="00150FED"/>
    <w:rsid w:val="001511EC"/>
    <w:rsid w:val="001512E4"/>
    <w:rsid w:val="00151E1E"/>
    <w:rsid w:val="00152C76"/>
    <w:rsid w:val="001539E9"/>
    <w:rsid w:val="001539F5"/>
    <w:rsid w:val="001542AB"/>
    <w:rsid w:val="00154AF4"/>
    <w:rsid w:val="0015539F"/>
    <w:rsid w:val="001554C0"/>
    <w:rsid w:val="001555FD"/>
    <w:rsid w:val="001556E5"/>
    <w:rsid w:val="001565C8"/>
    <w:rsid w:val="001568A6"/>
    <w:rsid w:val="00157680"/>
    <w:rsid w:val="001578A4"/>
    <w:rsid w:val="00157AF9"/>
    <w:rsid w:val="00160EAC"/>
    <w:rsid w:val="00161264"/>
    <w:rsid w:val="00161530"/>
    <w:rsid w:val="0016160B"/>
    <w:rsid w:val="00161739"/>
    <w:rsid w:val="00162058"/>
    <w:rsid w:val="0016238B"/>
    <w:rsid w:val="001638F1"/>
    <w:rsid w:val="00163B38"/>
    <w:rsid w:val="001646A9"/>
    <w:rsid w:val="00164966"/>
    <w:rsid w:val="00164C93"/>
    <w:rsid w:val="00164CCA"/>
    <w:rsid w:val="001651A7"/>
    <w:rsid w:val="00165F98"/>
    <w:rsid w:val="00165FE0"/>
    <w:rsid w:val="0016725A"/>
    <w:rsid w:val="00167CD6"/>
    <w:rsid w:val="00167DC4"/>
    <w:rsid w:val="0017030F"/>
    <w:rsid w:val="0017057F"/>
    <w:rsid w:val="001706E6"/>
    <w:rsid w:val="00170916"/>
    <w:rsid w:val="00171AB1"/>
    <w:rsid w:val="00172074"/>
    <w:rsid w:val="001722AD"/>
    <w:rsid w:val="001726AE"/>
    <w:rsid w:val="00172EF3"/>
    <w:rsid w:val="00173A39"/>
    <w:rsid w:val="00174B2C"/>
    <w:rsid w:val="00174B96"/>
    <w:rsid w:val="001752AA"/>
    <w:rsid w:val="00176290"/>
    <w:rsid w:val="00176669"/>
    <w:rsid w:val="001768E1"/>
    <w:rsid w:val="00176C5D"/>
    <w:rsid w:val="00176E47"/>
    <w:rsid w:val="00177BA6"/>
    <w:rsid w:val="001802F8"/>
    <w:rsid w:val="00180653"/>
    <w:rsid w:val="00181123"/>
    <w:rsid w:val="00181391"/>
    <w:rsid w:val="00181D48"/>
    <w:rsid w:val="0018268C"/>
    <w:rsid w:val="00182B2F"/>
    <w:rsid w:val="00183590"/>
    <w:rsid w:val="00184596"/>
    <w:rsid w:val="00184F6E"/>
    <w:rsid w:val="00185142"/>
    <w:rsid w:val="0018662B"/>
    <w:rsid w:val="001869C6"/>
    <w:rsid w:val="00186AD7"/>
    <w:rsid w:val="001870AE"/>
    <w:rsid w:val="00187106"/>
    <w:rsid w:val="001878C3"/>
    <w:rsid w:val="0018795A"/>
    <w:rsid w:val="001901F8"/>
    <w:rsid w:val="00190BA1"/>
    <w:rsid w:val="00191107"/>
    <w:rsid w:val="00192758"/>
    <w:rsid w:val="00192A5D"/>
    <w:rsid w:val="00192DB2"/>
    <w:rsid w:val="001932E5"/>
    <w:rsid w:val="00193679"/>
    <w:rsid w:val="00193FFA"/>
    <w:rsid w:val="00194109"/>
    <w:rsid w:val="001948FC"/>
    <w:rsid w:val="001952C0"/>
    <w:rsid w:val="001965DD"/>
    <w:rsid w:val="0019698F"/>
    <w:rsid w:val="00196EF2"/>
    <w:rsid w:val="00197AB8"/>
    <w:rsid w:val="00197B39"/>
    <w:rsid w:val="001A00D4"/>
    <w:rsid w:val="001A07D8"/>
    <w:rsid w:val="001A0895"/>
    <w:rsid w:val="001A0A8B"/>
    <w:rsid w:val="001A0B39"/>
    <w:rsid w:val="001A1477"/>
    <w:rsid w:val="001A3100"/>
    <w:rsid w:val="001A3CCB"/>
    <w:rsid w:val="001A4AE4"/>
    <w:rsid w:val="001A4FC0"/>
    <w:rsid w:val="001A5221"/>
    <w:rsid w:val="001A57F5"/>
    <w:rsid w:val="001A5B30"/>
    <w:rsid w:val="001A6387"/>
    <w:rsid w:val="001A645C"/>
    <w:rsid w:val="001A674A"/>
    <w:rsid w:val="001A683D"/>
    <w:rsid w:val="001A6A2C"/>
    <w:rsid w:val="001A7D94"/>
    <w:rsid w:val="001B0CAA"/>
    <w:rsid w:val="001B128F"/>
    <w:rsid w:val="001B1EE1"/>
    <w:rsid w:val="001B1EFC"/>
    <w:rsid w:val="001B2499"/>
    <w:rsid w:val="001B260E"/>
    <w:rsid w:val="001B273C"/>
    <w:rsid w:val="001B29EA"/>
    <w:rsid w:val="001B38D9"/>
    <w:rsid w:val="001B39D2"/>
    <w:rsid w:val="001B42C6"/>
    <w:rsid w:val="001B4770"/>
    <w:rsid w:val="001B493E"/>
    <w:rsid w:val="001B5894"/>
    <w:rsid w:val="001B671F"/>
    <w:rsid w:val="001B69C6"/>
    <w:rsid w:val="001B7137"/>
    <w:rsid w:val="001C0073"/>
    <w:rsid w:val="001C05D3"/>
    <w:rsid w:val="001C068F"/>
    <w:rsid w:val="001C1202"/>
    <w:rsid w:val="001C18E7"/>
    <w:rsid w:val="001C19B1"/>
    <w:rsid w:val="001C1EE0"/>
    <w:rsid w:val="001C250F"/>
    <w:rsid w:val="001C2806"/>
    <w:rsid w:val="001C28F5"/>
    <w:rsid w:val="001C2BCB"/>
    <w:rsid w:val="001C2C11"/>
    <w:rsid w:val="001C2C56"/>
    <w:rsid w:val="001C2D38"/>
    <w:rsid w:val="001C2F1F"/>
    <w:rsid w:val="001C3873"/>
    <w:rsid w:val="001C38D5"/>
    <w:rsid w:val="001C3B15"/>
    <w:rsid w:val="001C3B20"/>
    <w:rsid w:val="001C3BD7"/>
    <w:rsid w:val="001C3C63"/>
    <w:rsid w:val="001C4B2A"/>
    <w:rsid w:val="001C504F"/>
    <w:rsid w:val="001C5B03"/>
    <w:rsid w:val="001C5C6D"/>
    <w:rsid w:val="001C60C8"/>
    <w:rsid w:val="001C679D"/>
    <w:rsid w:val="001C70AB"/>
    <w:rsid w:val="001C7FC5"/>
    <w:rsid w:val="001D0C07"/>
    <w:rsid w:val="001D1657"/>
    <w:rsid w:val="001D1B31"/>
    <w:rsid w:val="001D1CB1"/>
    <w:rsid w:val="001D263C"/>
    <w:rsid w:val="001D2985"/>
    <w:rsid w:val="001D2B40"/>
    <w:rsid w:val="001D2B97"/>
    <w:rsid w:val="001D2C61"/>
    <w:rsid w:val="001D2D73"/>
    <w:rsid w:val="001D397C"/>
    <w:rsid w:val="001D3DA7"/>
    <w:rsid w:val="001D4060"/>
    <w:rsid w:val="001D440F"/>
    <w:rsid w:val="001D4BB7"/>
    <w:rsid w:val="001D5E36"/>
    <w:rsid w:val="001D645D"/>
    <w:rsid w:val="001D6F45"/>
    <w:rsid w:val="001E0C1C"/>
    <w:rsid w:val="001E0D4B"/>
    <w:rsid w:val="001E1749"/>
    <w:rsid w:val="001E18E1"/>
    <w:rsid w:val="001E294E"/>
    <w:rsid w:val="001E30A1"/>
    <w:rsid w:val="001E36FC"/>
    <w:rsid w:val="001E3B20"/>
    <w:rsid w:val="001E4112"/>
    <w:rsid w:val="001E43AE"/>
    <w:rsid w:val="001E4441"/>
    <w:rsid w:val="001E4ADC"/>
    <w:rsid w:val="001E4C9A"/>
    <w:rsid w:val="001E4D15"/>
    <w:rsid w:val="001E4F11"/>
    <w:rsid w:val="001E51AF"/>
    <w:rsid w:val="001E6BD5"/>
    <w:rsid w:val="001E6FCB"/>
    <w:rsid w:val="001E74F6"/>
    <w:rsid w:val="001F0215"/>
    <w:rsid w:val="001F045C"/>
    <w:rsid w:val="001F0E20"/>
    <w:rsid w:val="001F18BB"/>
    <w:rsid w:val="001F1B26"/>
    <w:rsid w:val="001F1BFE"/>
    <w:rsid w:val="001F31F9"/>
    <w:rsid w:val="001F3C63"/>
    <w:rsid w:val="001F3F98"/>
    <w:rsid w:val="001F4A66"/>
    <w:rsid w:val="001F5005"/>
    <w:rsid w:val="001F51DB"/>
    <w:rsid w:val="001F5872"/>
    <w:rsid w:val="001F6107"/>
    <w:rsid w:val="001F632B"/>
    <w:rsid w:val="001F6CD5"/>
    <w:rsid w:val="001F785B"/>
    <w:rsid w:val="00200149"/>
    <w:rsid w:val="0020018D"/>
    <w:rsid w:val="002001FE"/>
    <w:rsid w:val="00200235"/>
    <w:rsid w:val="0020032C"/>
    <w:rsid w:val="002008A7"/>
    <w:rsid w:val="002019A0"/>
    <w:rsid w:val="00202057"/>
    <w:rsid w:val="00202232"/>
    <w:rsid w:val="0020253D"/>
    <w:rsid w:val="002029C9"/>
    <w:rsid w:val="00202E10"/>
    <w:rsid w:val="00203760"/>
    <w:rsid w:val="002037C5"/>
    <w:rsid w:val="00203A48"/>
    <w:rsid w:val="00203BC2"/>
    <w:rsid w:val="002057AC"/>
    <w:rsid w:val="002069F0"/>
    <w:rsid w:val="00206D17"/>
    <w:rsid w:val="00206F73"/>
    <w:rsid w:val="00207213"/>
    <w:rsid w:val="0020772E"/>
    <w:rsid w:val="002100C2"/>
    <w:rsid w:val="0021031C"/>
    <w:rsid w:val="00211C3F"/>
    <w:rsid w:val="0021274C"/>
    <w:rsid w:val="00212DDD"/>
    <w:rsid w:val="0021320E"/>
    <w:rsid w:val="00213681"/>
    <w:rsid w:val="002147A2"/>
    <w:rsid w:val="00214877"/>
    <w:rsid w:val="00214F50"/>
    <w:rsid w:val="002155A8"/>
    <w:rsid w:val="00215711"/>
    <w:rsid w:val="002162E5"/>
    <w:rsid w:val="002165D6"/>
    <w:rsid w:val="00216EB4"/>
    <w:rsid w:val="00217B45"/>
    <w:rsid w:val="00217EFB"/>
    <w:rsid w:val="00217F67"/>
    <w:rsid w:val="00220E80"/>
    <w:rsid w:val="00220F25"/>
    <w:rsid w:val="002234F9"/>
    <w:rsid w:val="0022353A"/>
    <w:rsid w:val="0022383D"/>
    <w:rsid w:val="002239E8"/>
    <w:rsid w:val="00223CC1"/>
    <w:rsid w:val="002249E2"/>
    <w:rsid w:val="00224BDD"/>
    <w:rsid w:val="0022519F"/>
    <w:rsid w:val="00225B58"/>
    <w:rsid w:val="00226209"/>
    <w:rsid w:val="00226458"/>
    <w:rsid w:val="00226598"/>
    <w:rsid w:val="002266A4"/>
    <w:rsid w:val="002266FC"/>
    <w:rsid w:val="00227057"/>
    <w:rsid w:val="0022735F"/>
    <w:rsid w:val="002279E9"/>
    <w:rsid w:val="00230129"/>
    <w:rsid w:val="002301FC"/>
    <w:rsid w:val="002306CC"/>
    <w:rsid w:val="00230BCA"/>
    <w:rsid w:val="002321CC"/>
    <w:rsid w:val="00232D76"/>
    <w:rsid w:val="002332C5"/>
    <w:rsid w:val="00233459"/>
    <w:rsid w:val="002341D1"/>
    <w:rsid w:val="0023473B"/>
    <w:rsid w:val="00234B95"/>
    <w:rsid w:val="00234C70"/>
    <w:rsid w:val="00234E60"/>
    <w:rsid w:val="002357E9"/>
    <w:rsid w:val="00235F05"/>
    <w:rsid w:val="00236896"/>
    <w:rsid w:val="002369B9"/>
    <w:rsid w:val="00237A4E"/>
    <w:rsid w:val="00240D75"/>
    <w:rsid w:val="002415A7"/>
    <w:rsid w:val="00241B1A"/>
    <w:rsid w:val="0024214A"/>
    <w:rsid w:val="00242395"/>
    <w:rsid w:val="00242594"/>
    <w:rsid w:val="00242AEA"/>
    <w:rsid w:val="00242CDA"/>
    <w:rsid w:val="00242E65"/>
    <w:rsid w:val="0024440E"/>
    <w:rsid w:val="002448B4"/>
    <w:rsid w:val="00245468"/>
    <w:rsid w:val="00245C29"/>
    <w:rsid w:val="002466B7"/>
    <w:rsid w:val="002473BA"/>
    <w:rsid w:val="002476B9"/>
    <w:rsid w:val="00247719"/>
    <w:rsid w:val="00247782"/>
    <w:rsid w:val="0024791A"/>
    <w:rsid w:val="00247E8A"/>
    <w:rsid w:val="002503A4"/>
    <w:rsid w:val="002504D1"/>
    <w:rsid w:val="00250BCD"/>
    <w:rsid w:val="00250BE7"/>
    <w:rsid w:val="00250DF4"/>
    <w:rsid w:val="00251116"/>
    <w:rsid w:val="00251702"/>
    <w:rsid w:val="00253676"/>
    <w:rsid w:val="00253E2E"/>
    <w:rsid w:val="00254298"/>
    <w:rsid w:val="002559A0"/>
    <w:rsid w:val="00255CD4"/>
    <w:rsid w:val="00256258"/>
    <w:rsid w:val="002570DB"/>
    <w:rsid w:val="0025749C"/>
    <w:rsid w:val="00257C0D"/>
    <w:rsid w:val="00260D1C"/>
    <w:rsid w:val="00260E62"/>
    <w:rsid w:val="00261863"/>
    <w:rsid w:val="00262359"/>
    <w:rsid w:val="0026268B"/>
    <w:rsid w:val="00262786"/>
    <w:rsid w:val="002628FC"/>
    <w:rsid w:val="00262A8E"/>
    <w:rsid w:val="00262E4F"/>
    <w:rsid w:val="00265A4A"/>
    <w:rsid w:val="00265A7B"/>
    <w:rsid w:val="00265E01"/>
    <w:rsid w:val="00265FE9"/>
    <w:rsid w:val="00266156"/>
    <w:rsid w:val="0026738C"/>
    <w:rsid w:val="00267AB1"/>
    <w:rsid w:val="00270199"/>
    <w:rsid w:val="00270211"/>
    <w:rsid w:val="002711D4"/>
    <w:rsid w:val="00271E9F"/>
    <w:rsid w:val="00272ACF"/>
    <w:rsid w:val="00274125"/>
    <w:rsid w:val="00274A61"/>
    <w:rsid w:val="002759BA"/>
    <w:rsid w:val="00275BBC"/>
    <w:rsid w:val="002765EF"/>
    <w:rsid w:val="00276C77"/>
    <w:rsid w:val="00276CE8"/>
    <w:rsid w:val="00276CF1"/>
    <w:rsid w:val="00276D5A"/>
    <w:rsid w:val="00276E54"/>
    <w:rsid w:val="002773F6"/>
    <w:rsid w:val="0027755B"/>
    <w:rsid w:val="0028073D"/>
    <w:rsid w:val="00280F8D"/>
    <w:rsid w:val="0028120A"/>
    <w:rsid w:val="00281479"/>
    <w:rsid w:val="0028160E"/>
    <w:rsid w:val="00281631"/>
    <w:rsid w:val="00281EA0"/>
    <w:rsid w:val="002823F9"/>
    <w:rsid w:val="00282EA1"/>
    <w:rsid w:val="00282EEF"/>
    <w:rsid w:val="002835F2"/>
    <w:rsid w:val="002853B3"/>
    <w:rsid w:val="002865A5"/>
    <w:rsid w:val="0028727A"/>
    <w:rsid w:val="002907AB"/>
    <w:rsid w:val="002909E4"/>
    <w:rsid w:val="0029286B"/>
    <w:rsid w:val="002929BA"/>
    <w:rsid w:val="002930E7"/>
    <w:rsid w:val="0029370E"/>
    <w:rsid w:val="00293974"/>
    <w:rsid w:val="002943E2"/>
    <w:rsid w:val="0029452B"/>
    <w:rsid w:val="00294876"/>
    <w:rsid w:val="002951B5"/>
    <w:rsid w:val="002955FD"/>
    <w:rsid w:val="00295BCF"/>
    <w:rsid w:val="002966AF"/>
    <w:rsid w:val="002968EF"/>
    <w:rsid w:val="00296C2C"/>
    <w:rsid w:val="00296D81"/>
    <w:rsid w:val="002973D7"/>
    <w:rsid w:val="00297992"/>
    <w:rsid w:val="00297D17"/>
    <w:rsid w:val="002A0DB6"/>
    <w:rsid w:val="002A1603"/>
    <w:rsid w:val="002A1843"/>
    <w:rsid w:val="002A20D5"/>
    <w:rsid w:val="002A2590"/>
    <w:rsid w:val="002A26B7"/>
    <w:rsid w:val="002A2BF5"/>
    <w:rsid w:val="002A2F21"/>
    <w:rsid w:val="002A3439"/>
    <w:rsid w:val="002A37E8"/>
    <w:rsid w:val="002A3E6E"/>
    <w:rsid w:val="002A41EB"/>
    <w:rsid w:val="002A448F"/>
    <w:rsid w:val="002A4A97"/>
    <w:rsid w:val="002A5745"/>
    <w:rsid w:val="002A6298"/>
    <w:rsid w:val="002A6FA8"/>
    <w:rsid w:val="002A7160"/>
    <w:rsid w:val="002A7BF5"/>
    <w:rsid w:val="002B0394"/>
    <w:rsid w:val="002B1969"/>
    <w:rsid w:val="002B1987"/>
    <w:rsid w:val="002B19E7"/>
    <w:rsid w:val="002B1A67"/>
    <w:rsid w:val="002B1B56"/>
    <w:rsid w:val="002B2635"/>
    <w:rsid w:val="002B2C59"/>
    <w:rsid w:val="002B3E0E"/>
    <w:rsid w:val="002B4125"/>
    <w:rsid w:val="002B44C4"/>
    <w:rsid w:val="002B474F"/>
    <w:rsid w:val="002B79B2"/>
    <w:rsid w:val="002B7BE2"/>
    <w:rsid w:val="002C02CB"/>
    <w:rsid w:val="002C03E2"/>
    <w:rsid w:val="002C0D50"/>
    <w:rsid w:val="002C2591"/>
    <w:rsid w:val="002C3308"/>
    <w:rsid w:val="002C390D"/>
    <w:rsid w:val="002C3AC5"/>
    <w:rsid w:val="002C4371"/>
    <w:rsid w:val="002C43F0"/>
    <w:rsid w:val="002C4924"/>
    <w:rsid w:val="002C4948"/>
    <w:rsid w:val="002C5787"/>
    <w:rsid w:val="002C64A4"/>
    <w:rsid w:val="002C7A3E"/>
    <w:rsid w:val="002C7DF8"/>
    <w:rsid w:val="002D0329"/>
    <w:rsid w:val="002D08DE"/>
    <w:rsid w:val="002D0A84"/>
    <w:rsid w:val="002D22E5"/>
    <w:rsid w:val="002D2856"/>
    <w:rsid w:val="002D286A"/>
    <w:rsid w:val="002D2B04"/>
    <w:rsid w:val="002D33A6"/>
    <w:rsid w:val="002D3512"/>
    <w:rsid w:val="002D38DE"/>
    <w:rsid w:val="002D4461"/>
    <w:rsid w:val="002D4520"/>
    <w:rsid w:val="002D493C"/>
    <w:rsid w:val="002D5321"/>
    <w:rsid w:val="002D56F6"/>
    <w:rsid w:val="002D58CD"/>
    <w:rsid w:val="002D63C4"/>
    <w:rsid w:val="002D7150"/>
    <w:rsid w:val="002D74F5"/>
    <w:rsid w:val="002D75F1"/>
    <w:rsid w:val="002E089A"/>
    <w:rsid w:val="002E098A"/>
    <w:rsid w:val="002E0BA7"/>
    <w:rsid w:val="002E0E3D"/>
    <w:rsid w:val="002E26CB"/>
    <w:rsid w:val="002E2CCA"/>
    <w:rsid w:val="002E3176"/>
    <w:rsid w:val="002E3B5B"/>
    <w:rsid w:val="002E3C75"/>
    <w:rsid w:val="002E3D1C"/>
    <w:rsid w:val="002E3DB1"/>
    <w:rsid w:val="002E4070"/>
    <w:rsid w:val="002E4BFC"/>
    <w:rsid w:val="002E551C"/>
    <w:rsid w:val="002E56F0"/>
    <w:rsid w:val="002E5AED"/>
    <w:rsid w:val="002E6832"/>
    <w:rsid w:val="002E6A1D"/>
    <w:rsid w:val="002E6D6C"/>
    <w:rsid w:val="002F036D"/>
    <w:rsid w:val="002F0928"/>
    <w:rsid w:val="002F0ABA"/>
    <w:rsid w:val="002F236D"/>
    <w:rsid w:val="002F23D7"/>
    <w:rsid w:val="002F2BB4"/>
    <w:rsid w:val="002F3210"/>
    <w:rsid w:val="002F3703"/>
    <w:rsid w:val="002F394D"/>
    <w:rsid w:val="002F3A0C"/>
    <w:rsid w:val="002F3F5F"/>
    <w:rsid w:val="002F3FE8"/>
    <w:rsid w:val="002F428F"/>
    <w:rsid w:val="002F432D"/>
    <w:rsid w:val="002F48A6"/>
    <w:rsid w:val="002F4FE0"/>
    <w:rsid w:val="002F5004"/>
    <w:rsid w:val="002F6287"/>
    <w:rsid w:val="002F62B8"/>
    <w:rsid w:val="002F631F"/>
    <w:rsid w:val="002F6937"/>
    <w:rsid w:val="002F6D1F"/>
    <w:rsid w:val="002F7A6A"/>
    <w:rsid w:val="0030009C"/>
    <w:rsid w:val="0030011A"/>
    <w:rsid w:val="00300AC6"/>
    <w:rsid w:val="00302D34"/>
    <w:rsid w:val="00303CA5"/>
    <w:rsid w:val="003049DC"/>
    <w:rsid w:val="00305713"/>
    <w:rsid w:val="0030582C"/>
    <w:rsid w:val="00305F2B"/>
    <w:rsid w:val="00305FF1"/>
    <w:rsid w:val="0030662A"/>
    <w:rsid w:val="003068E1"/>
    <w:rsid w:val="00306A51"/>
    <w:rsid w:val="00307889"/>
    <w:rsid w:val="00307B5B"/>
    <w:rsid w:val="00310AA7"/>
    <w:rsid w:val="003111F4"/>
    <w:rsid w:val="00311784"/>
    <w:rsid w:val="00312364"/>
    <w:rsid w:val="003128FD"/>
    <w:rsid w:val="00313788"/>
    <w:rsid w:val="003140F7"/>
    <w:rsid w:val="00314624"/>
    <w:rsid w:val="00314FC8"/>
    <w:rsid w:val="0031525D"/>
    <w:rsid w:val="00315C88"/>
    <w:rsid w:val="00317805"/>
    <w:rsid w:val="00317CC5"/>
    <w:rsid w:val="00320541"/>
    <w:rsid w:val="0032088B"/>
    <w:rsid w:val="00321BA1"/>
    <w:rsid w:val="00321C78"/>
    <w:rsid w:val="00321EEC"/>
    <w:rsid w:val="0032222E"/>
    <w:rsid w:val="003223E2"/>
    <w:rsid w:val="0032379B"/>
    <w:rsid w:val="003243D4"/>
    <w:rsid w:val="00325200"/>
    <w:rsid w:val="00325B17"/>
    <w:rsid w:val="00326513"/>
    <w:rsid w:val="00327837"/>
    <w:rsid w:val="00327AC4"/>
    <w:rsid w:val="00330E83"/>
    <w:rsid w:val="003314C8"/>
    <w:rsid w:val="003314E2"/>
    <w:rsid w:val="003317DD"/>
    <w:rsid w:val="0033194D"/>
    <w:rsid w:val="00332191"/>
    <w:rsid w:val="00332CAC"/>
    <w:rsid w:val="003348D5"/>
    <w:rsid w:val="00334C13"/>
    <w:rsid w:val="00334EFE"/>
    <w:rsid w:val="00334F9A"/>
    <w:rsid w:val="0033526A"/>
    <w:rsid w:val="003355CE"/>
    <w:rsid w:val="00335D9A"/>
    <w:rsid w:val="003374F1"/>
    <w:rsid w:val="00341181"/>
    <w:rsid w:val="00341253"/>
    <w:rsid w:val="003416E3"/>
    <w:rsid w:val="003425A1"/>
    <w:rsid w:val="003427D5"/>
    <w:rsid w:val="003428A9"/>
    <w:rsid w:val="003429B3"/>
    <w:rsid w:val="003429EE"/>
    <w:rsid w:val="00342F73"/>
    <w:rsid w:val="00343C6A"/>
    <w:rsid w:val="003459D6"/>
    <w:rsid w:val="00346A75"/>
    <w:rsid w:val="00346FFB"/>
    <w:rsid w:val="00347299"/>
    <w:rsid w:val="0034771A"/>
    <w:rsid w:val="00350A22"/>
    <w:rsid w:val="003515D3"/>
    <w:rsid w:val="003518F2"/>
    <w:rsid w:val="003521D8"/>
    <w:rsid w:val="003524EB"/>
    <w:rsid w:val="0035261D"/>
    <w:rsid w:val="00352D35"/>
    <w:rsid w:val="00352EF9"/>
    <w:rsid w:val="00354624"/>
    <w:rsid w:val="003550FD"/>
    <w:rsid w:val="00355927"/>
    <w:rsid w:val="00356026"/>
    <w:rsid w:val="00356387"/>
    <w:rsid w:val="003565ED"/>
    <w:rsid w:val="00356A81"/>
    <w:rsid w:val="0035700A"/>
    <w:rsid w:val="00357077"/>
    <w:rsid w:val="003575E8"/>
    <w:rsid w:val="00357F1C"/>
    <w:rsid w:val="00360586"/>
    <w:rsid w:val="00360A23"/>
    <w:rsid w:val="00361C59"/>
    <w:rsid w:val="00362342"/>
    <w:rsid w:val="00362522"/>
    <w:rsid w:val="00362773"/>
    <w:rsid w:val="0036295F"/>
    <w:rsid w:val="00362C45"/>
    <w:rsid w:val="00363829"/>
    <w:rsid w:val="003639B0"/>
    <w:rsid w:val="00363CC7"/>
    <w:rsid w:val="003642BC"/>
    <w:rsid w:val="00364650"/>
    <w:rsid w:val="0036466C"/>
    <w:rsid w:val="00364731"/>
    <w:rsid w:val="003648C7"/>
    <w:rsid w:val="00364D84"/>
    <w:rsid w:val="003653B9"/>
    <w:rsid w:val="00365CEF"/>
    <w:rsid w:val="003662FC"/>
    <w:rsid w:val="003668CF"/>
    <w:rsid w:val="0036753D"/>
    <w:rsid w:val="00370071"/>
    <w:rsid w:val="00370F51"/>
    <w:rsid w:val="00372628"/>
    <w:rsid w:val="0037262F"/>
    <w:rsid w:val="0037436E"/>
    <w:rsid w:val="0037474B"/>
    <w:rsid w:val="00374E47"/>
    <w:rsid w:val="00375279"/>
    <w:rsid w:val="003756CE"/>
    <w:rsid w:val="0037625C"/>
    <w:rsid w:val="003769AB"/>
    <w:rsid w:val="0037710D"/>
    <w:rsid w:val="00380701"/>
    <w:rsid w:val="00380A55"/>
    <w:rsid w:val="00380E1B"/>
    <w:rsid w:val="00380E92"/>
    <w:rsid w:val="00381154"/>
    <w:rsid w:val="00381A85"/>
    <w:rsid w:val="00381D9A"/>
    <w:rsid w:val="00382009"/>
    <w:rsid w:val="00382211"/>
    <w:rsid w:val="003837DE"/>
    <w:rsid w:val="00383C1A"/>
    <w:rsid w:val="00384655"/>
    <w:rsid w:val="00384656"/>
    <w:rsid w:val="0038468C"/>
    <w:rsid w:val="00385A1D"/>
    <w:rsid w:val="00386502"/>
    <w:rsid w:val="003876F5"/>
    <w:rsid w:val="00387CAE"/>
    <w:rsid w:val="0039074E"/>
    <w:rsid w:val="0039079A"/>
    <w:rsid w:val="00390EC4"/>
    <w:rsid w:val="00391AC4"/>
    <w:rsid w:val="00391FC1"/>
    <w:rsid w:val="0039290A"/>
    <w:rsid w:val="00392A6C"/>
    <w:rsid w:val="00392F1E"/>
    <w:rsid w:val="00392F27"/>
    <w:rsid w:val="003943ED"/>
    <w:rsid w:val="00394A99"/>
    <w:rsid w:val="00394DDC"/>
    <w:rsid w:val="00394E1C"/>
    <w:rsid w:val="0039530A"/>
    <w:rsid w:val="00395AC1"/>
    <w:rsid w:val="00395B34"/>
    <w:rsid w:val="00396A1A"/>
    <w:rsid w:val="003A06AF"/>
    <w:rsid w:val="003A090F"/>
    <w:rsid w:val="003A0F3E"/>
    <w:rsid w:val="003A1059"/>
    <w:rsid w:val="003A1588"/>
    <w:rsid w:val="003A1B3A"/>
    <w:rsid w:val="003A1DB1"/>
    <w:rsid w:val="003A34B6"/>
    <w:rsid w:val="003A5AB5"/>
    <w:rsid w:val="003A5F6F"/>
    <w:rsid w:val="003A6388"/>
    <w:rsid w:val="003A63F4"/>
    <w:rsid w:val="003A72FD"/>
    <w:rsid w:val="003A77E0"/>
    <w:rsid w:val="003A7C05"/>
    <w:rsid w:val="003A7DC5"/>
    <w:rsid w:val="003B013B"/>
    <w:rsid w:val="003B0353"/>
    <w:rsid w:val="003B0B51"/>
    <w:rsid w:val="003B0EAF"/>
    <w:rsid w:val="003B1A1B"/>
    <w:rsid w:val="003B20FD"/>
    <w:rsid w:val="003B2161"/>
    <w:rsid w:val="003B2570"/>
    <w:rsid w:val="003B27EF"/>
    <w:rsid w:val="003B2B93"/>
    <w:rsid w:val="003B3524"/>
    <w:rsid w:val="003B46FD"/>
    <w:rsid w:val="003B4AF5"/>
    <w:rsid w:val="003B4BC6"/>
    <w:rsid w:val="003B4DD3"/>
    <w:rsid w:val="003B511B"/>
    <w:rsid w:val="003B7195"/>
    <w:rsid w:val="003B7360"/>
    <w:rsid w:val="003B7F63"/>
    <w:rsid w:val="003C0FB0"/>
    <w:rsid w:val="003C1224"/>
    <w:rsid w:val="003C17A8"/>
    <w:rsid w:val="003C1BB7"/>
    <w:rsid w:val="003C1CFE"/>
    <w:rsid w:val="003C1D89"/>
    <w:rsid w:val="003C1F3A"/>
    <w:rsid w:val="003C2B13"/>
    <w:rsid w:val="003C2C6F"/>
    <w:rsid w:val="003C2DE3"/>
    <w:rsid w:val="003C369A"/>
    <w:rsid w:val="003C3D1B"/>
    <w:rsid w:val="003C448C"/>
    <w:rsid w:val="003C47DE"/>
    <w:rsid w:val="003C5BD2"/>
    <w:rsid w:val="003C61C2"/>
    <w:rsid w:val="003C6660"/>
    <w:rsid w:val="003C7086"/>
    <w:rsid w:val="003C7280"/>
    <w:rsid w:val="003D06F6"/>
    <w:rsid w:val="003D0955"/>
    <w:rsid w:val="003D0F77"/>
    <w:rsid w:val="003D16EA"/>
    <w:rsid w:val="003D16FF"/>
    <w:rsid w:val="003D184F"/>
    <w:rsid w:val="003D1BCF"/>
    <w:rsid w:val="003D2499"/>
    <w:rsid w:val="003D357B"/>
    <w:rsid w:val="003D3951"/>
    <w:rsid w:val="003D4D6B"/>
    <w:rsid w:val="003D5847"/>
    <w:rsid w:val="003D5F5F"/>
    <w:rsid w:val="003D6011"/>
    <w:rsid w:val="003D6708"/>
    <w:rsid w:val="003D6770"/>
    <w:rsid w:val="003D6EA7"/>
    <w:rsid w:val="003E104B"/>
    <w:rsid w:val="003E1A46"/>
    <w:rsid w:val="003E1B95"/>
    <w:rsid w:val="003E281F"/>
    <w:rsid w:val="003E3059"/>
    <w:rsid w:val="003E34B9"/>
    <w:rsid w:val="003E354D"/>
    <w:rsid w:val="003E4EF7"/>
    <w:rsid w:val="003E5D5F"/>
    <w:rsid w:val="003E5D89"/>
    <w:rsid w:val="003E6414"/>
    <w:rsid w:val="003F0668"/>
    <w:rsid w:val="003F0B91"/>
    <w:rsid w:val="003F0E1A"/>
    <w:rsid w:val="003F26B6"/>
    <w:rsid w:val="003F2720"/>
    <w:rsid w:val="003F2727"/>
    <w:rsid w:val="003F3203"/>
    <w:rsid w:val="003F3375"/>
    <w:rsid w:val="003F4716"/>
    <w:rsid w:val="003F4A9C"/>
    <w:rsid w:val="003F542D"/>
    <w:rsid w:val="003F57DA"/>
    <w:rsid w:val="003F617A"/>
    <w:rsid w:val="003F64E9"/>
    <w:rsid w:val="003F717A"/>
    <w:rsid w:val="003F74A6"/>
    <w:rsid w:val="003F76F4"/>
    <w:rsid w:val="003F7D5A"/>
    <w:rsid w:val="00400BC0"/>
    <w:rsid w:val="00401627"/>
    <w:rsid w:val="00402BE0"/>
    <w:rsid w:val="00403471"/>
    <w:rsid w:val="004034B5"/>
    <w:rsid w:val="004034C6"/>
    <w:rsid w:val="004036D3"/>
    <w:rsid w:val="00403A91"/>
    <w:rsid w:val="004048E2"/>
    <w:rsid w:val="00405584"/>
    <w:rsid w:val="00405603"/>
    <w:rsid w:val="00406538"/>
    <w:rsid w:val="00406CA0"/>
    <w:rsid w:val="00406D07"/>
    <w:rsid w:val="00410267"/>
    <w:rsid w:val="00410DC5"/>
    <w:rsid w:val="00410DF2"/>
    <w:rsid w:val="0041118E"/>
    <w:rsid w:val="00411D1D"/>
    <w:rsid w:val="00412CA6"/>
    <w:rsid w:val="00413563"/>
    <w:rsid w:val="00413612"/>
    <w:rsid w:val="0041405B"/>
    <w:rsid w:val="004146E1"/>
    <w:rsid w:val="00414FA6"/>
    <w:rsid w:val="004151BC"/>
    <w:rsid w:val="004157AE"/>
    <w:rsid w:val="004159B9"/>
    <w:rsid w:val="00415BEC"/>
    <w:rsid w:val="00415ECB"/>
    <w:rsid w:val="004162AA"/>
    <w:rsid w:val="00416BCA"/>
    <w:rsid w:val="00416E10"/>
    <w:rsid w:val="004175A8"/>
    <w:rsid w:val="00417CB9"/>
    <w:rsid w:val="00420508"/>
    <w:rsid w:val="004206F9"/>
    <w:rsid w:val="00420DE5"/>
    <w:rsid w:val="0042198C"/>
    <w:rsid w:val="00421B8F"/>
    <w:rsid w:val="00422FA1"/>
    <w:rsid w:val="004232F0"/>
    <w:rsid w:val="00423AD3"/>
    <w:rsid w:val="00423B20"/>
    <w:rsid w:val="00423E4F"/>
    <w:rsid w:val="00424B53"/>
    <w:rsid w:val="00424C18"/>
    <w:rsid w:val="00425516"/>
    <w:rsid w:val="004255C7"/>
    <w:rsid w:val="00426126"/>
    <w:rsid w:val="00426899"/>
    <w:rsid w:val="00426AC3"/>
    <w:rsid w:val="00426CDE"/>
    <w:rsid w:val="00426E95"/>
    <w:rsid w:val="00427189"/>
    <w:rsid w:val="004303F0"/>
    <w:rsid w:val="0043099A"/>
    <w:rsid w:val="00430F94"/>
    <w:rsid w:val="0043106D"/>
    <w:rsid w:val="004319D6"/>
    <w:rsid w:val="004348A9"/>
    <w:rsid w:val="00434FC1"/>
    <w:rsid w:val="00435AEF"/>
    <w:rsid w:val="004360B6"/>
    <w:rsid w:val="004366E3"/>
    <w:rsid w:val="00436C2B"/>
    <w:rsid w:val="00437D2C"/>
    <w:rsid w:val="004405B0"/>
    <w:rsid w:val="00441EEF"/>
    <w:rsid w:val="004422B6"/>
    <w:rsid w:val="00442396"/>
    <w:rsid w:val="00442C0E"/>
    <w:rsid w:val="00442C71"/>
    <w:rsid w:val="004430DA"/>
    <w:rsid w:val="00443213"/>
    <w:rsid w:val="004444F4"/>
    <w:rsid w:val="0044505D"/>
    <w:rsid w:val="004467C1"/>
    <w:rsid w:val="004473F3"/>
    <w:rsid w:val="00447734"/>
    <w:rsid w:val="00447C6F"/>
    <w:rsid w:val="004505C8"/>
    <w:rsid w:val="00450A79"/>
    <w:rsid w:val="00450D66"/>
    <w:rsid w:val="00451D9A"/>
    <w:rsid w:val="004522FD"/>
    <w:rsid w:val="00452715"/>
    <w:rsid w:val="00452D80"/>
    <w:rsid w:val="00452DA8"/>
    <w:rsid w:val="00454B88"/>
    <w:rsid w:val="00454B92"/>
    <w:rsid w:val="00454FF6"/>
    <w:rsid w:val="00455A67"/>
    <w:rsid w:val="00456195"/>
    <w:rsid w:val="004561C9"/>
    <w:rsid w:val="00457345"/>
    <w:rsid w:val="00457514"/>
    <w:rsid w:val="0045780E"/>
    <w:rsid w:val="004578EC"/>
    <w:rsid w:val="00457E58"/>
    <w:rsid w:val="00457EEA"/>
    <w:rsid w:val="004600F0"/>
    <w:rsid w:val="0046037C"/>
    <w:rsid w:val="00460549"/>
    <w:rsid w:val="00460907"/>
    <w:rsid w:val="004612B3"/>
    <w:rsid w:val="0046166F"/>
    <w:rsid w:val="00461A32"/>
    <w:rsid w:val="00462353"/>
    <w:rsid w:val="004623CD"/>
    <w:rsid w:val="00463261"/>
    <w:rsid w:val="0046372C"/>
    <w:rsid w:val="0046396E"/>
    <w:rsid w:val="004647E7"/>
    <w:rsid w:val="00464D7F"/>
    <w:rsid w:val="004653F2"/>
    <w:rsid w:val="004658EE"/>
    <w:rsid w:val="00465F75"/>
    <w:rsid w:val="004660AD"/>
    <w:rsid w:val="00467495"/>
    <w:rsid w:val="0047141D"/>
    <w:rsid w:val="004723B9"/>
    <w:rsid w:val="004727B0"/>
    <w:rsid w:val="0047345F"/>
    <w:rsid w:val="00475535"/>
    <w:rsid w:val="00475894"/>
    <w:rsid w:val="004759FD"/>
    <w:rsid w:val="00476044"/>
    <w:rsid w:val="00476128"/>
    <w:rsid w:val="004766A4"/>
    <w:rsid w:val="0048011C"/>
    <w:rsid w:val="00480857"/>
    <w:rsid w:val="004808FD"/>
    <w:rsid w:val="00481AA9"/>
    <w:rsid w:val="00481BA9"/>
    <w:rsid w:val="00482207"/>
    <w:rsid w:val="0048482E"/>
    <w:rsid w:val="004848B1"/>
    <w:rsid w:val="00484933"/>
    <w:rsid w:val="00484A8D"/>
    <w:rsid w:val="00484CFA"/>
    <w:rsid w:val="00484D1E"/>
    <w:rsid w:val="004852F1"/>
    <w:rsid w:val="00485738"/>
    <w:rsid w:val="00485837"/>
    <w:rsid w:val="00485CE1"/>
    <w:rsid w:val="004860DE"/>
    <w:rsid w:val="00486514"/>
    <w:rsid w:val="00486B42"/>
    <w:rsid w:val="00486BBC"/>
    <w:rsid w:val="00486E42"/>
    <w:rsid w:val="00487160"/>
    <w:rsid w:val="00487803"/>
    <w:rsid w:val="004908B4"/>
    <w:rsid w:val="00490D94"/>
    <w:rsid w:val="00490DD9"/>
    <w:rsid w:val="0049155D"/>
    <w:rsid w:val="0049395E"/>
    <w:rsid w:val="00493C91"/>
    <w:rsid w:val="004943F5"/>
    <w:rsid w:val="00494677"/>
    <w:rsid w:val="00494718"/>
    <w:rsid w:val="004947FA"/>
    <w:rsid w:val="00494B56"/>
    <w:rsid w:val="00495462"/>
    <w:rsid w:val="0049553A"/>
    <w:rsid w:val="00495DD4"/>
    <w:rsid w:val="00496022"/>
    <w:rsid w:val="004963EC"/>
    <w:rsid w:val="00496DBF"/>
    <w:rsid w:val="00497AD7"/>
    <w:rsid w:val="00497C83"/>
    <w:rsid w:val="004A1164"/>
    <w:rsid w:val="004A2155"/>
    <w:rsid w:val="004A2158"/>
    <w:rsid w:val="004A304B"/>
    <w:rsid w:val="004A312F"/>
    <w:rsid w:val="004A32DA"/>
    <w:rsid w:val="004A4243"/>
    <w:rsid w:val="004A4388"/>
    <w:rsid w:val="004A4E3E"/>
    <w:rsid w:val="004A584E"/>
    <w:rsid w:val="004A5954"/>
    <w:rsid w:val="004A5B95"/>
    <w:rsid w:val="004A632B"/>
    <w:rsid w:val="004A63FD"/>
    <w:rsid w:val="004A6606"/>
    <w:rsid w:val="004A6BBA"/>
    <w:rsid w:val="004A6DB9"/>
    <w:rsid w:val="004A713A"/>
    <w:rsid w:val="004A73C6"/>
    <w:rsid w:val="004A7732"/>
    <w:rsid w:val="004A78FC"/>
    <w:rsid w:val="004B09EF"/>
    <w:rsid w:val="004B0CA1"/>
    <w:rsid w:val="004B11FF"/>
    <w:rsid w:val="004B170C"/>
    <w:rsid w:val="004B17AB"/>
    <w:rsid w:val="004B1AE7"/>
    <w:rsid w:val="004B1CCF"/>
    <w:rsid w:val="004B2052"/>
    <w:rsid w:val="004B2068"/>
    <w:rsid w:val="004B2159"/>
    <w:rsid w:val="004B21C9"/>
    <w:rsid w:val="004B2DAF"/>
    <w:rsid w:val="004B3535"/>
    <w:rsid w:val="004B3E55"/>
    <w:rsid w:val="004B403B"/>
    <w:rsid w:val="004B49C3"/>
    <w:rsid w:val="004B5483"/>
    <w:rsid w:val="004B5700"/>
    <w:rsid w:val="004B57AD"/>
    <w:rsid w:val="004B57C1"/>
    <w:rsid w:val="004B5830"/>
    <w:rsid w:val="004B5A1F"/>
    <w:rsid w:val="004B5A54"/>
    <w:rsid w:val="004B5C77"/>
    <w:rsid w:val="004B60A3"/>
    <w:rsid w:val="004B7A3D"/>
    <w:rsid w:val="004C04EE"/>
    <w:rsid w:val="004C0507"/>
    <w:rsid w:val="004C056D"/>
    <w:rsid w:val="004C08CC"/>
    <w:rsid w:val="004C0D40"/>
    <w:rsid w:val="004C13DB"/>
    <w:rsid w:val="004C15AE"/>
    <w:rsid w:val="004C1B35"/>
    <w:rsid w:val="004C1CF4"/>
    <w:rsid w:val="004C1FB4"/>
    <w:rsid w:val="004C2797"/>
    <w:rsid w:val="004C3CAC"/>
    <w:rsid w:val="004C4084"/>
    <w:rsid w:val="004C498F"/>
    <w:rsid w:val="004C5072"/>
    <w:rsid w:val="004C52BA"/>
    <w:rsid w:val="004C5DB7"/>
    <w:rsid w:val="004C5FCC"/>
    <w:rsid w:val="004C60EC"/>
    <w:rsid w:val="004C6E70"/>
    <w:rsid w:val="004C748F"/>
    <w:rsid w:val="004C75F4"/>
    <w:rsid w:val="004D13C5"/>
    <w:rsid w:val="004D1D0B"/>
    <w:rsid w:val="004D29E1"/>
    <w:rsid w:val="004D3222"/>
    <w:rsid w:val="004D3FF0"/>
    <w:rsid w:val="004D4347"/>
    <w:rsid w:val="004D5152"/>
    <w:rsid w:val="004D5C3F"/>
    <w:rsid w:val="004D5FC0"/>
    <w:rsid w:val="004D615E"/>
    <w:rsid w:val="004D63DE"/>
    <w:rsid w:val="004D7062"/>
    <w:rsid w:val="004D7A74"/>
    <w:rsid w:val="004D7AB3"/>
    <w:rsid w:val="004D7C14"/>
    <w:rsid w:val="004D7E83"/>
    <w:rsid w:val="004E0015"/>
    <w:rsid w:val="004E0ED2"/>
    <w:rsid w:val="004E0FCF"/>
    <w:rsid w:val="004E247D"/>
    <w:rsid w:val="004E36FD"/>
    <w:rsid w:val="004E37BA"/>
    <w:rsid w:val="004E3C98"/>
    <w:rsid w:val="004E4389"/>
    <w:rsid w:val="004E4671"/>
    <w:rsid w:val="004E497D"/>
    <w:rsid w:val="004E5333"/>
    <w:rsid w:val="004E574D"/>
    <w:rsid w:val="004E589F"/>
    <w:rsid w:val="004E5CD4"/>
    <w:rsid w:val="004E5D54"/>
    <w:rsid w:val="004E5DF3"/>
    <w:rsid w:val="004E7B6A"/>
    <w:rsid w:val="004F0B71"/>
    <w:rsid w:val="004F1403"/>
    <w:rsid w:val="004F16A4"/>
    <w:rsid w:val="004F2884"/>
    <w:rsid w:val="004F3511"/>
    <w:rsid w:val="004F373C"/>
    <w:rsid w:val="004F3BAB"/>
    <w:rsid w:val="004F3C40"/>
    <w:rsid w:val="004F4221"/>
    <w:rsid w:val="004F45E7"/>
    <w:rsid w:val="004F5302"/>
    <w:rsid w:val="004F580D"/>
    <w:rsid w:val="004F7FA6"/>
    <w:rsid w:val="0050053C"/>
    <w:rsid w:val="0050101D"/>
    <w:rsid w:val="00502FD7"/>
    <w:rsid w:val="00503374"/>
    <w:rsid w:val="005034FD"/>
    <w:rsid w:val="00503A87"/>
    <w:rsid w:val="00503B57"/>
    <w:rsid w:val="005042AA"/>
    <w:rsid w:val="005044F5"/>
    <w:rsid w:val="00505C9E"/>
    <w:rsid w:val="00506198"/>
    <w:rsid w:val="00506754"/>
    <w:rsid w:val="005069A6"/>
    <w:rsid w:val="00506A75"/>
    <w:rsid w:val="005075FA"/>
    <w:rsid w:val="00507730"/>
    <w:rsid w:val="00507D6C"/>
    <w:rsid w:val="005101A4"/>
    <w:rsid w:val="0051074F"/>
    <w:rsid w:val="00511C5B"/>
    <w:rsid w:val="00512423"/>
    <w:rsid w:val="005126C3"/>
    <w:rsid w:val="00512809"/>
    <w:rsid w:val="00512EC5"/>
    <w:rsid w:val="00512F34"/>
    <w:rsid w:val="0051385D"/>
    <w:rsid w:val="00513DB4"/>
    <w:rsid w:val="00515571"/>
    <w:rsid w:val="00515757"/>
    <w:rsid w:val="00515D85"/>
    <w:rsid w:val="00515DC0"/>
    <w:rsid w:val="00516CC6"/>
    <w:rsid w:val="00516EC5"/>
    <w:rsid w:val="00517225"/>
    <w:rsid w:val="00517891"/>
    <w:rsid w:val="00517C64"/>
    <w:rsid w:val="00517CE7"/>
    <w:rsid w:val="0052040D"/>
    <w:rsid w:val="00520FE8"/>
    <w:rsid w:val="005221D7"/>
    <w:rsid w:val="0052237A"/>
    <w:rsid w:val="005224CD"/>
    <w:rsid w:val="00522B36"/>
    <w:rsid w:val="00524163"/>
    <w:rsid w:val="005242FD"/>
    <w:rsid w:val="00525011"/>
    <w:rsid w:val="005257E5"/>
    <w:rsid w:val="00525886"/>
    <w:rsid w:val="00525F2A"/>
    <w:rsid w:val="0052643E"/>
    <w:rsid w:val="00526911"/>
    <w:rsid w:val="00526F66"/>
    <w:rsid w:val="0052739E"/>
    <w:rsid w:val="00527C92"/>
    <w:rsid w:val="00530818"/>
    <w:rsid w:val="005314D3"/>
    <w:rsid w:val="00531781"/>
    <w:rsid w:val="00531794"/>
    <w:rsid w:val="00531BD5"/>
    <w:rsid w:val="00531F60"/>
    <w:rsid w:val="00532541"/>
    <w:rsid w:val="005325A2"/>
    <w:rsid w:val="00534C8A"/>
    <w:rsid w:val="00534F43"/>
    <w:rsid w:val="00535175"/>
    <w:rsid w:val="005351AE"/>
    <w:rsid w:val="005356ED"/>
    <w:rsid w:val="0053584E"/>
    <w:rsid w:val="00535CFA"/>
    <w:rsid w:val="00535EEA"/>
    <w:rsid w:val="00540129"/>
    <w:rsid w:val="0054020F"/>
    <w:rsid w:val="00540355"/>
    <w:rsid w:val="005406C1"/>
    <w:rsid w:val="0054082D"/>
    <w:rsid w:val="00541722"/>
    <w:rsid w:val="0054196D"/>
    <w:rsid w:val="00541B86"/>
    <w:rsid w:val="00541C8A"/>
    <w:rsid w:val="00542694"/>
    <w:rsid w:val="0054299B"/>
    <w:rsid w:val="005431F3"/>
    <w:rsid w:val="005433ED"/>
    <w:rsid w:val="0054352E"/>
    <w:rsid w:val="00543A24"/>
    <w:rsid w:val="00543A2E"/>
    <w:rsid w:val="0054414A"/>
    <w:rsid w:val="00544160"/>
    <w:rsid w:val="00544BC5"/>
    <w:rsid w:val="00545AB0"/>
    <w:rsid w:val="005478E9"/>
    <w:rsid w:val="00547C4C"/>
    <w:rsid w:val="0055010D"/>
    <w:rsid w:val="005517B0"/>
    <w:rsid w:val="00551A8B"/>
    <w:rsid w:val="00551D95"/>
    <w:rsid w:val="0055208A"/>
    <w:rsid w:val="0055249B"/>
    <w:rsid w:val="005526B5"/>
    <w:rsid w:val="005530D6"/>
    <w:rsid w:val="0055322D"/>
    <w:rsid w:val="00553627"/>
    <w:rsid w:val="005549FE"/>
    <w:rsid w:val="00554B08"/>
    <w:rsid w:val="00555671"/>
    <w:rsid w:val="00555678"/>
    <w:rsid w:val="00556134"/>
    <w:rsid w:val="0055626C"/>
    <w:rsid w:val="005562D2"/>
    <w:rsid w:val="0055676B"/>
    <w:rsid w:val="00556EA3"/>
    <w:rsid w:val="00556FA7"/>
    <w:rsid w:val="00560856"/>
    <w:rsid w:val="005608FF"/>
    <w:rsid w:val="00560929"/>
    <w:rsid w:val="005611B6"/>
    <w:rsid w:val="00561998"/>
    <w:rsid w:val="00561EC9"/>
    <w:rsid w:val="005625DA"/>
    <w:rsid w:val="00562C52"/>
    <w:rsid w:val="00563963"/>
    <w:rsid w:val="00564318"/>
    <w:rsid w:val="005646ED"/>
    <w:rsid w:val="00565000"/>
    <w:rsid w:val="005652D5"/>
    <w:rsid w:val="005655B7"/>
    <w:rsid w:val="00565600"/>
    <w:rsid w:val="00565FBC"/>
    <w:rsid w:val="00566145"/>
    <w:rsid w:val="005667F1"/>
    <w:rsid w:val="00566810"/>
    <w:rsid w:val="00566977"/>
    <w:rsid w:val="00566A3B"/>
    <w:rsid w:val="0056715B"/>
    <w:rsid w:val="00567B94"/>
    <w:rsid w:val="00567FF1"/>
    <w:rsid w:val="0057061F"/>
    <w:rsid w:val="00570E30"/>
    <w:rsid w:val="00571106"/>
    <w:rsid w:val="00571301"/>
    <w:rsid w:val="00571351"/>
    <w:rsid w:val="00573118"/>
    <w:rsid w:val="005732C3"/>
    <w:rsid w:val="005732D2"/>
    <w:rsid w:val="0057359D"/>
    <w:rsid w:val="00573751"/>
    <w:rsid w:val="00573FBA"/>
    <w:rsid w:val="0057530C"/>
    <w:rsid w:val="00575916"/>
    <w:rsid w:val="005759A5"/>
    <w:rsid w:val="00575FA1"/>
    <w:rsid w:val="0057709E"/>
    <w:rsid w:val="005770CF"/>
    <w:rsid w:val="0057767F"/>
    <w:rsid w:val="0057790F"/>
    <w:rsid w:val="00577ADE"/>
    <w:rsid w:val="00580847"/>
    <w:rsid w:val="00581563"/>
    <w:rsid w:val="00581D8A"/>
    <w:rsid w:val="00582524"/>
    <w:rsid w:val="00582AC4"/>
    <w:rsid w:val="00583524"/>
    <w:rsid w:val="00583C8C"/>
    <w:rsid w:val="00583D91"/>
    <w:rsid w:val="00583DF8"/>
    <w:rsid w:val="005844F4"/>
    <w:rsid w:val="0058462E"/>
    <w:rsid w:val="00584BAF"/>
    <w:rsid w:val="005850B7"/>
    <w:rsid w:val="0058576A"/>
    <w:rsid w:val="00585990"/>
    <w:rsid w:val="005859BB"/>
    <w:rsid w:val="00585ABB"/>
    <w:rsid w:val="00585F8A"/>
    <w:rsid w:val="00586362"/>
    <w:rsid w:val="00586878"/>
    <w:rsid w:val="00586A08"/>
    <w:rsid w:val="00586DC3"/>
    <w:rsid w:val="00586DEE"/>
    <w:rsid w:val="005871EE"/>
    <w:rsid w:val="005901B8"/>
    <w:rsid w:val="00590853"/>
    <w:rsid w:val="0059271C"/>
    <w:rsid w:val="00592C8D"/>
    <w:rsid w:val="00593AB5"/>
    <w:rsid w:val="00593B2E"/>
    <w:rsid w:val="00593C02"/>
    <w:rsid w:val="00594987"/>
    <w:rsid w:val="00594C72"/>
    <w:rsid w:val="00595003"/>
    <w:rsid w:val="005954E7"/>
    <w:rsid w:val="00595515"/>
    <w:rsid w:val="005967FA"/>
    <w:rsid w:val="005A02EF"/>
    <w:rsid w:val="005A1EC2"/>
    <w:rsid w:val="005A2F24"/>
    <w:rsid w:val="005A3067"/>
    <w:rsid w:val="005A3C51"/>
    <w:rsid w:val="005A5346"/>
    <w:rsid w:val="005A61BB"/>
    <w:rsid w:val="005A69F7"/>
    <w:rsid w:val="005A7D8A"/>
    <w:rsid w:val="005B00A8"/>
    <w:rsid w:val="005B0764"/>
    <w:rsid w:val="005B0FBF"/>
    <w:rsid w:val="005B1343"/>
    <w:rsid w:val="005B253B"/>
    <w:rsid w:val="005B2702"/>
    <w:rsid w:val="005B298F"/>
    <w:rsid w:val="005B2B8E"/>
    <w:rsid w:val="005B30A1"/>
    <w:rsid w:val="005B3ECB"/>
    <w:rsid w:val="005B51FA"/>
    <w:rsid w:val="005B5E15"/>
    <w:rsid w:val="005B5EB6"/>
    <w:rsid w:val="005B60AB"/>
    <w:rsid w:val="005B6EB7"/>
    <w:rsid w:val="005B7207"/>
    <w:rsid w:val="005C022B"/>
    <w:rsid w:val="005C0376"/>
    <w:rsid w:val="005C05D6"/>
    <w:rsid w:val="005C08DB"/>
    <w:rsid w:val="005C0971"/>
    <w:rsid w:val="005C09FF"/>
    <w:rsid w:val="005C0FEC"/>
    <w:rsid w:val="005C1620"/>
    <w:rsid w:val="005C17AC"/>
    <w:rsid w:val="005C1915"/>
    <w:rsid w:val="005C1D8E"/>
    <w:rsid w:val="005C2309"/>
    <w:rsid w:val="005C3BB8"/>
    <w:rsid w:val="005C3CE4"/>
    <w:rsid w:val="005C3E2E"/>
    <w:rsid w:val="005C4331"/>
    <w:rsid w:val="005C4761"/>
    <w:rsid w:val="005C492D"/>
    <w:rsid w:val="005C5451"/>
    <w:rsid w:val="005C5C4B"/>
    <w:rsid w:val="005C5E2F"/>
    <w:rsid w:val="005C71DD"/>
    <w:rsid w:val="005C7F04"/>
    <w:rsid w:val="005D0D72"/>
    <w:rsid w:val="005D0F39"/>
    <w:rsid w:val="005D13E4"/>
    <w:rsid w:val="005D216D"/>
    <w:rsid w:val="005D29EA"/>
    <w:rsid w:val="005D3AA7"/>
    <w:rsid w:val="005D3B6A"/>
    <w:rsid w:val="005D3C02"/>
    <w:rsid w:val="005D3FCC"/>
    <w:rsid w:val="005D435A"/>
    <w:rsid w:val="005D491A"/>
    <w:rsid w:val="005D4D84"/>
    <w:rsid w:val="005D5165"/>
    <w:rsid w:val="005D63EB"/>
    <w:rsid w:val="005D6808"/>
    <w:rsid w:val="005D7377"/>
    <w:rsid w:val="005D73C0"/>
    <w:rsid w:val="005D7801"/>
    <w:rsid w:val="005E003A"/>
    <w:rsid w:val="005E04F3"/>
    <w:rsid w:val="005E0B10"/>
    <w:rsid w:val="005E0E0F"/>
    <w:rsid w:val="005E101C"/>
    <w:rsid w:val="005E1D05"/>
    <w:rsid w:val="005E1D94"/>
    <w:rsid w:val="005E29AE"/>
    <w:rsid w:val="005E3311"/>
    <w:rsid w:val="005E34B8"/>
    <w:rsid w:val="005E34D4"/>
    <w:rsid w:val="005E35C7"/>
    <w:rsid w:val="005E37A9"/>
    <w:rsid w:val="005E383B"/>
    <w:rsid w:val="005E3E6F"/>
    <w:rsid w:val="005E4B5B"/>
    <w:rsid w:val="005E4CE9"/>
    <w:rsid w:val="005E57BC"/>
    <w:rsid w:val="005E64B8"/>
    <w:rsid w:val="005E6A42"/>
    <w:rsid w:val="005E7147"/>
    <w:rsid w:val="005E7359"/>
    <w:rsid w:val="005E73FD"/>
    <w:rsid w:val="005E76D6"/>
    <w:rsid w:val="005E7FA7"/>
    <w:rsid w:val="005F00FB"/>
    <w:rsid w:val="005F0186"/>
    <w:rsid w:val="005F037C"/>
    <w:rsid w:val="005F0EE3"/>
    <w:rsid w:val="005F0F66"/>
    <w:rsid w:val="005F12EC"/>
    <w:rsid w:val="005F13BA"/>
    <w:rsid w:val="005F141A"/>
    <w:rsid w:val="005F1442"/>
    <w:rsid w:val="005F1FE9"/>
    <w:rsid w:val="005F2036"/>
    <w:rsid w:val="005F2487"/>
    <w:rsid w:val="005F3309"/>
    <w:rsid w:val="005F3F71"/>
    <w:rsid w:val="005F5623"/>
    <w:rsid w:val="005F5635"/>
    <w:rsid w:val="005F5F63"/>
    <w:rsid w:val="005F684F"/>
    <w:rsid w:val="005F690A"/>
    <w:rsid w:val="005F7F40"/>
    <w:rsid w:val="005F7FB6"/>
    <w:rsid w:val="00600335"/>
    <w:rsid w:val="00600CA9"/>
    <w:rsid w:val="006015E6"/>
    <w:rsid w:val="00601A0F"/>
    <w:rsid w:val="00602608"/>
    <w:rsid w:val="00602965"/>
    <w:rsid w:val="006036A5"/>
    <w:rsid w:val="0060432A"/>
    <w:rsid w:val="00605865"/>
    <w:rsid w:val="006071D5"/>
    <w:rsid w:val="006072A5"/>
    <w:rsid w:val="00607A9D"/>
    <w:rsid w:val="00607EAD"/>
    <w:rsid w:val="0061072B"/>
    <w:rsid w:val="00611F69"/>
    <w:rsid w:val="006123E2"/>
    <w:rsid w:val="00612520"/>
    <w:rsid w:val="0061418B"/>
    <w:rsid w:val="00614CBC"/>
    <w:rsid w:val="00614FCA"/>
    <w:rsid w:val="00614FEF"/>
    <w:rsid w:val="006156EE"/>
    <w:rsid w:val="006161B7"/>
    <w:rsid w:val="00616457"/>
    <w:rsid w:val="00617B30"/>
    <w:rsid w:val="00617BDF"/>
    <w:rsid w:val="00617D51"/>
    <w:rsid w:val="00620330"/>
    <w:rsid w:val="006207B0"/>
    <w:rsid w:val="0062145A"/>
    <w:rsid w:val="0062157A"/>
    <w:rsid w:val="00621A1D"/>
    <w:rsid w:val="00621D97"/>
    <w:rsid w:val="006225DC"/>
    <w:rsid w:val="00622A71"/>
    <w:rsid w:val="00623158"/>
    <w:rsid w:val="00623207"/>
    <w:rsid w:val="00623748"/>
    <w:rsid w:val="00624137"/>
    <w:rsid w:val="006251D6"/>
    <w:rsid w:val="006255D7"/>
    <w:rsid w:val="00625E30"/>
    <w:rsid w:val="00625EF3"/>
    <w:rsid w:val="00626437"/>
    <w:rsid w:val="00626642"/>
    <w:rsid w:val="00626CD4"/>
    <w:rsid w:val="00627252"/>
    <w:rsid w:val="006273AF"/>
    <w:rsid w:val="00627561"/>
    <w:rsid w:val="00627C74"/>
    <w:rsid w:val="00627E2A"/>
    <w:rsid w:val="0063026B"/>
    <w:rsid w:val="00630B2E"/>
    <w:rsid w:val="00631505"/>
    <w:rsid w:val="0063185B"/>
    <w:rsid w:val="00631CCC"/>
    <w:rsid w:val="00632D80"/>
    <w:rsid w:val="00632E8F"/>
    <w:rsid w:val="00633964"/>
    <w:rsid w:val="00633D3A"/>
    <w:rsid w:val="006341A4"/>
    <w:rsid w:val="00634902"/>
    <w:rsid w:val="00635ACA"/>
    <w:rsid w:val="00637EDC"/>
    <w:rsid w:val="006401D7"/>
    <w:rsid w:val="006405AC"/>
    <w:rsid w:val="00641081"/>
    <w:rsid w:val="00641334"/>
    <w:rsid w:val="006418BF"/>
    <w:rsid w:val="00642502"/>
    <w:rsid w:val="006428C3"/>
    <w:rsid w:val="00642F8B"/>
    <w:rsid w:val="006434D3"/>
    <w:rsid w:val="0064446F"/>
    <w:rsid w:val="00644D90"/>
    <w:rsid w:val="00644F9B"/>
    <w:rsid w:val="006450A7"/>
    <w:rsid w:val="006453F4"/>
    <w:rsid w:val="0064698D"/>
    <w:rsid w:val="00646F0F"/>
    <w:rsid w:val="006474A5"/>
    <w:rsid w:val="0064758F"/>
    <w:rsid w:val="006475E7"/>
    <w:rsid w:val="006476B0"/>
    <w:rsid w:val="00647846"/>
    <w:rsid w:val="00647A84"/>
    <w:rsid w:val="00647F28"/>
    <w:rsid w:val="00650B11"/>
    <w:rsid w:val="00651512"/>
    <w:rsid w:val="0065155E"/>
    <w:rsid w:val="006516BE"/>
    <w:rsid w:val="00652087"/>
    <w:rsid w:val="00652452"/>
    <w:rsid w:val="00652661"/>
    <w:rsid w:val="006529A0"/>
    <w:rsid w:val="0065397D"/>
    <w:rsid w:val="00653E99"/>
    <w:rsid w:val="006549A5"/>
    <w:rsid w:val="00654F25"/>
    <w:rsid w:val="00655217"/>
    <w:rsid w:val="0065534E"/>
    <w:rsid w:val="00655449"/>
    <w:rsid w:val="00655E9B"/>
    <w:rsid w:val="00655F4C"/>
    <w:rsid w:val="00656DEF"/>
    <w:rsid w:val="00657041"/>
    <w:rsid w:val="0065726A"/>
    <w:rsid w:val="0065742E"/>
    <w:rsid w:val="00657C28"/>
    <w:rsid w:val="00657F89"/>
    <w:rsid w:val="00660AEF"/>
    <w:rsid w:val="00661C7F"/>
    <w:rsid w:val="00661C96"/>
    <w:rsid w:val="00662138"/>
    <w:rsid w:val="006623E1"/>
    <w:rsid w:val="00662EF0"/>
    <w:rsid w:val="006633D4"/>
    <w:rsid w:val="00663DE4"/>
    <w:rsid w:val="00664201"/>
    <w:rsid w:val="0066454A"/>
    <w:rsid w:val="00664F8D"/>
    <w:rsid w:val="00665345"/>
    <w:rsid w:val="00665BB0"/>
    <w:rsid w:val="00665CAA"/>
    <w:rsid w:val="006661E6"/>
    <w:rsid w:val="00666889"/>
    <w:rsid w:val="00666D25"/>
    <w:rsid w:val="00666F5A"/>
    <w:rsid w:val="00666FE0"/>
    <w:rsid w:val="006671D8"/>
    <w:rsid w:val="006673EF"/>
    <w:rsid w:val="0066742F"/>
    <w:rsid w:val="006679B9"/>
    <w:rsid w:val="0067072E"/>
    <w:rsid w:val="00671942"/>
    <w:rsid w:val="00671CB8"/>
    <w:rsid w:val="0067242E"/>
    <w:rsid w:val="00672BF5"/>
    <w:rsid w:val="0067381B"/>
    <w:rsid w:val="00673E00"/>
    <w:rsid w:val="00674376"/>
    <w:rsid w:val="00674F8F"/>
    <w:rsid w:val="00675B0C"/>
    <w:rsid w:val="00675C53"/>
    <w:rsid w:val="00676080"/>
    <w:rsid w:val="006761CC"/>
    <w:rsid w:val="00676EB0"/>
    <w:rsid w:val="0067729E"/>
    <w:rsid w:val="00677A08"/>
    <w:rsid w:val="0068000F"/>
    <w:rsid w:val="00680F32"/>
    <w:rsid w:val="006816E6"/>
    <w:rsid w:val="00681F9D"/>
    <w:rsid w:val="006821E3"/>
    <w:rsid w:val="00682FDA"/>
    <w:rsid w:val="006832B4"/>
    <w:rsid w:val="00683D50"/>
    <w:rsid w:val="006851DB"/>
    <w:rsid w:val="00685347"/>
    <w:rsid w:val="00685BA0"/>
    <w:rsid w:val="00685E80"/>
    <w:rsid w:val="00686536"/>
    <w:rsid w:val="00686F86"/>
    <w:rsid w:val="006872C8"/>
    <w:rsid w:val="0068760D"/>
    <w:rsid w:val="0068779D"/>
    <w:rsid w:val="00687A11"/>
    <w:rsid w:val="00687C0A"/>
    <w:rsid w:val="00690893"/>
    <w:rsid w:val="006908EC"/>
    <w:rsid w:val="00690B3B"/>
    <w:rsid w:val="00691A12"/>
    <w:rsid w:val="00691E3B"/>
    <w:rsid w:val="00691F4D"/>
    <w:rsid w:val="00693047"/>
    <w:rsid w:val="0069311E"/>
    <w:rsid w:val="00693208"/>
    <w:rsid w:val="00693896"/>
    <w:rsid w:val="00693986"/>
    <w:rsid w:val="00693F8F"/>
    <w:rsid w:val="0069452F"/>
    <w:rsid w:val="0069495F"/>
    <w:rsid w:val="0069496A"/>
    <w:rsid w:val="00694D2D"/>
    <w:rsid w:val="00695B3D"/>
    <w:rsid w:val="00695D30"/>
    <w:rsid w:val="0069752B"/>
    <w:rsid w:val="00697986"/>
    <w:rsid w:val="00697E99"/>
    <w:rsid w:val="006A03DE"/>
    <w:rsid w:val="006A0AF5"/>
    <w:rsid w:val="006A16FC"/>
    <w:rsid w:val="006A31DA"/>
    <w:rsid w:val="006A326E"/>
    <w:rsid w:val="006A337E"/>
    <w:rsid w:val="006A3713"/>
    <w:rsid w:val="006A3716"/>
    <w:rsid w:val="006A3719"/>
    <w:rsid w:val="006A3D0B"/>
    <w:rsid w:val="006A45EC"/>
    <w:rsid w:val="006A4B5E"/>
    <w:rsid w:val="006A57D8"/>
    <w:rsid w:val="006A5CCC"/>
    <w:rsid w:val="006A6949"/>
    <w:rsid w:val="006A7546"/>
    <w:rsid w:val="006B0C9C"/>
    <w:rsid w:val="006B1430"/>
    <w:rsid w:val="006B17AD"/>
    <w:rsid w:val="006B1F74"/>
    <w:rsid w:val="006B2A1D"/>
    <w:rsid w:val="006B326E"/>
    <w:rsid w:val="006B3B5E"/>
    <w:rsid w:val="006B3F4E"/>
    <w:rsid w:val="006B494A"/>
    <w:rsid w:val="006B508E"/>
    <w:rsid w:val="006B532E"/>
    <w:rsid w:val="006B5750"/>
    <w:rsid w:val="006B648A"/>
    <w:rsid w:val="006B68F8"/>
    <w:rsid w:val="006B6B5A"/>
    <w:rsid w:val="006B6DC2"/>
    <w:rsid w:val="006B6EC1"/>
    <w:rsid w:val="006B77EE"/>
    <w:rsid w:val="006C04DB"/>
    <w:rsid w:val="006C1541"/>
    <w:rsid w:val="006C1775"/>
    <w:rsid w:val="006C213B"/>
    <w:rsid w:val="006C24E6"/>
    <w:rsid w:val="006C31C0"/>
    <w:rsid w:val="006C324E"/>
    <w:rsid w:val="006C5445"/>
    <w:rsid w:val="006C5AA7"/>
    <w:rsid w:val="006C5EC4"/>
    <w:rsid w:val="006C67C4"/>
    <w:rsid w:val="006C6B82"/>
    <w:rsid w:val="006C716C"/>
    <w:rsid w:val="006C71C4"/>
    <w:rsid w:val="006C74C5"/>
    <w:rsid w:val="006C7605"/>
    <w:rsid w:val="006C7729"/>
    <w:rsid w:val="006C7756"/>
    <w:rsid w:val="006C79BA"/>
    <w:rsid w:val="006C7D52"/>
    <w:rsid w:val="006D0845"/>
    <w:rsid w:val="006D0C78"/>
    <w:rsid w:val="006D0DD3"/>
    <w:rsid w:val="006D105F"/>
    <w:rsid w:val="006D119B"/>
    <w:rsid w:val="006D2CBB"/>
    <w:rsid w:val="006D2ED1"/>
    <w:rsid w:val="006D30FC"/>
    <w:rsid w:val="006D4ACB"/>
    <w:rsid w:val="006D58D1"/>
    <w:rsid w:val="006D5C73"/>
    <w:rsid w:val="006D637C"/>
    <w:rsid w:val="006E0001"/>
    <w:rsid w:val="006E0465"/>
    <w:rsid w:val="006E150C"/>
    <w:rsid w:val="006E1D93"/>
    <w:rsid w:val="006E2277"/>
    <w:rsid w:val="006E2535"/>
    <w:rsid w:val="006E2739"/>
    <w:rsid w:val="006E28F2"/>
    <w:rsid w:val="006E2D1A"/>
    <w:rsid w:val="006E3CD3"/>
    <w:rsid w:val="006E4660"/>
    <w:rsid w:val="006E4731"/>
    <w:rsid w:val="006E503D"/>
    <w:rsid w:val="006E5526"/>
    <w:rsid w:val="006E63D5"/>
    <w:rsid w:val="006E7172"/>
    <w:rsid w:val="006E7251"/>
    <w:rsid w:val="006E7DB3"/>
    <w:rsid w:val="006F02E6"/>
    <w:rsid w:val="006F1BB3"/>
    <w:rsid w:val="006F27B2"/>
    <w:rsid w:val="006F2A19"/>
    <w:rsid w:val="006F37E5"/>
    <w:rsid w:val="006F58AE"/>
    <w:rsid w:val="006F5B02"/>
    <w:rsid w:val="006F5DC1"/>
    <w:rsid w:val="006F65ED"/>
    <w:rsid w:val="006F6801"/>
    <w:rsid w:val="006F6A0C"/>
    <w:rsid w:val="006F72C0"/>
    <w:rsid w:val="006F7322"/>
    <w:rsid w:val="006F7444"/>
    <w:rsid w:val="006F7974"/>
    <w:rsid w:val="006F7ACF"/>
    <w:rsid w:val="006F7C0E"/>
    <w:rsid w:val="007001BB"/>
    <w:rsid w:val="007005F9"/>
    <w:rsid w:val="0070104C"/>
    <w:rsid w:val="007010C1"/>
    <w:rsid w:val="007014DD"/>
    <w:rsid w:val="00701F6D"/>
    <w:rsid w:val="007027C3"/>
    <w:rsid w:val="007028C5"/>
    <w:rsid w:val="00702993"/>
    <w:rsid w:val="00702C22"/>
    <w:rsid w:val="00702EC2"/>
    <w:rsid w:val="0070303B"/>
    <w:rsid w:val="007036B7"/>
    <w:rsid w:val="0070386B"/>
    <w:rsid w:val="00703B7C"/>
    <w:rsid w:val="00704FB8"/>
    <w:rsid w:val="0070589A"/>
    <w:rsid w:val="00705D53"/>
    <w:rsid w:val="00705EBD"/>
    <w:rsid w:val="00705F19"/>
    <w:rsid w:val="0070633A"/>
    <w:rsid w:val="007064F8"/>
    <w:rsid w:val="00706CD0"/>
    <w:rsid w:val="00707259"/>
    <w:rsid w:val="00707832"/>
    <w:rsid w:val="00707CA8"/>
    <w:rsid w:val="00707F7A"/>
    <w:rsid w:val="007103BC"/>
    <w:rsid w:val="00710FFF"/>
    <w:rsid w:val="00711707"/>
    <w:rsid w:val="007118BC"/>
    <w:rsid w:val="00712206"/>
    <w:rsid w:val="00712311"/>
    <w:rsid w:val="007127EC"/>
    <w:rsid w:val="0071318E"/>
    <w:rsid w:val="00713700"/>
    <w:rsid w:val="00713FEE"/>
    <w:rsid w:val="007146C7"/>
    <w:rsid w:val="00714C3F"/>
    <w:rsid w:val="0071533B"/>
    <w:rsid w:val="00715AD3"/>
    <w:rsid w:val="0071607D"/>
    <w:rsid w:val="00716850"/>
    <w:rsid w:val="0071788A"/>
    <w:rsid w:val="00720366"/>
    <w:rsid w:val="00720AF4"/>
    <w:rsid w:val="00721128"/>
    <w:rsid w:val="0072120E"/>
    <w:rsid w:val="00721698"/>
    <w:rsid w:val="007227BE"/>
    <w:rsid w:val="00723927"/>
    <w:rsid w:val="00723E42"/>
    <w:rsid w:val="00723E5A"/>
    <w:rsid w:val="00724A75"/>
    <w:rsid w:val="00724FEA"/>
    <w:rsid w:val="00726A19"/>
    <w:rsid w:val="00726D8F"/>
    <w:rsid w:val="007270A4"/>
    <w:rsid w:val="00727C4F"/>
    <w:rsid w:val="00731221"/>
    <w:rsid w:val="00731485"/>
    <w:rsid w:val="00731679"/>
    <w:rsid w:val="00731EEC"/>
    <w:rsid w:val="00731EF3"/>
    <w:rsid w:val="007336C3"/>
    <w:rsid w:val="00733D10"/>
    <w:rsid w:val="00735170"/>
    <w:rsid w:val="00735278"/>
    <w:rsid w:val="007354B6"/>
    <w:rsid w:val="00735506"/>
    <w:rsid w:val="00735654"/>
    <w:rsid w:val="007356BB"/>
    <w:rsid w:val="00736EA8"/>
    <w:rsid w:val="007374C0"/>
    <w:rsid w:val="007374FA"/>
    <w:rsid w:val="0073794B"/>
    <w:rsid w:val="007407C7"/>
    <w:rsid w:val="00740963"/>
    <w:rsid w:val="00740DB4"/>
    <w:rsid w:val="00740FD1"/>
    <w:rsid w:val="0074152F"/>
    <w:rsid w:val="007416D3"/>
    <w:rsid w:val="007419CA"/>
    <w:rsid w:val="00741CF3"/>
    <w:rsid w:val="00742BA9"/>
    <w:rsid w:val="00742EEB"/>
    <w:rsid w:val="00743284"/>
    <w:rsid w:val="00743AE8"/>
    <w:rsid w:val="00744E91"/>
    <w:rsid w:val="00745C46"/>
    <w:rsid w:val="00745FBB"/>
    <w:rsid w:val="0074616E"/>
    <w:rsid w:val="0074690E"/>
    <w:rsid w:val="00746EB8"/>
    <w:rsid w:val="007474C8"/>
    <w:rsid w:val="00747511"/>
    <w:rsid w:val="0074761F"/>
    <w:rsid w:val="00747D9A"/>
    <w:rsid w:val="007501C3"/>
    <w:rsid w:val="0075062F"/>
    <w:rsid w:val="00750BB1"/>
    <w:rsid w:val="00750BBE"/>
    <w:rsid w:val="00751F5C"/>
    <w:rsid w:val="00752363"/>
    <w:rsid w:val="00752DB4"/>
    <w:rsid w:val="007531A8"/>
    <w:rsid w:val="007532A9"/>
    <w:rsid w:val="007532E7"/>
    <w:rsid w:val="00753623"/>
    <w:rsid w:val="007546CF"/>
    <w:rsid w:val="00755EFC"/>
    <w:rsid w:val="00756EFD"/>
    <w:rsid w:val="00757BB0"/>
    <w:rsid w:val="00760844"/>
    <w:rsid w:val="007608E8"/>
    <w:rsid w:val="00760FBF"/>
    <w:rsid w:val="007619AE"/>
    <w:rsid w:val="00762038"/>
    <w:rsid w:val="007624BB"/>
    <w:rsid w:val="00762FBA"/>
    <w:rsid w:val="007633E6"/>
    <w:rsid w:val="007633F4"/>
    <w:rsid w:val="00763867"/>
    <w:rsid w:val="00763D41"/>
    <w:rsid w:val="00764BCE"/>
    <w:rsid w:val="00764CEC"/>
    <w:rsid w:val="00765A71"/>
    <w:rsid w:val="007662D1"/>
    <w:rsid w:val="00766674"/>
    <w:rsid w:val="00766868"/>
    <w:rsid w:val="00766A08"/>
    <w:rsid w:val="00766B48"/>
    <w:rsid w:val="00766D58"/>
    <w:rsid w:val="00767B99"/>
    <w:rsid w:val="00767C8E"/>
    <w:rsid w:val="00767D8A"/>
    <w:rsid w:val="00767DC1"/>
    <w:rsid w:val="00770A8A"/>
    <w:rsid w:val="00771BD9"/>
    <w:rsid w:val="007725B5"/>
    <w:rsid w:val="0077280C"/>
    <w:rsid w:val="007733C7"/>
    <w:rsid w:val="007743D1"/>
    <w:rsid w:val="007754C4"/>
    <w:rsid w:val="007768C4"/>
    <w:rsid w:val="00776A4C"/>
    <w:rsid w:val="00776FA9"/>
    <w:rsid w:val="0078033B"/>
    <w:rsid w:val="00782105"/>
    <w:rsid w:val="0078251F"/>
    <w:rsid w:val="00782662"/>
    <w:rsid w:val="00782B3A"/>
    <w:rsid w:val="00783209"/>
    <w:rsid w:val="00783856"/>
    <w:rsid w:val="00783999"/>
    <w:rsid w:val="00783A9F"/>
    <w:rsid w:val="00783F78"/>
    <w:rsid w:val="0078409F"/>
    <w:rsid w:val="007844A4"/>
    <w:rsid w:val="0078474B"/>
    <w:rsid w:val="00784CC0"/>
    <w:rsid w:val="007856AD"/>
    <w:rsid w:val="00786D33"/>
    <w:rsid w:val="00787284"/>
    <w:rsid w:val="007877D5"/>
    <w:rsid w:val="00790609"/>
    <w:rsid w:val="007917AE"/>
    <w:rsid w:val="007919E3"/>
    <w:rsid w:val="00791F6C"/>
    <w:rsid w:val="00792E20"/>
    <w:rsid w:val="007937DC"/>
    <w:rsid w:val="00793999"/>
    <w:rsid w:val="00793BDC"/>
    <w:rsid w:val="0079497A"/>
    <w:rsid w:val="0079511B"/>
    <w:rsid w:val="0079542B"/>
    <w:rsid w:val="00795A5D"/>
    <w:rsid w:val="0079690E"/>
    <w:rsid w:val="0079706A"/>
    <w:rsid w:val="007976F6"/>
    <w:rsid w:val="007977E2"/>
    <w:rsid w:val="00797D4C"/>
    <w:rsid w:val="007A0384"/>
    <w:rsid w:val="007A0B98"/>
    <w:rsid w:val="007A124E"/>
    <w:rsid w:val="007A2023"/>
    <w:rsid w:val="007A2921"/>
    <w:rsid w:val="007A29CF"/>
    <w:rsid w:val="007A4129"/>
    <w:rsid w:val="007A4672"/>
    <w:rsid w:val="007A4A8E"/>
    <w:rsid w:val="007A4ECB"/>
    <w:rsid w:val="007A52AC"/>
    <w:rsid w:val="007A5506"/>
    <w:rsid w:val="007A5B4C"/>
    <w:rsid w:val="007A5E49"/>
    <w:rsid w:val="007A624D"/>
    <w:rsid w:val="007A7795"/>
    <w:rsid w:val="007A7B2F"/>
    <w:rsid w:val="007A7CF5"/>
    <w:rsid w:val="007A7FC6"/>
    <w:rsid w:val="007B07D1"/>
    <w:rsid w:val="007B09EB"/>
    <w:rsid w:val="007B0A3E"/>
    <w:rsid w:val="007B0A7A"/>
    <w:rsid w:val="007B1728"/>
    <w:rsid w:val="007B24EE"/>
    <w:rsid w:val="007B26FD"/>
    <w:rsid w:val="007B354C"/>
    <w:rsid w:val="007B3BDE"/>
    <w:rsid w:val="007B52FA"/>
    <w:rsid w:val="007B5344"/>
    <w:rsid w:val="007B5760"/>
    <w:rsid w:val="007B5B05"/>
    <w:rsid w:val="007B61E6"/>
    <w:rsid w:val="007B63F6"/>
    <w:rsid w:val="007B65E9"/>
    <w:rsid w:val="007B69D2"/>
    <w:rsid w:val="007B6B6B"/>
    <w:rsid w:val="007B710C"/>
    <w:rsid w:val="007B7B7F"/>
    <w:rsid w:val="007C1CF2"/>
    <w:rsid w:val="007C2023"/>
    <w:rsid w:val="007C30B9"/>
    <w:rsid w:val="007C3185"/>
    <w:rsid w:val="007C3872"/>
    <w:rsid w:val="007C4249"/>
    <w:rsid w:val="007C4319"/>
    <w:rsid w:val="007C5E95"/>
    <w:rsid w:val="007C6228"/>
    <w:rsid w:val="007C6340"/>
    <w:rsid w:val="007C6B2D"/>
    <w:rsid w:val="007C6FAC"/>
    <w:rsid w:val="007C7215"/>
    <w:rsid w:val="007C77CF"/>
    <w:rsid w:val="007C7D5C"/>
    <w:rsid w:val="007D014A"/>
    <w:rsid w:val="007D07D4"/>
    <w:rsid w:val="007D1002"/>
    <w:rsid w:val="007D13E8"/>
    <w:rsid w:val="007D158F"/>
    <w:rsid w:val="007D1E68"/>
    <w:rsid w:val="007D1F34"/>
    <w:rsid w:val="007D216B"/>
    <w:rsid w:val="007D319B"/>
    <w:rsid w:val="007D3EEA"/>
    <w:rsid w:val="007D40FC"/>
    <w:rsid w:val="007D48DF"/>
    <w:rsid w:val="007D4AA2"/>
    <w:rsid w:val="007D507A"/>
    <w:rsid w:val="007D5D87"/>
    <w:rsid w:val="007D6418"/>
    <w:rsid w:val="007D695F"/>
    <w:rsid w:val="007D6ECB"/>
    <w:rsid w:val="007D73DB"/>
    <w:rsid w:val="007D78F9"/>
    <w:rsid w:val="007E047B"/>
    <w:rsid w:val="007E0C82"/>
    <w:rsid w:val="007E11B3"/>
    <w:rsid w:val="007E1A2C"/>
    <w:rsid w:val="007E233A"/>
    <w:rsid w:val="007E2E66"/>
    <w:rsid w:val="007E300D"/>
    <w:rsid w:val="007E4988"/>
    <w:rsid w:val="007E4C5C"/>
    <w:rsid w:val="007E61AD"/>
    <w:rsid w:val="007E6BFF"/>
    <w:rsid w:val="007E6E0A"/>
    <w:rsid w:val="007E7730"/>
    <w:rsid w:val="007E7D67"/>
    <w:rsid w:val="007F01B7"/>
    <w:rsid w:val="007F083A"/>
    <w:rsid w:val="007F0FB4"/>
    <w:rsid w:val="007F182E"/>
    <w:rsid w:val="007F1ECB"/>
    <w:rsid w:val="007F1F4C"/>
    <w:rsid w:val="007F2418"/>
    <w:rsid w:val="007F26A0"/>
    <w:rsid w:val="007F2F36"/>
    <w:rsid w:val="007F3239"/>
    <w:rsid w:val="007F3ABD"/>
    <w:rsid w:val="007F43A5"/>
    <w:rsid w:val="007F4BD6"/>
    <w:rsid w:val="007F52C6"/>
    <w:rsid w:val="007F57EB"/>
    <w:rsid w:val="007F58FF"/>
    <w:rsid w:val="007F5EA8"/>
    <w:rsid w:val="007F60F1"/>
    <w:rsid w:val="007F7215"/>
    <w:rsid w:val="007F7260"/>
    <w:rsid w:val="007F7F3E"/>
    <w:rsid w:val="00800CF0"/>
    <w:rsid w:val="008010A3"/>
    <w:rsid w:val="00801ED5"/>
    <w:rsid w:val="00802263"/>
    <w:rsid w:val="00802780"/>
    <w:rsid w:val="00803D6A"/>
    <w:rsid w:val="008047C4"/>
    <w:rsid w:val="00804812"/>
    <w:rsid w:val="0080484F"/>
    <w:rsid w:val="00804E03"/>
    <w:rsid w:val="00804F61"/>
    <w:rsid w:val="0080552F"/>
    <w:rsid w:val="00805BC3"/>
    <w:rsid w:val="00805D3F"/>
    <w:rsid w:val="00807490"/>
    <w:rsid w:val="00807D87"/>
    <w:rsid w:val="00810D22"/>
    <w:rsid w:val="00811E4E"/>
    <w:rsid w:val="008132EC"/>
    <w:rsid w:val="00813329"/>
    <w:rsid w:val="00813982"/>
    <w:rsid w:val="00814455"/>
    <w:rsid w:val="00814B14"/>
    <w:rsid w:val="00814EFE"/>
    <w:rsid w:val="0081546E"/>
    <w:rsid w:val="00815934"/>
    <w:rsid w:val="00816C60"/>
    <w:rsid w:val="008174E1"/>
    <w:rsid w:val="00817B0A"/>
    <w:rsid w:val="008201D9"/>
    <w:rsid w:val="00820437"/>
    <w:rsid w:val="0082062C"/>
    <w:rsid w:val="008208F9"/>
    <w:rsid w:val="00820A08"/>
    <w:rsid w:val="008212A2"/>
    <w:rsid w:val="008216B8"/>
    <w:rsid w:val="008225A8"/>
    <w:rsid w:val="008228AB"/>
    <w:rsid w:val="00822CF2"/>
    <w:rsid w:val="00822DED"/>
    <w:rsid w:val="008237E4"/>
    <w:rsid w:val="00823CF0"/>
    <w:rsid w:val="008247DF"/>
    <w:rsid w:val="0082512A"/>
    <w:rsid w:val="0082528A"/>
    <w:rsid w:val="00826551"/>
    <w:rsid w:val="008265FC"/>
    <w:rsid w:val="00826649"/>
    <w:rsid w:val="008267F4"/>
    <w:rsid w:val="0082788C"/>
    <w:rsid w:val="00827928"/>
    <w:rsid w:val="00827ED2"/>
    <w:rsid w:val="00830E4E"/>
    <w:rsid w:val="00831D78"/>
    <w:rsid w:val="00831D9A"/>
    <w:rsid w:val="008321DF"/>
    <w:rsid w:val="008327BE"/>
    <w:rsid w:val="008331FB"/>
    <w:rsid w:val="008333E6"/>
    <w:rsid w:val="008335CF"/>
    <w:rsid w:val="00833ED8"/>
    <w:rsid w:val="008340CF"/>
    <w:rsid w:val="008345E2"/>
    <w:rsid w:val="008357D7"/>
    <w:rsid w:val="00835A14"/>
    <w:rsid w:val="00835FA4"/>
    <w:rsid w:val="0083653B"/>
    <w:rsid w:val="0083683F"/>
    <w:rsid w:val="00836EC4"/>
    <w:rsid w:val="0083764E"/>
    <w:rsid w:val="0083781F"/>
    <w:rsid w:val="00840438"/>
    <w:rsid w:val="00840462"/>
    <w:rsid w:val="00840609"/>
    <w:rsid w:val="00840666"/>
    <w:rsid w:val="00840DCE"/>
    <w:rsid w:val="008423AB"/>
    <w:rsid w:val="00842BE3"/>
    <w:rsid w:val="00844016"/>
    <w:rsid w:val="0084484C"/>
    <w:rsid w:val="00845B48"/>
    <w:rsid w:val="00846068"/>
    <w:rsid w:val="00846895"/>
    <w:rsid w:val="00846948"/>
    <w:rsid w:val="00846BBD"/>
    <w:rsid w:val="00846C7E"/>
    <w:rsid w:val="008479DE"/>
    <w:rsid w:val="00847F81"/>
    <w:rsid w:val="008500CD"/>
    <w:rsid w:val="00851985"/>
    <w:rsid w:val="008525BE"/>
    <w:rsid w:val="00852C39"/>
    <w:rsid w:val="00853B5B"/>
    <w:rsid w:val="0085418F"/>
    <w:rsid w:val="00854A3B"/>
    <w:rsid w:val="00854F28"/>
    <w:rsid w:val="0085609C"/>
    <w:rsid w:val="0085645E"/>
    <w:rsid w:val="00856884"/>
    <w:rsid w:val="00856CFF"/>
    <w:rsid w:val="00856FA7"/>
    <w:rsid w:val="00860B17"/>
    <w:rsid w:val="00860D4E"/>
    <w:rsid w:val="00860EDD"/>
    <w:rsid w:val="008611E1"/>
    <w:rsid w:val="00861855"/>
    <w:rsid w:val="00861BFC"/>
    <w:rsid w:val="00861C2E"/>
    <w:rsid w:val="008622FD"/>
    <w:rsid w:val="0086289A"/>
    <w:rsid w:val="00863886"/>
    <w:rsid w:val="00864145"/>
    <w:rsid w:val="008646A0"/>
    <w:rsid w:val="00864717"/>
    <w:rsid w:val="00864734"/>
    <w:rsid w:val="00864E04"/>
    <w:rsid w:val="008653F6"/>
    <w:rsid w:val="00865438"/>
    <w:rsid w:val="0086598B"/>
    <w:rsid w:val="008659B9"/>
    <w:rsid w:val="00866B4C"/>
    <w:rsid w:val="00866D48"/>
    <w:rsid w:val="00867027"/>
    <w:rsid w:val="0086710B"/>
    <w:rsid w:val="00867434"/>
    <w:rsid w:val="0086794C"/>
    <w:rsid w:val="00867E6B"/>
    <w:rsid w:val="00870100"/>
    <w:rsid w:val="008703A3"/>
    <w:rsid w:val="00870889"/>
    <w:rsid w:val="00870AD9"/>
    <w:rsid w:val="00871A6B"/>
    <w:rsid w:val="00871A86"/>
    <w:rsid w:val="0087222D"/>
    <w:rsid w:val="008737D8"/>
    <w:rsid w:val="00873F75"/>
    <w:rsid w:val="008745B1"/>
    <w:rsid w:val="008746CF"/>
    <w:rsid w:val="00874A7F"/>
    <w:rsid w:val="00874F05"/>
    <w:rsid w:val="008754C3"/>
    <w:rsid w:val="00875E6A"/>
    <w:rsid w:val="008776E3"/>
    <w:rsid w:val="0088096B"/>
    <w:rsid w:val="00880D0A"/>
    <w:rsid w:val="0088140D"/>
    <w:rsid w:val="00881746"/>
    <w:rsid w:val="00881C74"/>
    <w:rsid w:val="00881FD3"/>
    <w:rsid w:val="00882A05"/>
    <w:rsid w:val="00883E0F"/>
    <w:rsid w:val="00884D4E"/>
    <w:rsid w:val="00885715"/>
    <w:rsid w:val="00886113"/>
    <w:rsid w:val="00886525"/>
    <w:rsid w:val="008875B7"/>
    <w:rsid w:val="008901FA"/>
    <w:rsid w:val="00890823"/>
    <w:rsid w:val="008913F0"/>
    <w:rsid w:val="00891E1E"/>
    <w:rsid w:val="008920B6"/>
    <w:rsid w:val="00893E1E"/>
    <w:rsid w:val="00895422"/>
    <w:rsid w:val="00895A82"/>
    <w:rsid w:val="00895F28"/>
    <w:rsid w:val="00896669"/>
    <w:rsid w:val="0089681B"/>
    <w:rsid w:val="00896B12"/>
    <w:rsid w:val="00896BAE"/>
    <w:rsid w:val="00896FB6"/>
    <w:rsid w:val="00897031"/>
    <w:rsid w:val="00897589"/>
    <w:rsid w:val="008977ED"/>
    <w:rsid w:val="00897991"/>
    <w:rsid w:val="00897D9F"/>
    <w:rsid w:val="008A05D1"/>
    <w:rsid w:val="008A0906"/>
    <w:rsid w:val="008A1A8D"/>
    <w:rsid w:val="008A2089"/>
    <w:rsid w:val="008A226D"/>
    <w:rsid w:val="008A27C0"/>
    <w:rsid w:val="008A288D"/>
    <w:rsid w:val="008A2EA1"/>
    <w:rsid w:val="008A31BF"/>
    <w:rsid w:val="008A327B"/>
    <w:rsid w:val="008A36EC"/>
    <w:rsid w:val="008A3821"/>
    <w:rsid w:val="008A3A70"/>
    <w:rsid w:val="008A3CD5"/>
    <w:rsid w:val="008A4AEE"/>
    <w:rsid w:val="008A4E0B"/>
    <w:rsid w:val="008A68AF"/>
    <w:rsid w:val="008A6C96"/>
    <w:rsid w:val="008A72FF"/>
    <w:rsid w:val="008A75E6"/>
    <w:rsid w:val="008B003E"/>
    <w:rsid w:val="008B00A2"/>
    <w:rsid w:val="008B04E1"/>
    <w:rsid w:val="008B151A"/>
    <w:rsid w:val="008B23BB"/>
    <w:rsid w:val="008B2D89"/>
    <w:rsid w:val="008B364F"/>
    <w:rsid w:val="008B3C45"/>
    <w:rsid w:val="008B45F2"/>
    <w:rsid w:val="008B580A"/>
    <w:rsid w:val="008B5907"/>
    <w:rsid w:val="008B60B9"/>
    <w:rsid w:val="008B6B8C"/>
    <w:rsid w:val="008B7956"/>
    <w:rsid w:val="008B7F8D"/>
    <w:rsid w:val="008C06CF"/>
    <w:rsid w:val="008C07B5"/>
    <w:rsid w:val="008C0C1E"/>
    <w:rsid w:val="008C0F7D"/>
    <w:rsid w:val="008C0FB5"/>
    <w:rsid w:val="008C178B"/>
    <w:rsid w:val="008C18D6"/>
    <w:rsid w:val="008C1C7B"/>
    <w:rsid w:val="008C27CA"/>
    <w:rsid w:val="008C304B"/>
    <w:rsid w:val="008C32E7"/>
    <w:rsid w:val="008C358B"/>
    <w:rsid w:val="008C4534"/>
    <w:rsid w:val="008C54CD"/>
    <w:rsid w:val="008C5AFD"/>
    <w:rsid w:val="008C61E8"/>
    <w:rsid w:val="008C62D6"/>
    <w:rsid w:val="008C6AF6"/>
    <w:rsid w:val="008C6C20"/>
    <w:rsid w:val="008C7035"/>
    <w:rsid w:val="008D0402"/>
    <w:rsid w:val="008D0AF9"/>
    <w:rsid w:val="008D17E1"/>
    <w:rsid w:val="008D17E4"/>
    <w:rsid w:val="008D1AC7"/>
    <w:rsid w:val="008D1B23"/>
    <w:rsid w:val="008D24A5"/>
    <w:rsid w:val="008D2DB2"/>
    <w:rsid w:val="008D4019"/>
    <w:rsid w:val="008D4954"/>
    <w:rsid w:val="008D4A59"/>
    <w:rsid w:val="008D637A"/>
    <w:rsid w:val="008D6C9A"/>
    <w:rsid w:val="008D7457"/>
    <w:rsid w:val="008D78C8"/>
    <w:rsid w:val="008D79BC"/>
    <w:rsid w:val="008D7E66"/>
    <w:rsid w:val="008E0DEA"/>
    <w:rsid w:val="008E2637"/>
    <w:rsid w:val="008E26C7"/>
    <w:rsid w:val="008E2A00"/>
    <w:rsid w:val="008E2ECB"/>
    <w:rsid w:val="008E3079"/>
    <w:rsid w:val="008E3336"/>
    <w:rsid w:val="008E3C08"/>
    <w:rsid w:val="008E4390"/>
    <w:rsid w:val="008E4F29"/>
    <w:rsid w:val="008E5E5B"/>
    <w:rsid w:val="008E66C5"/>
    <w:rsid w:val="008E77EA"/>
    <w:rsid w:val="008E7E72"/>
    <w:rsid w:val="008F0447"/>
    <w:rsid w:val="008F1588"/>
    <w:rsid w:val="008F2335"/>
    <w:rsid w:val="008F24A0"/>
    <w:rsid w:val="008F2EB0"/>
    <w:rsid w:val="008F3064"/>
    <w:rsid w:val="008F3754"/>
    <w:rsid w:val="008F383E"/>
    <w:rsid w:val="008F51E4"/>
    <w:rsid w:val="008F5659"/>
    <w:rsid w:val="008F56DD"/>
    <w:rsid w:val="008F5859"/>
    <w:rsid w:val="008F58AB"/>
    <w:rsid w:val="008F68F0"/>
    <w:rsid w:val="008F719F"/>
    <w:rsid w:val="008F7701"/>
    <w:rsid w:val="008F7FCE"/>
    <w:rsid w:val="0090058C"/>
    <w:rsid w:val="00900935"/>
    <w:rsid w:val="00900E9D"/>
    <w:rsid w:val="00901F67"/>
    <w:rsid w:val="00902BAC"/>
    <w:rsid w:val="00902EA7"/>
    <w:rsid w:val="009032C6"/>
    <w:rsid w:val="00903B14"/>
    <w:rsid w:val="0090488E"/>
    <w:rsid w:val="009048E9"/>
    <w:rsid w:val="009049CE"/>
    <w:rsid w:val="00904F7D"/>
    <w:rsid w:val="00905DB7"/>
    <w:rsid w:val="009067A3"/>
    <w:rsid w:val="00906832"/>
    <w:rsid w:val="009068D1"/>
    <w:rsid w:val="00906F0C"/>
    <w:rsid w:val="00907192"/>
    <w:rsid w:val="00907D73"/>
    <w:rsid w:val="00910663"/>
    <w:rsid w:val="00910B2A"/>
    <w:rsid w:val="00911E73"/>
    <w:rsid w:val="00911ECB"/>
    <w:rsid w:val="00912B2A"/>
    <w:rsid w:val="009130EC"/>
    <w:rsid w:val="00914C59"/>
    <w:rsid w:val="00914D9E"/>
    <w:rsid w:val="00914F68"/>
    <w:rsid w:val="00915189"/>
    <w:rsid w:val="0091558C"/>
    <w:rsid w:val="0091598D"/>
    <w:rsid w:val="0091602B"/>
    <w:rsid w:val="0091650A"/>
    <w:rsid w:val="00916690"/>
    <w:rsid w:val="00916A84"/>
    <w:rsid w:val="00916BAD"/>
    <w:rsid w:val="00920D47"/>
    <w:rsid w:val="00920E12"/>
    <w:rsid w:val="00921296"/>
    <w:rsid w:val="00921433"/>
    <w:rsid w:val="00922323"/>
    <w:rsid w:val="0092244D"/>
    <w:rsid w:val="00922A4F"/>
    <w:rsid w:val="00923C8D"/>
    <w:rsid w:val="00923F5B"/>
    <w:rsid w:val="0092499A"/>
    <w:rsid w:val="00924CAD"/>
    <w:rsid w:val="00925C94"/>
    <w:rsid w:val="00925EC6"/>
    <w:rsid w:val="00926406"/>
    <w:rsid w:val="009271E6"/>
    <w:rsid w:val="00927BD0"/>
    <w:rsid w:val="0093001D"/>
    <w:rsid w:val="00930167"/>
    <w:rsid w:val="009309DC"/>
    <w:rsid w:val="0093223C"/>
    <w:rsid w:val="00932BF9"/>
    <w:rsid w:val="00932DC3"/>
    <w:rsid w:val="00933AA2"/>
    <w:rsid w:val="00933C95"/>
    <w:rsid w:val="009342DF"/>
    <w:rsid w:val="009356C6"/>
    <w:rsid w:val="00937409"/>
    <w:rsid w:val="0093778B"/>
    <w:rsid w:val="00937AB2"/>
    <w:rsid w:val="0094036D"/>
    <w:rsid w:val="009409F0"/>
    <w:rsid w:val="0094173B"/>
    <w:rsid w:val="00942A77"/>
    <w:rsid w:val="00942B23"/>
    <w:rsid w:val="00943C41"/>
    <w:rsid w:val="00944335"/>
    <w:rsid w:val="00944EDC"/>
    <w:rsid w:val="00944EE5"/>
    <w:rsid w:val="009463AB"/>
    <w:rsid w:val="0094794C"/>
    <w:rsid w:val="00950D35"/>
    <w:rsid w:val="0095139C"/>
    <w:rsid w:val="0095365B"/>
    <w:rsid w:val="00953A74"/>
    <w:rsid w:val="009540FD"/>
    <w:rsid w:val="00954471"/>
    <w:rsid w:val="00955C6B"/>
    <w:rsid w:val="00955FCC"/>
    <w:rsid w:val="0095691F"/>
    <w:rsid w:val="00956A65"/>
    <w:rsid w:val="00956FB1"/>
    <w:rsid w:val="00957269"/>
    <w:rsid w:val="00957278"/>
    <w:rsid w:val="009575EB"/>
    <w:rsid w:val="00957697"/>
    <w:rsid w:val="009576C8"/>
    <w:rsid w:val="00957D52"/>
    <w:rsid w:val="00960611"/>
    <w:rsid w:val="009606B8"/>
    <w:rsid w:val="00961138"/>
    <w:rsid w:val="00962AC3"/>
    <w:rsid w:val="00962C64"/>
    <w:rsid w:val="0096382C"/>
    <w:rsid w:val="00963911"/>
    <w:rsid w:val="00963AB8"/>
    <w:rsid w:val="00964F8B"/>
    <w:rsid w:val="00965F2B"/>
    <w:rsid w:val="00966001"/>
    <w:rsid w:val="00966407"/>
    <w:rsid w:val="0096661D"/>
    <w:rsid w:val="0096682F"/>
    <w:rsid w:val="00966CFE"/>
    <w:rsid w:val="0096751E"/>
    <w:rsid w:val="00967E0F"/>
    <w:rsid w:val="00970404"/>
    <w:rsid w:val="00970B62"/>
    <w:rsid w:val="00970F12"/>
    <w:rsid w:val="00971E5F"/>
    <w:rsid w:val="00972797"/>
    <w:rsid w:val="009744CE"/>
    <w:rsid w:val="00974EF9"/>
    <w:rsid w:val="00975070"/>
    <w:rsid w:val="009756A0"/>
    <w:rsid w:val="00977337"/>
    <w:rsid w:val="00977514"/>
    <w:rsid w:val="0098008A"/>
    <w:rsid w:val="00980877"/>
    <w:rsid w:val="009808F1"/>
    <w:rsid w:val="00981DBF"/>
    <w:rsid w:val="00982077"/>
    <w:rsid w:val="00984075"/>
    <w:rsid w:val="009840D1"/>
    <w:rsid w:val="009844C6"/>
    <w:rsid w:val="00985083"/>
    <w:rsid w:val="00985138"/>
    <w:rsid w:val="00985487"/>
    <w:rsid w:val="0098657C"/>
    <w:rsid w:val="0098669B"/>
    <w:rsid w:val="00987C8B"/>
    <w:rsid w:val="00987E5D"/>
    <w:rsid w:val="009901FF"/>
    <w:rsid w:val="00990AA9"/>
    <w:rsid w:val="00990E31"/>
    <w:rsid w:val="00991BFC"/>
    <w:rsid w:val="00991F86"/>
    <w:rsid w:val="00992076"/>
    <w:rsid w:val="00992AD3"/>
    <w:rsid w:val="009931D7"/>
    <w:rsid w:val="00993E1A"/>
    <w:rsid w:val="0099447A"/>
    <w:rsid w:val="00994AA3"/>
    <w:rsid w:val="00994AAB"/>
    <w:rsid w:val="00995695"/>
    <w:rsid w:val="00995F89"/>
    <w:rsid w:val="00996043"/>
    <w:rsid w:val="009969FC"/>
    <w:rsid w:val="00996ACC"/>
    <w:rsid w:val="00996E09"/>
    <w:rsid w:val="009977B2"/>
    <w:rsid w:val="00997BC4"/>
    <w:rsid w:val="009A0131"/>
    <w:rsid w:val="009A058B"/>
    <w:rsid w:val="009A1020"/>
    <w:rsid w:val="009A2046"/>
    <w:rsid w:val="009A2F99"/>
    <w:rsid w:val="009A3304"/>
    <w:rsid w:val="009A4013"/>
    <w:rsid w:val="009A4455"/>
    <w:rsid w:val="009A44C1"/>
    <w:rsid w:val="009A54A3"/>
    <w:rsid w:val="009A5E20"/>
    <w:rsid w:val="009A6704"/>
    <w:rsid w:val="009A67E1"/>
    <w:rsid w:val="009A6A2A"/>
    <w:rsid w:val="009A6AED"/>
    <w:rsid w:val="009A6B7E"/>
    <w:rsid w:val="009B0DFA"/>
    <w:rsid w:val="009B0FA0"/>
    <w:rsid w:val="009B1388"/>
    <w:rsid w:val="009B18E2"/>
    <w:rsid w:val="009B1A39"/>
    <w:rsid w:val="009B222E"/>
    <w:rsid w:val="009B2A5F"/>
    <w:rsid w:val="009B318A"/>
    <w:rsid w:val="009B31EE"/>
    <w:rsid w:val="009B3787"/>
    <w:rsid w:val="009B3DB8"/>
    <w:rsid w:val="009B3E2B"/>
    <w:rsid w:val="009B569F"/>
    <w:rsid w:val="009B5805"/>
    <w:rsid w:val="009B79B5"/>
    <w:rsid w:val="009C01DD"/>
    <w:rsid w:val="009C04AE"/>
    <w:rsid w:val="009C0DA9"/>
    <w:rsid w:val="009C1332"/>
    <w:rsid w:val="009C17BF"/>
    <w:rsid w:val="009C1C84"/>
    <w:rsid w:val="009C1DCE"/>
    <w:rsid w:val="009C1F60"/>
    <w:rsid w:val="009C2DEF"/>
    <w:rsid w:val="009C32CD"/>
    <w:rsid w:val="009C48A0"/>
    <w:rsid w:val="009C4AA1"/>
    <w:rsid w:val="009C4BD6"/>
    <w:rsid w:val="009C4E7B"/>
    <w:rsid w:val="009C4F84"/>
    <w:rsid w:val="009C5232"/>
    <w:rsid w:val="009C5889"/>
    <w:rsid w:val="009C5D0F"/>
    <w:rsid w:val="009C5DFA"/>
    <w:rsid w:val="009C7573"/>
    <w:rsid w:val="009C764A"/>
    <w:rsid w:val="009C796F"/>
    <w:rsid w:val="009C7DC2"/>
    <w:rsid w:val="009C7E5D"/>
    <w:rsid w:val="009D0AEC"/>
    <w:rsid w:val="009D180E"/>
    <w:rsid w:val="009D1DF3"/>
    <w:rsid w:val="009D2CAE"/>
    <w:rsid w:val="009D3056"/>
    <w:rsid w:val="009D3555"/>
    <w:rsid w:val="009D3965"/>
    <w:rsid w:val="009D3C98"/>
    <w:rsid w:val="009D3D6F"/>
    <w:rsid w:val="009D4374"/>
    <w:rsid w:val="009D4399"/>
    <w:rsid w:val="009D5E8C"/>
    <w:rsid w:val="009D5FB8"/>
    <w:rsid w:val="009D617D"/>
    <w:rsid w:val="009D6FAE"/>
    <w:rsid w:val="009D7269"/>
    <w:rsid w:val="009D7334"/>
    <w:rsid w:val="009D777D"/>
    <w:rsid w:val="009D7C88"/>
    <w:rsid w:val="009E0407"/>
    <w:rsid w:val="009E08A6"/>
    <w:rsid w:val="009E0A2E"/>
    <w:rsid w:val="009E0A9D"/>
    <w:rsid w:val="009E0DA4"/>
    <w:rsid w:val="009E10C5"/>
    <w:rsid w:val="009E10D0"/>
    <w:rsid w:val="009E176C"/>
    <w:rsid w:val="009E183A"/>
    <w:rsid w:val="009E1E96"/>
    <w:rsid w:val="009E2832"/>
    <w:rsid w:val="009E3A33"/>
    <w:rsid w:val="009E4A02"/>
    <w:rsid w:val="009E5850"/>
    <w:rsid w:val="009E6CB9"/>
    <w:rsid w:val="009E7429"/>
    <w:rsid w:val="009F008D"/>
    <w:rsid w:val="009F06A9"/>
    <w:rsid w:val="009F0804"/>
    <w:rsid w:val="009F0960"/>
    <w:rsid w:val="009F0D93"/>
    <w:rsid w:val="009F1F78"/>
    <w:rsid w:val="009F21B7"/>
    <w:rsid w:val="009F2D0D"/>
    <w:rsid w:val="009F2F7E"/>
    <w:rsid w:val="009F3E5F"/>
    <w:rsid w:val="009F3FEC"/>
    <w:rsid w:val="009F4600"/>
    <w:rsid w:val="009F4D29"/>
    <w:rsid w:val="009F570B"/>
    <w:rsid w:val="009F5EC4"/>
    <w:rsid w:val="009F5EDF"/>
    <w:rsid w:val="009F5FA5"/>
    <w:rsid w:val="009F7564"/>
    <w:rsid w:val="009F77EA"/>
    <w:rsid w:val="00A00CDC"/>
    <w:rsid w:val="00A019E4"/>
    <w:rsid w:val="00A01D1E"/>
    <w:rsid w:val="00A02B29"/>
    <w:rsid w:val="00A032AA"/>
    <w:rsid w:val="00A03A79"/>
    <w:rsid w:val="00A03E13"/>
    <w:rsid w:val="00A04509"/>
    <w:rsid w:val="00A0535B"/>
    <w:rsid w:val="00A05A19"/>
    <w:rsid w:val="00A063A6"/>
    <w:rsid w:val="00A066B4"/>
    <w:rsid w:val="00A06ADD"/>
    <w:rsid w:val="00A10230"/>
    <w:rsid w:val="00A108F0"/>
    <w:rsid w:val="00A11E2E"/>
    <w:rsid w:val="00A11E97"/>
    <w:rsid w:val="00A12178"/>
    <w:rsid w:val="00A1258E"/>
    <w:rsid w:val="00A12F2A"/>
    <w:rsid w:val="00A13940"/>
    <w:rsid w:val="00A13B2F"/>
    <w:rsid w:val="00A14E26"/>
    <w:rsid w:val="00A1589B"/>
    <w:rsid w:val="00A15D94"/>
    <w:rsid w:val="00A171AB"/>
    <w:rsid w:val="00A172B8"/>
    <w:rsid w:val="00A1739D"/>
    <w:rsid w:val="00A1753A"/>
    <w:rsid w:val="00A1788C"/>
    <w:rsid w:val="00A17A29"/>
    <w:rsid w:val="00A2044E"/>
    <w:rsid w:val="00A204D1"/>
    <w:rsid w:val="00A20C9F"/>
    <w:rsid w:val="00A21FAF"/>
    <w:rsid w:val="00A23BEF"/>
    <w:rsid w:val="00A243DF"/>
    <w:rsid w:val="00A2478A"/>
    <w:rsid w:val="00A24A1A"/>
    <w:rsid w:val="00A25512"/>
    <w:rsid w:val="00A25957"/>
    <w:rsid w:val="00A25BB0"/>
    <w:rsid w:val="00A26940"/>
    <w:rsid w:val="00A2694A"/>
    <w:rsid w:val="00A273B5"/>
    <w:rsid w:val="00A2799A"/>
    <w:rsid w:val="00A27FC8"/>
    <w:rsid w:val="00A3156C"/>
    <w:rsid w:val="00A31666"/>
    <w:rsid w:val="00A31781"/>
    <w:rsid w:val="00A31FAA"/>
    <w:rsid w:val="00A3237A"/>
    <w:rsid w:val="00A3244B"/>
    <w:rsid w:val="00A328C3"/>
    <w:rsid w:val="00A33255"/>
    <w:rsid w:val="00A33FF9"/>
    <w:rsid w:val="00A348CD"/>
    <w:rsid w:val="00A34A72"/>
    <w:rsid w:val="00A34B76"/>
    <w:rsid w:val="00A34FFB"/>
    <w:rsid w:val="00A3524E"/>
    <w:rsid w:val="00A354B1"/>
    <w:rsid w:val="00A358CF"/>
    <w:rsid w:val="00A36704"/>
    <w:rsid w:val="00A369B8"/>
    <w:rsid w:val="00A36F05"/>
    <w:rsid w:val="00A37558"/>
    <w:rsid w:val="00A37701"/>
    <w:rsid w:val="00A37D7A"/>
    <w:rsid w:val="00A40556"/>
    <w:rsid w:val="00A40602"/>
    <w:rsid w:val="00A40736"/>
    <w:rsid w:val="00A407E7"/>
    <w:rsid w:val="00A41579"/>
    <w:rsid w:val="00A42218"/>
    <w:rsid w:val="00A422A3"/>
    <w:rsid w:val="00A4234C"/>
    <w:rsid w:val="00A43DF4"/>
    <w:rsid w:val="00A44599"/>
    <w:rsid w:val="00A456FD"/>
    <w:rsid w:val="00A46651"/>
    <w:rsid w:val="00A46909"/>
    <w:rsid w:val="00A46A6F"/>
    <w:rsid w:val="00A50E62"/>
    <w:rsid w:val="00A515A4"/>
    <w:rsid w:val="00A51B77"/>
    <w:rsid w:val="00A52F62"/>
    <w:rsid w:val="00A53241"/>
    <w:rsid w:val="00A53478"/>
    <w:rsid w:val="00A53880"/>
    <w:rsid w:val="00A539F4"/>
    <w:rsid w:val="00A54BAD"/>
    <w:rsid w:val="00A54F03"/>
    <w:rsid w:val="00A558C5"/>
    <w:rsid w:val="00A55DE4"/>
    <w:rsid w:val="00A56A5B"/>
    <w:rsid w:val="00A574EF"/>
    <w:rsid w:val="00A575E4"/>
    <w:rsid w:val="00A57B90"/>
    <w:rsid w:val="00A600F0"/>
    <w:rsid w:val="00A602E9"/>
    <w:rsid w:val="00A60B83"/>
    <w:rsid w:val="00A610C8"/>
    <w:rsid w:val="00A61398"/>
    <w:rsid w:val="00A613D9"/>
    <w:rsid w:val="00A61954"/>
    <w:rsid w:val="00A62721"/>
    <w:rsid w:val="00A62F48"/>
    <w:rsid w:val="00A632CB"/>
    <w:rsid w:val="00A636FF"/>
    <w:rsid w:val="00A63810"/>
    <w:rsid w:val="00A63A38"/>
    <w:rsid w:val="00A63ACE"/>
    <w:rsid w:val="00A64BF4"/>
    <w:rsid w:val="00A65915"/>
    <w:rsid w:val="00A65953"/>
    <w:rsid w:val="00A65EF0"/>
    <w:rsid w:val="00A665FF"/>
    <w:rsid w:val="00A66679"/>
    <w:rsid w:val="00A71182"/>
    <w:rsid w:val="00A72105"/>
    <w:rsid w:val="00A725EE"/>
    <w:rsid w:val="00A72792"/>
    <w:rsid w:val="00A7314A"/>
    <w:rsid w:val="00A747E5"/>
    <w:rsid w:val="00A74B75"/>
    <w:rsid w:val="00A74C11"/>
    <w:rsid w:val="00A74E3F"/>
    <w:rsid w:val="00A770CD"/>
    <w:rsid w:val="00A7753E"/>
    <w:rsid w:val="00A77580"/>
    <w:rsid w:val="00A775A2"/>
    <w:rsid w:val="00A7765C"/>
    <w:rsid w:val="00A7772F"/>
    <w:rsid w:val="00A80169"/>
    <w:rsid w:val="00A80B8B"/>
    <w:rsid w:val="00A80E45"/>
    <w:rsid w:val="00A81060"/>
    <w:rsid w:val="00A81113"/>
    <w:rsid w:val="00A813BE"/>
    <w:rsid w:val="00A8143C"/>
    <w:rsid w:val="00A81A89"/>
    <w:rsid w:val="00A82DA4"/>
    <w:rsid w:val="00A835BD"/>
    <w:rsid w:val="00A83A5B"/>
    <w:rsid w:val="00A8442E"/>
    <w:rsid w:val="00A8457F"/>
    <w:rsid w:val="00A84666"/>
    <w:rsid w:val="00A84C16"/>
    <w:rsid w:val="00A85701"/>
    <w:rsid w:val="00A8617E"/>
    <w:rsid w:val="00A86B37"/>
    <w:rsid w:val="00A86C6B"/>
    <w:rsid w:val="00A86D5D"/>
    <w:rsid w:val="00A87F18"/>
    <w:rsid w:val="00A90034"/>
    <w:rsid w:val="00A90048"/>
    <w:rsid w:val="00A901E0"/>
    <w:rsid w:val="00A90BD0"/>
    <w:rsid w:val="00A9144D"/>
    <w:rsid w:val="00A91CAB"/>
    <w:rsid w:val="00A91F51"/>
    <w:rsid w:val="00A9230F"/>
    <w:rsid w:val="00A927B1"/>
    <w:rsid w:val="00A93B7C"/>
    <w:rsid w:val="00A94974"/>
    <w:rsid w:val="00A95B8A"/>
    <w:rsid w:val="00A97BA4"/>
    <w:rsid w:val="00AA0AA7"/>
    <w:rsid w:val="00AA0AFD"/>
    <w:rsid w:val="00AA226A"/>
    <w:rsid w:val="00AA2714"/>
    <w:rsid w:val="00AA3D78"/>
    <w:rsid w:val="00AA4963"/>
    <w:rsid w:val="00AA4ECA"/>
    <w:rsid w:val="00AA5744"/>
    <w:rsid w:val="00AA5833"/>
    <w:rsid w:val="00AA5D9A"/>
    <w:rsid w:val="00AA5E29"/>
    <w:rsid w:val="00AA6D10"/>
    <w:rsid w:val="00AA6DEE"/>
    <w:rsid w:val="00AA6FF0"/>
    <w:rsid w:val="00AA7182"/>
    <w:rsid w:val="00AA7310"/>
    <w:rsid w:val="00AA7FCA"/>
    <w:rsid w:val="00AB002D"/>
    <w:rsid w:val="00AB0613"/>
    <w:rsid w:val="00AB09E5"/>
    <w:rsid w:val="00AB0C27"/>
    <w:rsid w:val="00AB0FB2"/>
    <w:rsid w:val="00AB1DFC"/>
    <w:rsid w:val="00AB283D"/>
    <w:rsid w:val="00AB29F1"/>
    <w:rsid w:val="00AB2ED6"/>
    <w:rsid w:val="00AB30F9"/>
    <w:rsid w:val="00AB32F2"/>
    <w:rsid w:val="00AB3686"/>
    <w:rsid w:val="00AB3CFF"/>
    <w:rsid w:val="00AB3D19"/>
    <w:rsid w:val="00AB4FD2"/>
    <w:rsid w:val="00AB500F"/>
    <w:rsid w:val="00AB5FFF"/>
    <w:rsid w:val="00AB6697"/>
    <w:rsid w:val="00AB6A90"/>
    <w:rsid w:val="00AB6BE8"/>
    <w:rsid w:val="00AB727F"/>
    <w:rsid w:val="00AB7349"/>
    <w:rsid w:val="00AB73F3"/>
    <w:rsid w:val="00AB7418"/>
    <w:rsid w:val="00AB75DF"/>
    <w:rsid w:val="00AC02E5"/>
    <w:rsid w:val="00AC0DBA"/>
    <w:rsid w:val="00AC1E53"/>
    <w:rsid w:val="00AC1F82"/>
    <w:rsid w:val="00AC203F"/>
    <w:rsid w:val="00AC237C"/>
    <w:rsid w:val="00AC290A"/>
    <w:rsid w:val="00AC3329"/>
    <w:rsid w:val="00AC36CA"/>
    <w:rsid w:val="00AC36E7"/>
    <w:rsid w:val="00AC422F"/>
    <w:rsid w:val="00AC4BD4"/>
    <w:rsid w:val="00AC4FC1"/>
    <w:rsid w:val="00AC5156"/>
    <w:rsid w:val="00AC5772"/>
    <w:rsid w:val="00AC59F1"/>
    <w:rsid w:val="00AC7C26"/>
    <w:rsid w:val="00AC7F18"/>
    <w:rsid w:val="00AD022C"/>
    <w:rsid w:val="00AD0BF3"/>
    <w:rsid w:val="00AD0CC3"/>
    <w:rsid w:val="00AD10EF"/>
    <w:rsid w:val="00AD1A16"/>
    <w:rsid w:val="00AD301A"/>
    <w:rsid w:val="00AD319F"/>
    <w:rsid w:val="00AD34A3"/>
    <w:rsid w:val="00AD37FA"/>
    <w:rsid w:val="00AD3C9E"/>
    <w:rsid w:val="00AD4DF6"/>
    <w:rsid w:val="00AD4DFA"/>
    <w:rsid w:val="00AD4EF5"/>
    <w:rsid w:val="00AD5620"/>
    <w:rsid w:val="00AD5820"/>
    <w:rsid w:val="00AD597B"/>
    <w:rsid w:val="00AD67AC"/>
    <w:rsid w:val="00AD6E6B"/>
    <w:rsid w:val="00AD7D9D"/>
    <w:rsid w:val="00AD7E87"/>
    <w:rsid w:val="00AD7F44"/>
    <w:rsid w:val="00AE0055"/>
    <w:rsid w:val="00AE0686"/>
    <w:rsid w:val="00AE10FD"/>
    <w:rsid w:val="00AE1661"/>
    <w:rsid w:val="00AE182B"/>
    <w:rsid w:val="00AE1D5F"/>
    <w:rsid w:val="00AE24E7"/>
    <w:rsid w:val="00AE34A7"/>
    <w:rsid w:val="00AE3623"/>
    <w:rsid w:val="00AE3782"/>
    <w:rsid w:val="00AE37C5"/>
    <w:rsid w:val="00AE3E60"/>
    <w:rsid w:val="00AE54D7"/>
    <w:rsid w:val="00AE5FB1"/>
    <w:rsid w:val="00AE669A"/>
    <w:rsid w:val="00AE67CE"/>
    <w:rsid w:val="00AE6D0D"/>
    <w:rsid w:val="00AE6EA0"/>
    <w:rsid w:val="00AE77F0"/>
    <w:rsid w:val="00AE7F54"/>
    <w:rsid w:val="00AF0234"/>
    <w:rsid w:val="00AF0403"/>
    <w:rsid w:val="00AF0949"/>
    <w:rsid w:val="00AF0F02"/>
    <w:rsid w:val="00AF10F3"/>
    <w:rsid w:val="00AF1B6E"/>
    <w:rsid w:val="00AF261D"/>
    <w:rsid w:val="00AF2ED3"/>
    <w:rsid w:val="00AF30CE"/>
    <w:rsid w:val="00AF3277"/>
    <w:rsid w:val="00AF35F8"/>
    <w:rsid w:val="00AF47B8"/>
    <w:rsid w:val="00AF52D1"/>
    <w:rsid w:val="00AF5756"/>
    <w:rsid w:val="00AF576C"/>
    <w:rsid w:val="00AF5B32"/>
    <w:rsid w:val="00AF5FCE"/>
    <w:rsid w:val="00AF6272"/>
    <w:rsid w:val="00AF62E3"/>
    <w:rsid w:val="00AF6515"/>
    <w:rsid w:val="00AF659B"/>
    <w:rsid w:val="00AF65C5"/>
    <w:rsid w:val="00AF6F40"/>
    <w:rsid w:val="00AF703F"/>
    <w:rsid w:val="00AF7A65"/>
    <w:rsid w:val="00AF7E17"/>
    <w:rsid w:val="00AF7F7C"/>
    <w:rsid w:val="00B002C3"/>
    <w:rsid w:val="00B0058E"/>
    <w:rsid w:val="00B00949"/>
    <w:rsid w:val="00B00B14"/>
    <w:rsid w:val="00B015F1"/>
    <w:rsid w:val="00B02010"/>
    <w:rsid w:val="00B0213F"/>
    <w:rsid w:val="00B022B4"/>
    <w:rsid w:val="00B03748"/>
    <w:rsid w:val="00B03E30"/>
    <w:rsid w:val="00B0477D"/>
    <w:rsid w:val="00B04E19"/>
    <w:rsid w:val="00B04FB0"/>
    <w:rsid w:val="00B05383"/>
    <w:rsid w:val="00B0591B"/>
    <w:rsid w:val="00B06407"/>
    <w:rsid w:val="00B06BD5"/>
    <w:rsid w:val="00B06E2B"/>
    <w:rsid w:val="00B06F63"/>
    <w:rsid w:val="00B07850"/>
    <w:rsid w:val="00B078CB"/>
    <w:rsid w:val="00B0791A"/>
    <w:rsid w:val="00B10CEC"/>
    <w:rsid w:val="00B11244"/>
    <w:rsid w:val="00B11601"/>
    <w:rsid w:val="00B127C8"/>
    <w:rsid w:val="00B12C94"/>
    <w:rsid w:val="00B12E88"/>
    <w:rsid w:val="00B1369A"/>
    <w:rsid w:val="00B1395F"/>
    <w:rsid w:val="00B13DD6"/>
    <w:rsid w:val="00B14B0E"/>
    <w:rsid w:val="00B14FD0"/>
    <w:rsid w:val="00B153BC"/>
    <w:rsid w:val="00B164C3"/>
    <w:rsid w:val="00B169C8"/>
    <w:rsid w:val="00B171EE"/>
    <w:rsid w:val="00B17223"/>
    <w:rsid w:val="00B17804"/>
    <w:rsid w:val="00B17FEC"/>
    <w:rsid w:val="00B201BB"/>
    <w:rsid w:val="00B2075E"/>
    <w:rsid w:val="00B20831"/>
    <w:rsid w:val="00B20A3F"/>
    <w:rsid w:val="00B20ED7"/>
    <w:rsid w:val="00B21CDF"/>
    <w:rsid w:val="00B21CFA"/>
    <w:rsid w:val="00B21FDF"/>
    <w:rsid w:val="00B220B7"/>
    <w:rsid w:val="00B22185"/>
    <w:rsid w:val="00B22681"/>
    <w:rsid w:val="00B2285A"/>
    <w:rsid w:val="00B22EE5"/>
    <w:rsid w:val="00B232B9"/>
    <w:rsid w:val="00B23500"/>
    <w:rsid w:val="00B24C66"/>
    <w:rsid w:val="00B24F44"/>
    <w:rsid w:val="00B25CF9"/>
    <w:rsid w:val="00B2622C"/>
    <w:rsid w:val="00B26340"/>
    <w:rsid w:val="00B265BD"/>
    <w:rsid w:val="00B268D3"/>
    <w:rsid w:val="00B27B2C"/>
    <w:rsid w:val="00B311CE"/>
    <w:rsid w:val="00B31282"/>
    <w:rsid w:val="00B317DF"/>
    <w:rsid w:val="00B31CFD"/>
    <w:rsid w:val="00B320B3"/>
    <w:rsid w:val="00B32B18"/>
    <w:rsid w:val="00B331BA"/>
    <w:rsid w:val="00B33289"/>
    <w:rsid w:val="00B33321"/>
    <w:rsid w:val="00B338C8"/>
    <w:rsid w:val="00B33C19"/>
    <w:rsid w:val="00B3445C"/>
    <w:rsid w:val="00B352D7"/>
    <w:rsid w:val="00B35A85"/>
    <w:rsid w:val="00B35C21"/>
    <w:rsid w:val="00B35D3F"/>
    <w:rsid w:val="00B36904"/>
    <w:rsid w:val="00B37ADA"/>
    <w:rsid w:val="00B37DB2"/>
    <w:rsid w:val="00B37E58"/>
    <w:rsid w:val="00B403D7"/>
    <w:rsid w:val="00B4056E"/>
    <w:rsid w:val="00B40D04"/>
    <w:rsid w:val="00B40DD8"/>
    <w:rsid w:val="00B41E4E"/>
    <w:rsid w:val="00B41EDA"/>
    <w:rsid w:val="00B41FCC"/>
    <w:rsid w:val="00B41FE7"/>
    <w:rsid w:val="00B42D27"/>
    <w:rsid w:val="00B43728"/>
    <w:rsid w:val="00B43854"/>
    <w:rsid w:val="00B43BC7"/>
    <w:rsid w:val="00B44031"/>
    <w:rsid w:val="00B44F73"/>
    <w:rsid w:val="00B45507"/>
    <w:rsid w:val="00B46784"/>
    <w:rsid w:val="00B47059"/>
    <w:rsid w:val="00B4713A"/>
    <w:rsid w:val="00B4775E"/>
    <w:rsid w:val="00B47760"/>
    <w:rsid w:val="00B501EA"/>
    <w:rsid w:val="00B5021C"/>
    <w:rsid w:val="00B5291A"/>
    <w:rsid w:val="00B52B3A"/>
    <w:rsid w:val="00B52D02"/>
    <w:rsid w:val="00B538DF"/>
    <w:rsid w:val="00B5414C"/>
    <w:rsid w:val="00B54F94"/>
    <w:rsid w:val="00B55395"/>
    <w:rsid w:val="00B55543"/>
    <w:rsid w:val="00B56617"/>
    <w:rsid w:val="00B576D5"/>
    <w:rsid w:val="00B57935"/>
    <w:rsid w:val="00B57A78"/>
    <w:rsid w:val="00B60412"/>
    <w:rsid w:val="00B60E93"/>
    <w:rsid w:val="00B60FCB"/>
    <w:rsid w:val="00B6270B"/>
    <w:rsid w:val="00B63750"/>
    <w:rsid w:val="00B63E21"/>
    <w:rsid w:val="00B64BAE"/>
    <w:rsid w:val="00B65A75"/>
    <w:rsid w:val="00B65A91"/>
    <w:rsid w:val="00B662CF"/>
    <w:rsid w:val="00B6645F"/>
    <w:rsid w:val="00B67326"/>
    <w:rsid w:val="00B70097"/>
    <w:rsid w:val="00B70102"/>
    <w:rsid w:val="00B70215"/>
    <w:rsid w:val="00B70D38"/>
    <w:rsid w:val="00B71B39"/>
    <w:rsid w:val="00B72B20"/>
    <w:rsid w:val="00B72C0C"/>
    <w:rsid w:val="00B72C3B"/>
    <w:rsid w:val="00B73453"/>
    <w:rsid w:val="00B734B8"/>
    <w:rsid w:val="00B7470F"/>
    <w:rsid w:val="00B7502C"/>
    <w:rsid w:val="00B755C0"/>
    <w:rsid w:val="00B7585E"/>
    <w:rsid w:val="00B75AF6"/>
    <w:rsid w:val="00B7749F"/>
    <w:rsid w:val="00B77980"/>
    <w:rsid w:val="00B77BC6"/>
    <w:rsid w:val="00B80341"/>
    <w:rsid w:val="00B80A22"/>
    <w:rsid w:val="00B80FC7"/>
    <w:rsid w:val="00B81DED"/>
    <w:rsid w:val="00B81F04"/>
    <w:rsid w:val="00B830B2"/>
    <w:rsid w:val="00B84011"/>
    <w:rsid w:val="00B8414E"/>
    <w:rsid w:val="00B848D5"/>
    <w:rsid w:val="00B84AE4"/>
    <w:rsid w:val="00B84B7F"/>
    <w:rsid w:val="00B850CC"/>
    <w:rsid w:val="00B87BF9"/>
    <w:rsid w:val="00B905B0"/>
    <w:rsid w:val="00B91E97"/>
    <w:rsid w:val="00B9203F"/>
    <w:rsid w:val="00B92524"/>
    <w:rsid w:val="00B9292A"/>
    <w:rsid w:val="00B929FC"/>
    <w:rsid w:val="00B93519"/>
    <w:rsid w:val="00B93571"/>
    <w:rsid w:val="00B93D25"/>
    <w:rsid w:val="00B94042"/>
    <w:rsid w:val="00B94161"/>
    <w:rsid w:val="00B94EDF"/>
    <w:rsid w:val="00B94F66"/>
    <w:rsid w:val="00B95288"/>
    <w:rsid w:val="00B960F0"/>
    <w:rsid w:val="00B962C9"/>
    <w:rsid w:val="00B96340"/>
    <w:rsid w:val="00B96367"/>
    <w:rsid w:val="00B963BB"/>
    <w:rsid w:val="00B96424"/>
    <w:rsid w:val="00B96BD8"/>
    <w:rsid w:val="00B96C08"/>
    <w:rsid w:val="00B96C72"/>
    <w:rsid w:val="00B97223"/>
    <w:rsid w:val="00B9734B"/>
    <w:rsid w:val="00BA1497"/>
    <w:rsid w:val="00BA1656"/>
    <w:rsid w:val="00BA23CA"/>
    <w:rsid w:val="00BA2CA6"/>
    <w:rsid w:val="00BA2CB3"/>
    <w:rsid w:val="00BA2F24"/>
    <w:rsid w:val="00BA355D"/>
    <w:rsid w:val="00BA3603"/>
    <w:rsid w:val="00BA3652"/>
    <w:rsid w:val="00BA3FAC"/>
    <w:rsid w:val="00BA4CCF"/>
    <w:rsid w:val="00BA5566"/>
    <w:rsid w:val="00BA5627"/>
    <w:rsid w:val="00BA5720"/>
    <w:rsid w:val="00BA60E6"/>
    <w:rsid w:val="00BA6152"/>
    <w:rsid w:val="00BA6388"/>
    <w:rsid w:val="00BA7950"/>
    <w:rsid w:val="00BA7BA6"/>
    <w:rsid w:val="00BB050F"/>
    <w:rsid w:val="00BB0748"/>
    <w:rsid w:val="00BB0B1F"/>
    <w:rsid w:val="00BB0B50"/>
    <w:rsid w:val="00BB0DFC"/>
    <w:rsid w:val="00BB0F46"/>
    <w:rsid w:val="00BB1168"/>
    <w:rsid w:val="00BB1BDA"/>
    <w:rsid w:val="00BB1C5B"/>
    <w:rsid w:val="00BB23F2"/>
    <w:rsid w:val="00BB2443"/>
    <w:rsid w:val="00BB2DF7"/>
    <w:rsid w:val="00BB3DE1"/>
    <w:rsid w:val="00BB4C0D"/>
    <w:rsid w:val="00BB52EC"/>
    <w:rsid w:val="00BB5F1D"/>
    <w:rsid w:val="00BB5FD5"/>
    <w:rsid w:val="00BB6533"/>
    <w:rsid w:val="00BB7498"/>
    <w:rsid w:val="00BB7DB3"/>
    <w:rsid w:val="00BC1241"/>
    <w:rsid w:val="00BC18A3"/>
    <w:rsid w:val="00BC29CE"/>
    <w:rsid w:val="00BC29F3"/>
    <w:rsid w:val="00BC2C77"/>
    <w:rsid w:val="00BC40E9"/>
    <w:rsid w:val="00BC5CB8"/>
    <w:rsid w:val="00BD0387"/>
    <w:rsid w:val="00BD1166"/>
    <w:rsid w:val="00BD19F7"/>
    <w:rsid w:val="00BD1FC2"/>
    <w:rsid w:val="00BD2D3D"/>
    <w:rsid w:val="00BD2E47"/>
    <w:rsid w:val="00BD4008"/>
    <w:rsid w:val="00BD413E"/>
    <w:rsid w:val="00BD47B1"/>
    <w:rsid w:val="00BD4CB5"/>
    <w:rsid w:val="00BD6351"/>
    <w:rsid w:val="00BD6B1B"/>
    <w:rsid w:val="00BD71B9"/>
    <w:rsid w:val="00BD71E8"/>
    <w:rsid w:val="00BD7262"/>
    <w:rsid w:val="00BD72B8"/>
    <w:rsid w:val="00BE0045"/>
    <w:rsid w:val="00BE01C3"/>
    <w:rsid w:val="00BE06F1"/>
    <w:rsid w:val="00BE0A08"/>
    <w:rsid w:val="00BE1381"/>
    <w:rsid w:val="00BE1D09"/>
    <w:rsid w:val="00BE1D11"/>
    <w:rsid w:val="00BE21ED"/>
    <w:rsid w:val="00BE2A46"/>
    <w:rsid w:val="00BE2F88"/>
    <w:rsid w:val="00BE330F"/>
    <w:rsid w:val="00BE373D"/>
    <w:rsid w:val="00BE396D"/>
    <w:rsid w:val="00BE3A7D"/>
    <w:rsid w:val="00BE3AF2"/>
    <w:rsid w:val="00BE3E02"/>
    <w:rsid w:val="00BE3E8A"/>
    <w:rsid w:val="00BE3F05"/>
    <w:rsid w:val="00BE3F91"/>
    <w:rsid w:val="00BE438F"/>
    <w:rsid w:val="00BE45ED"/>
    <w:rsid w:val="00BE46B7"/>
    <w:rsid w:val="00BE5717"/>
    <w:rsid w:val="00BE5916"/>
    <w:rsid w:val="00BE5F67"/>
    <w:rsid w:val="00BE6B87"/>
    <w:rsid w:val="00BE729F"/>
    <w:rsid w:val="00BE798E"/>
    <w:rsid w:val="00BE7B07"/>
    <w:rsid w:val="00BE7B59"/>
    <w:rsid w:val="00BE7E93"/>
    <w:rsid w:val="00BF01F2"/>
    <w:rsid w:val="00BF0908"/>
    <w:rsid w:val="00BF167F"/>
    <w:rsid w:val="00BF220A"/>
    <w:rsid w:val="00BF28B2"/>
    <w:rsid w:val="00BF2BFC"/>
    <w:rsid w:val="00BF2F6B"/>
    <w:rsid w:val="00BF3DA1"/>
    <w:rsid w:val="00BF3FCD"/>
    <w:rsid w:val="00BF4A7E"/>
    <w:rsid w:val="00BF4D14"/>
    <w:rsid w:val="00BF5454"/>
    <w:rsid w:val="00BF58E8"/>
    <w:rsid w:val="00BF6499"/>
    <w:rsid w:val="00BF6AAA"/>
    <w:rsid w:val="00BF73CF"/>
    <w:rsid w:val="00BF7E52"/>
    <w:rsid w:val="00C00D7B"/>
    <w:rsid w:val="00C01197"/>
    <w:rsid w:val="00C0147A"/>
    <w:rsid w:val="00C017B1"/>
    <w:rsid w:val="00C02238"/>
    <w:rsid w:val="00C0253C"/>
    <w:rsid w:val="00C02FED"/>
    <w:rsid w:val="00C03551"/>
    <w:rsid w:val="00C03BF7"/>
    <w:rsid w:val="00C03E33"/>
    <w:rsid w:val="00C041FA"/>
    <w:rsid w:val="00C042A9"/>
    <w:rsid w:val="00C04866"/>
    <w:rsid w:val="00C04BFE"/>
    <w:rsid w:val="00C0503E"/>
    <w:rsid w:val="00C05604"/>
    <w:rsid w:val="00C05B20"/>
    <w:rsid w:val="00C05F50"/>
    <w:rsid w:val="00C06049"/>
    <w:rsid w:val="00C063FD"/>
    <w:rsid w:val="00C06E8F"/>
    <w:rsid w:val="00C078B7"/>
    <w:rsid w:val="00C10080"/>
    <w:rsid w:val="00C10152"/>
    <w:rsid w:val="00C102AC"/>
    <w:rsid w:val="00C106B2"/>
    <w:rsid w:val="00C108AF"/>
    <w:rsid w:val="00C10991"/>
    <w:rsid w:val="00C10B3A"/>
    <w:rsid w:val="00C11246"/>
    <w:rsid w:val="00C1139F"/>
    <w:rsid w:val="00C120C2"/>
    <w:rsid w:val="00C12108"/>
    <w:rsid w:val="00C128E6"/>
    <w:rsid w:val="00C135DF"/>
    <w:rsid w:val="00C137DF"/>
    <w:rsid w:val="00C13F4C"/>
    <w:rsid w:val="00C14E26"/>
    <w:rsid w:val="00C153F2"/>
    <w:rsid w:val="00C16B70"/>
    <w:rsid w:val="00C17C11"/>
    <w:rsid w:val="00C20B58"/>
    <w:rsid w:val="00C227F6"/>
    <w:rsid w:val="00C228BE"/>
    <w:rsid w:val="00C22BA7"/>
    <w:rsid w:val="00C23588"/>
    <w:rsid w:val="00C235DA"/>
    <w:rsid w:val="00C23AA0"/>
    <w:rsid w:val="00C23FF2"/>
    <w:rsid w:val="00C24332"/>
    <w:rsid w:val="00C2453A"/>
    <w:rsid w:val="00C249C2"/>
    <w:rsid w:val="00C24ADD"/>
    <w:rsid w:val="00C24ED1"/>
    <w:rsid w:val="00C26150"/>
    <w:rsid w:val="00C2665D"/>
    <w:rsid w:val="00C27768"/>
    <w:rsid w:val="00C27B9B"/>
    <w:rsid w:val="00C30614"/>
    <w:rsid w:val="00C3069E"/>
    <w:rsid w:val="00C30AB9"/>
    <w:rsid w:val="00C30CFC"/>
    <w:rsid w:val="00C31481"/>
    <w:rsid w:val="00C31720"/>
    <w:rsid w:val="00C319AF"/>
    <w:rsid w:val="00C31C71"/>
    <w:rsid w:val="00C32336"/>
    <w:rsid w:val="00C32596"/>
    <w:rsid w:val="00C33255"/>
    <w:rsid w:val="00C3336C"/>
    <w:rsid w:val="00C34D73"/>
    <w:rsid w:val="00C3630A"/>
    <w:rsid w:val="00C36AD0"/>
    <w:rsid w:val="00C37017"/>
    <w:rsid w:val="00C37B29"/>
    <w:rsid w:val="00C40B32"/>
    <w:rsid w:val="00C40B8A"/>
    <w:rsid w:val="00C40C8A"/>
    <w:rsid w:val="00C41026"/>
    <w:rsid w:val="00C42551"/>
    <w:rsid w:val="00C42835"/>
    <w:rsid w:val="00C430D7"/>
    <w:rsid w:val="00C44097"/>
    <w:rsid w:val="00C44350"/>
    <w:rsid w:val="00C4477D"/>
    <w:rsid w:val="00C44B9A"/>
    <w:rsid w:val="00C453A2"/>
    <w:rsid w:val="00C45E4F"/>
    <w:rsid w:val="00C465C3"/>
    <w:rsid w:val="00C46915"/>
    <w:rsid w:val="00C469F5"/>
    <w:rsid w:val="00C46C73"/>
    <w:rsid w:val="00C46D1F"/>
    <w:rsid w:val="00C47B2B"/>
    <w:rsid w:val="00C47DE7"/>
    <w:rsid w:val="00C47EBE"/>
    <w:rsid w:val="00C504A6"/>
    <w:rsid w:val="00C5057B"/>
    <w:rsid w:val="00C50675"/>
    <w:rsid w:val="00C512B2"/>
    <w:rsid w:val="00C51FBA"/>
    <w:rsid w:val="00C52A23"/>
    <w:rsid w:val="00C52A40"/>
    <w:rsid w:val="00C52E22"/>
    <w:rsid w:val="00C531B0"/>
    <w:rsid w:val="00C5361F"/>
    <w:rsid w:val="00C538C0"/>
    <w:rsid w:val="00C53986"/>
    <w:rsid w:val="00C53C04"/>
    <w:rsid w:val="00C54308"/>
    <w:rsid w:val="00C5460E"/>
    <w:rsid w:val="00C54A42"/>
    <w:rsid w:val="00C54BF1"/>
    <w:rsid w:val="00C54D8E"/>
    <w:rsid w:val="00C55A27"/>
    <w:rsid w:val="00C57BEF"/>
    <w:rsid w:val="00C603B4"/>
    <w:rsid w:val="00C6099C"/>
    <w:rsid w:val="00C60C4D"/>
    <w:rsid w:val="00C60EBF"/>
    <w:rsid w:val="00C61924"/>
    <w:rsid w:val="00C61930"/>
    <w:rsid w:val="00C61E48"/>
    <w:rsid w:val="00C622CE"/>
    <w:rsid w:val="00C63993"/>
    <w:rsid w:val="00C63C34"/>
    <w:rsid w:val="00C64A38"/>
    <w:rsid w:val="00C650C1"/>
    <w:rsid w:val="00C6547E"/>
    <w:rsid w:val="00C66024"/>
    <w:rsid w:val="00C661A2"/>
    <w:rsid w:val="00C66375"/>
    <w:rsid w:val="00C67177"/>
    <w:rsid w:val="00C708D4"/>
    <w:rsid w:val="00C720E0"/>
    <w:rsid w:val="00C72385"/>
    <w:rsid w:val="00C725A8"/>
    <w:rsid w:val="00C72BC6"/>
    <w:rsid w:val="00C72D8C"/>
    <w:rsid w:val="00C72DC3"/>
    <w:rsid w:val="00C7322F"/>
    <w:rsid w:val="00C7399B"/>
    <w:rsid w:val="00C75148"/>
    <w:rsid w:val="00C75334"/>
    <w:rsid w:val="00C760EB"/>
    <w:rsid w:val="00C765F3"/>
    <w:rsid w:val="00C76DF1"/>
    <w:rsid w:val="00C77D9B"/>
    <w:rsid w:val="00C77DA0"/>
    <w:rsid w:val="00C77DFA"/>
    <w:rsid w:val="00C800F5"/>
    <w:rsid w:val="00C80134"/>
    <w:rsid w:val="00C80430"/>
    <w:rsid w:val="00C8043C"/>
    <w:rsid w:val="00C80A11"/>
    <w:rsid w:val="00C83089"/>
    <w:rsid w:val="00C8326B"/>
    <w:rsid w:val="00C8361A"/>
    <w:rsid w:val="00C83DC1"/>
    <w:rsid w:val="00C84153"/>
    <w:rsid w:val="00C84566"/>
    <w:rsid w:val="00C84628"/>
    <w:rsid w:val="00C84B59"/>
    <w:rsid w:val="00C8574A"/>
    <w:rsid w:val="00C86AEA"/>
    <w:rsid w:val="00C87A0E"/>
    <w:rsid w:val="00C87A24"/>
    <w:rsid w:val="00C914F2"/>
    <w:rsid w:val="00C91F77"/>
    <w:rsid w:val="00C927DD"/>
    <w:rsid w:val="00C9281B"/>
    <w:rsid w:val="00C92ECC"/>
    <w:rsid w:val="00C9379F"/>
    <w:rsid w:val="00C9446C"/>
    <w:rsid w:val="00C94B79"/>
    <w:rsid w:val="00C94BD8"/>
    <w:rsid w:val="00C94C38"/>
    <w:rsid w:val="00C95016"/>
    <w:rsid w:val="00C95D11"/>
    <w:rsid w:val="00C95E5D"/>
    <w:rsid w:val="00C95FC8"/>
    <w:rsid w:val="00C96897"/>
    <w:rsid w:val="00C96BB7"/>
    <w:rsid w:val="00CA04B0"/>
    <w:rsid w:val="00CA10C3"/>
    <w:rsid w:val="00CA12CE"/>
    <w:rsid w:val="00CA152C"/>
    <w:rsid w:val="00CA2069"/>
    <w:rsid w:val="00CA2A9A"/>
    <w:rsid w:val="00CA3591"/>
    <w:rsid w:val="00CA4AB1"/>
    <w:rsid w:val="00CA4F66"/>
    <w:rsid w:val="00CA512C"/>
    <w:rsid w:val="00CA5843"/>
    <w:rsid w:val="00CA5ADF"/>
    <w:rsid w:val="00CA6678"/>
    <w:rsid w:val="00CA6BEC"/>
    <w:rsid w:val="00CA7122"/>
    <w:rsid w:val="00CA73C8"/>
    <w:rsid w:val="00CA746D"/>
    <w:rsid w:val="00CA7908"/>
    <w:rsid w:val="00CA7B90"/>
    <w:rsid w:val="00CA7FFD"/>
    <w:rsid w:val="00CB077F"/>
    <w:rsid w:val="00CB0F9E"/>
    <w:rsid w:val="00CB1922"/>
    <w:rsid w:val="00CB2DBC"/>
    <w:rsid w:val="00CB2FEF"/>
    <w:rsid w:val="00CB3CBC"/>
    <w:rsid w:val="00CB42D5"/>
    <w:rsid w:val="00CB4AC6"/>
    <w:rsid w:val="00CB4B69"/>
    <w:rsid w:val="00CB5DF0"/>
    <w:rsid w:val="00CB5F5F"/>
    <w:rsid w:val="00CB62CF"/>
    <w:rsid w:val="00CB70F0"/>
    <w:rsid w:val="00CB7107"/>
    <w:rsid w:val="00CB75FA"/>
    <w:rsid w:val="00CB7F9D"/>
    <w:rsid w:val="00CB7FDA"/>
    <w:rsid w:val="00CC018B"/>
    <w:rsid w:val="00CC0266"/>
    <w:rsid w:val="00CC0CE5"/>
    <w:rsid w:val="00CC1724"/>
    <w:rsid w:val="00CC19CE"/>
    <w:rsid w:val="00CC1A2E"/>
    <w:rsid w:val="00CC22BF"/>
    <w:rsid w:val="00CC25D7"/>
    <w:rsid w:val="00CC2825"/>
    <w:rsid w:val="00CC2CE0"/>
    <w:rsid w:val="00CC3100"/>
    <w:rsid w:val="00CC36E1"/>
    <w:rsid w:val="00CC3A20"/>
    <w:rsid w:val="00CC4310"/>
    <w:rsid w:val="00CC5334"/>
    <w:rsid w:val="00CC636B"/>
    <w:rsid w:val="00CC68C9"/>
    <w:rsid w:val="00CC69A5"/>
    <w:rsid w:val="00CC6AF2"/>
    <w:rsid w:val="00CC6F13"/>
    <w:rsid w:val="00CD049D"/>
    <w:rsid w:val="00CD0567"/>
    <w:rsid w:val="00CD0E01"/>
    <w:rsid w:val="00CD1219"/>
    <w:rsid w:val="00CD1CB5"/>
    <w:rsid w:val="00CD25B6"/>
    <w:rsid w:val="00CD2D47"/>
    <w:rsid w:val="00CD2DF4"/>
    <w:rsid w:val="00CD3495"/>
    <w:rsid w:val="00CD39C4"/>
    <w:rsid w:val="00CD3B20"/>
    <w:rsid w:val="00CD4664"/>
    <w:rsid w:val="00CD5783"/>
    <w:rsid w:val="00CD69DD"/>
    <w:rsid w:val="00CD6ECD"/>
    <w:rsid w:val="00CD6EE8"/>
    <w:rsid w:val="00CD7742"/>
    <w:rsid w:val="00CE0DA6"/>
    <w:rsid w:val="00CE145C"/>
    <w:rsid w:val="00CE1B9A"/>
    <w:rsid w:val="00CE2A5F"/>
    <w:rsid w:val="00CE38E0"/>
    <w:rsid w:val="00CE448F"/>
    <w:rsid w:val="00CE5AC5"/>
    <w:rsid w:val="00CE60B3"/>
    <w:rsid w:val="00CE6A86"/>
    <w:rsid w:val="00CE6F90"/>
    <w:rsid w:val="00CE7424"/>
    <w:rsid w:val="00CE7594"/>
    <w:rsid w:val="00CF0930"/>
    <w:rsid w:val="00CF0947"/>
    <w:rsid w:val="00CF099C"/>
    <w:rsid w:val="00CF09D1"/>
    <w:rsid w:val="00CF0E09"/>
    <w:rsid w:val="00CF1000"/>
    <w:rsid w:val="00CF1463"/>
    <w:rsid w:val="00CF19F3"/>
    <w:rsid w:val="00CF1BEA"/>
    <w:rsid w:val="00CF2836"/>
    <w:rsid w:val="00CF3859"/>
    <w:rsid w:val="00CF46A9"/>
    <w:rsid w:val="00CF605B"/>
    <w:rsid w:val="00CF68ED"/>
    <w:rsid w:val="00CF7502"/>
    <w:rsid w:val="00CF76B6"/>
    <w:rsid w:val="00CF7F8C"/>
    <w:rsid w:val="00D00902"/>
    <w:rsid w:val="00D00AA7"/>
    <w:rsid w:val="00D00E28"/>
    <w:rsid w:val="00D012E3"/>
    <w:rsid w:val="00D013DB"/>
    <w:rsid w:val="00D02B34"/>
    <w:rsid w:val="00D03247"/>
    <w:rsid w:val="00D03A1A"/>
    <w:rsid w:val="00D03A95"/>
    <w:rsid w:val="00D03C57"/>
    <w:rsid w:val="00D04491"/>
    <w:rsid w:val="00D04B8B"/>
    <w:rsid w:val="00D04B95"/>
    <w:rsid w:val="00D04F6E"/>
    <w:rsid w:val="00D06E04"/>
    <w:rsid w:val="00D072C4"/>
    <w:rsid w:val="00D072C9"/>
    <w:rsid w:val="00D073D4"/>
    <w:rsid w:val="00D07B1E"/>
    <w:rsid w:val="00D10F9B"/>
    <w:rsid w:val="00D11391"/>
    <w:rsid w:val="00D127D4"/>
    <w:rsid w:val="00D127EF"/>
    <w:rsid w:val="00D131DD"/>
    <w:rsid w:val="00D13494"/>
    <w:rsid w:val="00D1367C"/>
    <w:rsid w:val="00D13CA6"/>
    <w:rsid w:val="00D13E25"/>
    <w:rsid w:val="00D1413F"/>
    <w:rsid w:val="00D142BE"/>
    <w:rsid w:val="00D15352"/>
    <w:rsid w:val="00D155B4"/>
    <w:rsid w:val="00D155B6"/>
    <w:rsid w:val="00D15749"/>
    <w:rsid w:val="00D16440"/>
    <w:rsid w:val="00D1669E"/>
    <w:rsid w:val="00D16A42"/>
    <w:rsid w:val="00D1719E"/>
    <w:rsid w:val="00D172A3"/>
    <w:rsid w:val="00D178EB"/>
    <w:rsid w:val="00D203D6"/>
    <w:rsid w:val="00D2081F"/>
    <w:rsid w:val="00D20A1D"/>
    <w:rsid w:val="00D2163B"/>
    <w:rsid w:val="00D21F94"/>
    <w:rsid w:val="00D2224D"/>
    <w:rsid w:val="00D22759"/>
    <w:rsid w:val="00D22C09"/>
    <w:rsid w:val="00D2346E"/>
    <w:rsid w:val="00D2379F"/>
    <w:rsid w:val="00D237EF"/>
    <w:rsid w:val="00D23B88"/>
    <w:rsid w:val="00D23FF8"/>
    <w:rsid w:val="00D24344"/>
    <w:rsid w:val="00D24C2A"/>
    <w:rsid w:val="00D24E10"/>
    <w:rsid w:val="00D25353"/>
    <w:rsid w:val="00D257E0"/>
    <w:rsid w:val="00D25BAC"/>
    <w:rsid w:val="00D26513"/>
    <w:rsid w:val="00D2666E"/>
    <w:rsid w:val="00D26A97"/>
    <w:rsid w:val="00D276C3"/>
    <w:rsid w:val="00D27744"/>
    <w:rsid w:val="00D30367"/>
    <w:rsid w:val="00D3075B"/>
    <w:rsid w:val="00D31164"/>
    <w:rsid w:val="00D316F7"/>
    <w:rsid w:val="00D31730"/>
    <w:rsid w:val="00D3179C"/>
    <w:rsid w:val="00D31B90"/>
    <w:rsid w:val="00D32B8A"/>
    <w:rsid w:val="00D3306E"/>
    <w:rsid w:val="00D337D6"/>
    <w:rsid w:val="00D33D7E"/>
    <w:rsid w:val="00D34454"/>
    <w:rsid w:val="00D344F0"/>
    <w:rsid w:val="00D34541"/>
    <w:rsid w:val="00D351DE"/>
    <w:rsid w:val="00D3560A"/>
    <w:rsid w:val="00D356DB"/>
    <w:rsid w:val="00D362B5"/>
    <w:rsid w:val="00D362E0"/>
    <w:rsid w:val="00D36EC9"/>
    <w:rsid w:val="00D374AF"/>
    <w:rsid w:val="00D377E5"/>
    <w:rsid w:val="00D3797E"/>
    <w:rsid w:val="00D4014B"/>
    <w:rsid w:val="00D4061B"/>
    <w:rsid w:val="00D4146C"/>
    <w:rsid w:val="00D416AB"/>
    <w:rsid w:val="00D42489"/>
    <w:rsid w:val="00D428E5"/>
    <w:rsid w:val="00D42EF8"/>
    <w:rsid w:val="00D430A8"/>
    <w:rsid w:val="00D435C0"/>
    <w:rsid w:val="00D436EC"/>
    <w:rsid w:val="00D4380C"/>
    <w:rsid w:val="00D44881"/>
    <w:rsid w:val="00D44BB7"/>
    <w:rsid w:val="00D459D5"/>
    <w:rsid w:val="00D45BE9"/>
    <w:rsid w:val="00D45D5E"/>
    <w:rsid w:val="00D465EF"/>
    <w:rsid w:val="00D4669C"/>
    <w:rsid w:val="00D47957"/>
    <w:rsid w:val="00D479D7"/>
    <w:rsid w:val="00D501C8"/>
    <w:rsid w:val="00D501EC"/>
    <w:rsid w:val="00D514E6"/>
    <w:rsid w:val="00D5155B"/>
    <w:rsid w:val="00D52E3F"/>
    <w:rsid w:val="00D52FAF"/>
    <w:rsid w:val="00D5359A"/>
    <w:rsid w:val="00D53C13"/>
    <w:rsid w:val="00D53DF1"/>
    <w:rsid w:val="00D53EF7"/>
    <w:rsid w:val="00D5410E"/>
    <w:rsid w:val="00D545EC"/>
    <w:rsid w:val="00D54B84"/>
    <w:rsid w:val="00D550C5"/>
    <w:rsid w:val="00D55984"/>
    <w:rsid w:val="00D55F85"/>
    <w:rsid w:val="00D56B5C"/>
    <w:rsid w:val="00D56DAF"/>
    <w:rsid w:val="00D577E1"/>
    <w:rsid w:val="00D579AA"/>
    <w:rsid w:val="00D57DF0"/>
    <w:rsid w:val="00D6000D"/>
    <w:rsid w:val="00D604BD"/>
    <w:rsid w:val="00D60D0A"/>
    <w:rsid w:val="00D62BAE"/>
    <w:rsid w:val="00D62E50"/>
    <w:rsid w:val="00D630C1"/>
    <w:rsid w:val="00D6325A"/>
    <w:rsid w:val="00D633CA"/>
    <w:rsid w:val="00D6380E"/>
    <w:rsid w:val="00D638BC"/>
    <w:rsid w:val="00D63E9C"/>
    <w:rsid w:val="00D643A9"/>
    <w:rsid w:val="00D6451F"/>
    <w:rsid w:val="00D652F9"/>
    <w:rsid w:val="00D65A12"/>
    <w:rsid w:val="00D66EE2"/>
    <w:rsid w:val="00D67502"/>
    <w:rsid w:val="00D67C8C"/>
    <w:rsid w:val="00D71504"/>
    <w:rsid w:val="00D718D1"/>
    <w:rsid w:val="00D71C36"/>
    <w:rsid w:val="00D72E31"/>
    <w:rsid w:val="00D73A7D"/>
    <w:rsid w:val="00D73B01"/>
    <w:rsid w:val="00D73B93"/>
    <w:rsid w:val="00D74AE0"/>
    <w:rsid w:val="00D74CB8"/>
    <w:rsid w:val="00D7544D"/>
    <w:rsid w:val="00D7583D"/>
    <w:rsid w:val="00D77143"/>
    <w:rsid w:val="00D77163"/>
    <w:rsid w:val="00D778DF"/>
    <w:rsid w:val="00D80E7B"/>
    <w:rsid w:val="00D81511"/>
    <w:rsid w:val="00D81732"/>
    <w:rsid w:val="00D819EE"/>
    <w:rsid w:val="00D81A8B"/>
    <w:rsid w:val="00D81C30"/>
    <w:rsid w:val="00D82F97"/>
    <w:rsid w:val="00D839D5"/>
    <w:rsid w:val="00D83BE9"/>
    <w:rsid w:val="00D84181"/>
    <w:rsid w:val="00D841BF"/>
    <w:rsid w:val="00D8449D"/>
    <w:rsid w:val="00D84647"/>
    <w:rsid w:val="00D84BAD"/>
    <w:rsid w:val="00D85516"/>
    <w:rsid w:val="00D8688B"/>
    <w:rsid w:val="00D86991"/>
    <w:rsid w:val="00D87A6F"/>
    <w:rsid w:val="00D87F82"/>
    <w:rsid w:val="00D92047"/>
    <w:rsid w:val="00D92A82"/>
    <w:rsid w:val="00D92D89"/>
    <w:rsid w:val="00D92F55"/>
    <w:rsid w:val="00D9359A"/>
    <w:rsid w:val="00D939B8"/>
    <w:rsid w:val="00D93EE3"/>
    <w:rsid w:val="00D94094"/>
    <w:rsid w:val="00D9464A"/>
    <w:rsid w:val="00D95F8B"/>
    <w:rsid w:val="00D965D5"/>
    <w:rsid w:val="00D96844"/>
    <w:rsid w:val="00D968ED"/>
    <w:rsid w:val="00D96A0D"/>
    <w:rsid w:val="00D97896"/>
    <w:rsid w:val="00D97E62"/>
    <w:rsid w:val="00DA02B8"/>
    <w:rsid w:val="00DA0D91"/>
    <w:rsid w:val="00DA10CE"/>
    <w:rsid w:val="00DA1551"/>
    <w:rsid w:val="00DA1BA9"/>
    <w:rsid w:val="00DA25BE"/>
    <w:rsid w:val="00DA27D7"/>
    <w:rsid w:val="00DA2CA9"/>
    <w:rsid w:val="00DA2D3B"/>
    <w:rsid w:val="00DA3112"/>
    <w:rsid w:val="00DA31C0"/>
    <w:rsid w:val="00DA3387"/>
    <w:rsid w:val="00DA366B"/>
    <w:rsid w:val="00DA375E"/>
    <w:rsid w:val="00DA3879"/>
    <w:rsid w:val="00DA420A"/>
    <w:rsid w:val="00DA4A7A"/>
    <w:rsid w:val="00DA56FD"/>
    <w:rsid w:val="00DA655F"/>
    <w:rsid w:val="00DA6EF6"/>
    <w:rsid w:val="00DA705E"/>
    <w:rsid w:val="00DA7287"/>
    <w:rsid w:val="00DB05C9"/>
    <w:rsid w:val="00DB1047"/>
    <w:rsid w:val="00DB1812"/>
    <w:rsid w:val="00DB2191"/>
    <w:rsid w:val="00DB2852"/>
    <w:rsid w:val="00DB4AFC"/>
    <w:rsid w:val="00DB6013"/>
    <w:rsid w:val="00DB64E4"/>
    <w:rsid w:val="00DB7AE7"/>
    <w:rsid w:val="00DC00A7"/>
    <w:rsid w:val="00DC0194"/>
    <w:rsid w:val="00DC03E4"/>
    <w:rsid w:val="00DC0F3E"/>
    <w:rsid w:val="00DC206F"/>
    <w:rsid w:val="00DC29DD"/>
    <w:rsid w:val="00DC31EB"/>
    <w:rsid w:val="00DC33C0"/>
    <w:rsid w:val="00DC3D7E"/>
    <w:rsid w:val="00DC543F"/>
    <w:rsid w:val="00DC5BA2"/>
    <w:rsid w:val="00DC68B7"/>
    <w:rsid w:val="00DC6A88"/>
    <w:rsid w:val="00DC7104"/>
    <w:rsid w:val="00DC7767"/>
    <w:rsid w:val="00DC7E44"/>
    <w:rsid w:val="00DD006B"/>
    <w:rsid w:val="00DD0B00"/>
    <w:rsid w:val="00DD1314"/>
    <w:rsid w:val="00DD1B1A"/>
    <w:rsid w:val="00DD3003"/>
    <w:rsid w:val="00DD3600"/>
    <w:rsid w:val="00DD3EAD"/>
    <w:rsid w:val="00DD483D"/>
    <w:rsid w:val="00DD4D3C"/>
    <w:rsid w:val="00DD50EC"/>
    <w:rsid w:val="00DD5249"/>
    <w:rsid w:val="00DD586B"/>
    <w:rsid w:val="00DD5F38"/>
    <w:rsid w:val="00DD6386"/>
    <w:rsid w:val="00DD69C2"/>
    <w:rsid w:val="00DE01F6"/>
    <w:rsid w:val="00DE05E0"/>
    <w:rsid w:val="00DE0711"/>
    <w:rsid w:val="00DE0A92"/>
    <w:rsid w:val="00DE0CEC"/>
    <w:rsid w:val="00DE14AA"/>
    <w:rsid w:val="00DE1D7E"/>
    <w:rsid w:val="00DE1E7C"/>
    <w:rsid w:val="00DE21E1"/>
    <w:rsid w:val="00DE2A03"/>
    <w:rsid w:val="00DE2E11"/>
    <w:rsid w:val="00DE4D30"/>
    <w:rsid w:val="00DE552C"/>
    <w:rsid w:val="00DE59AF"/>
    <w:rsid w:val="00DE6756"/>
    <w:rsid w:val="00DE6A84"/>
    <w:rsid w:val="00DE6BFC"/>
    <w:rsid w:val="00DE71D7"/>
    <w:rsid w:val="00DE79DB"/>
    <w:rsid w:val="00DE7F50"/>
    <w:rsid w:val="00DF0655"/>
    <w:rsid w:val="00DF0A5D"/>
    <w:rsid w:val="00DF0A85"/>
    <w:rsid w:val="00DF0ADA"/>
    <w:rsid w:val="00DF11A5"/>
    <w:rsid w:val="00DF134B"/>
    <w:rsid w:val="00DF171E"/>
    <w:rsid w:val="00DF1807"/>
    <w:rsid w:val="00DF1EFD"/>
    <w:rsid w:val="00DF1FD8"/>
    <w:rsid w:val="00DF2186"/>
    <w:rsid w:val="00DF22EA"/>
    <w:rsid w:val="00DF26D2"/>
    <w:rsid w:val="00DF377A"/>
    <w:rsid w:val="00DF395C"/>
    <w:rsid w:val="00DF3B68"/>
    <w:rsid w:val="00DF3DE4"/>
    <w:rsid w:val="00DF3FBB"/>
    <w:rsid w:val="00DF4396"/>
    <w:rsid w:val="00DF4B47"/>
    <w:rsid w:val="00DF505C"/>
    <w:rsid w:val="00DF50E6"/>
    <w:rsid w:val="00DF52B1"/>
    <w:rsid w:val="00DF5338"/>
    <w:rsid w:val="00DF732A"/>
    <w:rsid w:val="00DF76E3"/>
    <w:rsid w:val="00E00335"/>
    <w:rsid w:val="00E006E7"/>
    <w:rsid w:val="00E0095D"/>
    <w:rsid w:val="00E01672"/>
    <w:rsid w:val="00E01765"/>
    <w:rsid w:val="00E018F4"/>
    <w:rsid w:val="00E01934"/>
    <w:rsid w:val="00E01AA2"/>
    <w:rsid w:val="00E032D2"/>
    <w:rsid w:val="00E03343"/>
    <w:rsid w:val="00E03612"/>
    <w:rsid w:val="00E040C9"/>
    <w:rsid w:val="00E0458E"/>
    <w:rsid w:val="00E0532C"/>
    <w:rsid w:val="00E0562A"/>
    <w:rsid w:val="00E05A66"/>
    <w:rsid w:val="00E05D7E"/>
    <w:rsid w:val="00E05E03"/>
    <w:rsid w:val="00E06344"/>
    <w:rsid w:val="00E0638F"/>
    <w:rsid w:val="00E0671E"/>
    <w:rsid w:val="00E06811"/>
    <w:rsid w:val="00E06A36"/>
    <w:rsid w:val="00E07686"/>
    <w:rsid w:val="00E07F7F"/>
    <w:rsid w:val="00E1054F"/>
    <w:rsid w:val="00E11022"/>
    <w:rsid w:val="00E11652"/>
    <w:rsid w:val="00E11AC4"/>
    <w:rsid w:val="00E122AC"/>
    <w:rsid w:val="00E13E08"/>
    <w:rsid w:val="00E13E8E"/>
    <w:rsid w:val="00E14481"/>
    <w:rsid w:val="00E153BA"/>
    <w:rsid w:val="00E1549D"/>
    <w:rsid w:val="00E15978"/>
    <w:rsid w:val="00E15C45"/>
    <w:rsid w:val="00E16298"/>
    <w:rsid w:val="00E1693B"/>
    <w:rsid w:val="00E16AA0"/>
    <w:rsid w:val="00E1763C"/>
    <w:rsid w:val="00E17E1F"/>
    <w:rsid w:val="00E217B5"/>
    <w:rsid w:val="00E2185F"/>
    <w:rsid w:val="00E23173"/>
    <w:rsid w:val="00E23B4A"/>
    <w:rsid w:val="00E23B9F"/>
    <w:rsid w:val="00E23E05"/>
    <w:rsid w:val="00E244AA"/>
    <w:rsid w:val="00E24CB5"/>
    <w:rsid w:val="00E2516F"/>
    <w:rsid w:val="00E258FA"/>
    <w:rsid w:val="00E25B23"/>
    <w:rsid w:val="00E26142"/>
    <w:rsid w:val="00E26255"/>
    <w:rsid w:val="00E27B0C"/>
    <w:rsid w:val="00E306F8"/>
    <w:rsid w:val="00E30A29"/>
    <w:rsid w:val="00E30AFF"/>
    <w:rsid w:val="00E30F3C"/>
    <w:rsid w:val="00E3212B"/>
    <w:rsid w:val="00E322EE"/>
    <w:rsid w:val="00E32D9C"/>
    <w:rsid w:val="00E32E5F"/>
    <w:rsid w:val="00E33444"/>
    <w:rsid w:val="00E33920"/>
    <w:rsid w:val="00E33955"/>
    <w:rsid w:val="00E33E03"/>
    <w:rsid w:val="00E35850"/>
    <w:rsid w:val="00E360EF"/>
    <w:rsid w:val="00E365C5"/>
    <w:rsid w:val="00E367AB"/>
    <w:rsid w:val="00E36837"/>
    <w:rsid w:val="00E36891"/>
    <w:rsid w:val="00E37697"/>
    <w:rsid w:val="00E37BDE"/>
    <w:rsid w:val="00E400CC"/>
    <w:rsid w:val="00E40441"/>
    <w:rsid w:val="00E4072D"/>
    <w:rsid w:val="00E4083C"/>
    <w:rsid w:val="00E40DAC"/>
    <w:rsid w:val="00E41435"/>
    <w:rsid w:val="00E41A56"/>
    <w:rsid w:val="00E41B6C"/>
    <w:rsid w:val="00E41BF0"/>
    <w:rsid w:val="00E41C88"/>
    <w:rsid w:val="00E41FE4"/>
    <w:rsid w:val="00E438F8"/>
    <w:rsid w:val="00E4416F"/>
    <w:rsid w:val="00E44F86"/>
    <w:rsid w:val="00E453EC"/>
    <w:rsid w:val="00E4678F"/>
    <w:rsid w:val="00E467B5"/>
    <w:rsid w:val="00E46876"/>
    <w:rsid w:val="00E46A0C"/>
    <w:rsid w:val="00E46B29"/>
    <w:rsid w:val="00E46D40"/>
    <w:rsid w:val="00E46EFA"/>
    <w:rsid w:val="00E4727E"/>
    <w:rsid w:val="00E4759B"/>
    <w:rsid w:val="00E476AF"/>
    <w:rsid w:val="00E50131"/>
    <w:rsid w:val="00E5015A"/>
    <w:rsid w:val="00E501EF"/>
    <w:rsid w:val="00E5039D"/>
    <w:rsid w:val="00E50C8F"/>
    <w:rsid w:val="00E51122"/>
    <w:rsid w:val="00E51398"/>
    <w:rsid w:val="00E514FC"/>
    <w:rsid w:val="00E519A6"/>
    <w:rsid w:val="00E52B06"/>
    <w:rsid w:val="00E54628"/>
    <w:rsid w:val="00E548AA"/>
    <w:rsid w:val="00E54FC0"/>
    <w:rsid w:val="00E5553B"/>
    <w:rsid w:val="00E55A22"/>
    <w:rsid w:val="00E55DFE"/>
    <w:rsid w:val="00E576CC"/>
    <w:rsid w:val="00E60651"/>
    <w:rsid w:val="00E60A11"/>
    <w:rsid w:val="00E612AA"/>
    <w:rsid w:val="00E613FD"/>
    <w:rsid w:val="00E61C81"/>
    <w:rsid w:val="00E61F1F"/>
    <w:rsid w:val="00E621B3"/>
    <w:rsid w:val="00E62713"/>
    <w:rsid w:val="00E62826"/>
    <w:rsid w:val="00E62AC3"/>
    <w:rsid w:val="00E63755"/>
    <w:rsid w:val="00E63D77"/>
    <w:rsid w:val="00E641D5"/>
    <w:rsid w:val="00E6594A"/>
    <w:rsid w:val="00E65E32"/>
    <w:rsid w:val="00E65EA9"/>
    <w:rsid w:val="00E66A0E"/>
    <w:rsid w:val="00E66E41"/>
    <w:rsid w:val="00E67AD9"/>
    <w:rsid w:val="00E67C6E"/>
    <w:rsid w:val="00E67D57"/>
    <w:rsid w:val="00E70537"/>
    <w:rsid w:val="00E71833"/>
    <w:rsid w:val="00E7183C"/>
    <w:rsid w:val="00E71EEA"/>
    <w:rsid w:val="00E7242F"/>
    <w:rsid w:val="00E729BB"/>
    <w:rsid w:val="00E7335D"/>
    <w:rsid w:val="00E7350A"/>
    <w:rsid w:val="00E73C5C"/>
    <w:rsid w:val="00E73EE4"/>
    <w:rsid w:val="00E74787"/>
    <w:rsid w:val="00E747B5"/>
    <w:rsid w:val="00E74EF5"/>
    <w:rsid w:val="00E755DE"/>
    <w:rsid w:val="00E75FFA"/>
    <w:rsid w:val="00E769AD"/>
    <w:rsid w:val="00E76AA3"/>
    <w:rsid w:val="00E76D10"/>
    <w:rsid w:val="00E77053"/>
    <w:rsid w:val="00E77219"/>
    <w:rsid w:val="00E7736E"/>
    <w:rsid w:val="00E777E7"/>
    <w:rsid w:val="00E77CC6"/>
    <w:rsid w:val="00E77DE3"/>
    <w:rsid w:val="00E80F99"/>
    <w:rsid w:val="00E81118"/>
    <w:rsid w:val="00E81387"/>
    <w:rsid w:val="00E81662"/>
    <w:rsid w:val="00E8206D"/>
    <w:rsid w:val="00E828C9"/>
    <w:rsid w:val="00E836FD"/>
    <w:rsid w:val="00E849C9"/>
    <w:rsid w:val="00E866E8"/>
    <w:rsid w:val="00E872A9"/>
    <w:rsid w:val="00E87BC0"/>
    <w:rsid w:val="00E915C2"/>
    <w:rsid w:val="00E91895"/>
    <w:rsid w:val="00E92321"/>
    <w:rsid w:val="00E92D85"/>
    <w:rsid w:val="00E9301A"/>
    <w:rsid w:val="00E93761"/>
    <w:rsid w:val="00E93E67"/>
    <w:rsid w:val="00E9514B"/>
    <w:rsid w:val="00E9514F"/>
    <w:rsid w:val="00E95443"/>
    <w:rsid w:val="00E9628C"/>
    <w:rsid w:val="00E964BD"/>
    <w:rsid w:val="00E96572"/>
    <w:rsid w:val="00E96C7D"/>
    <w:rsid w:val="00E96F83"/>
    <w:rsid w:val="00E97206"/>
    <w:rsid w:val="00E97C77"/>
    <w:rsid w:val="00E97E71"/>
    <w:rsid w:val="00E97F00"/>
    <w:rsid w:val="00EA04E2"/>
    <w:rsid w:val="00EA0BC1"/>
    <w:rsid w:val="00EA0FED"/>
    <w:rsid w:val="00EA1110"/>
    <w:rsid w:val="00EA147B"/>
    <w:rsid w:val="00EA160E"/>
    <w:rsid w:val="00EA16DE"/>
    <w:rsid w:val="00EA1777"/>
    <w:rsid w:val="00EA23A4"/>
    <w:rsid w:val="00EA2B5D"/>
    <w:rsid w:val="00EA3270"/>
    <w:rsid w:val="00EA3892"/>
    <w:rsid w:val="00EA44EF"/>
    <w:rsid w:val="00EA56E3"/>
    <w:rsid w:val="00EA595E"/>
    <w:rsid w:val="00EA7274"/>
    <w:rsid w:val="00EA7830"/>
    <w:rsid w:val="00EB01B6"/>
    <w:rsid w:val="00EB03C4"/>
    <w:rsid w:val="00EB0413"/>
    <w:rsid w:val="00EB09AB"/>
    <w:rsid w:val="00EB0AE4"/>
    <w:rsid w:val="00EB0D54"/>
    <w:rsid w:val="00EB152F"/>
    <w:rsid w:val="00EB19EC"/>
    <w:rsid w:val="00EB232A"/>
    <w:rsid w:val="00EB25F7"/>
    <w:rsid w:val="00EB2F1E"/>
    <w:rsid w:val="00EB3E13"/>
    <w:rsid w:val="00EB48A0"/>
    <w:rsid w:val="00EB48B1"/>
    <w:rsid w:val="00EB4D87"/>
    <w:rsid w:val="00EB5444"/>
    <w:rsid w:val="00EB62E9"/>
    <w:rsid w:val="00EB653D"/>
    <w:rsid w:val="00EB685F"/>
    <w:rsid w:val="00EB6A9A"/>
    <w:rsid w:val="00EB7618"/>
    <w:rsid w:val="00EC04FF"/>
    <w:rsid w:val="00EC0910"/>
    <w:rsid w:val="00EC1235"/>
    <w:rsid w:val="00EC130C"/>
    <w:rsid w:val="00EC20D7"/>
    <w:rsid w:val="00EC2E99"/>
    <w:rsid w:val="00EC2EB1"/>
    <w:rsid w:val="00EC3C20"/>
    <w:rsid w:val="00EC3E52"/>
    <w:rsid w:val="00EC4145"/>
    <w:rsid w:val="00EC4CBB"/>
    <w:rsid w:val="00EC4FA2"/>
    <w:rsid w:val="00EC54E0"/>
    <w:rsid w:val="00EC57C9"/>
    <w:rsid w:val="00EC5900"/>
    <w:rsid w:val="00EC68C7"/>
    <w:rsid w:val="00EC70D9"/>
    <w:rsid w:val="00EC7158"/>
    <w:rsid w:val="00ED06F8"/>
    <w:rsid w:val="00ED1E25"/>
    <w:rsid w:val="00ED25F9"/>
    <w:rsid w:val="00ED29C0"/>
    <w:rsid w:val="00ED3C1C"/>
    <w:rsid w:val="00ED458E"/>
    <w:rsid w:val="00ED4C03"/>
    <w:rsid w:val="00ED5573"/>
    <w:rsid w:val="00ED5727"/>
    <w:rsid w:val="00ED5B52"/>
    <w:rsid w:val="00ED6066"/>
    <w:rsid w:val="00ED6727"/>
    <w:rsid w:val="00ED6903"/>
    <w:rsid w:val="00ED74C6"/>
    <w:rsid w:val="00ED7D5F"/>
    <w:rsid w:val="00EE045B"/>
    <w:rsid w:val="00EE0F52"/>
    <w:rsid w:val="00EE10E1"/>
    <w:rsid w:val="00EE16FE"/>
    <w:rsid w:val="00EE2039"/>
    <w:rsid w:val="00EE30D3"/>
    <w:rsid w:val="00EE3DA9"/>
    <w:rsid w:val="00EE48A2"/>
    <w:rsid w:val="00EE4A0C"/>
    <w:rsid w:val="00EE4B40"/>
    <w:rsid w:val="00EE5FC1"/>
    <w:rsid w:val="00EE7577"/>
    <w:rsid w:val="00EF01A3"/>
    <w:rsid w:val="00EF0684"/>
    <w:rsid w:val="00EF07D6"/>
    <w:rsid w:val="00EF166C"/>
    <w:rsid w:val="00EF18D6"/>
    <w:rsid w:val="00EF2F80"/>
    <w:rsid w:val="00EF2F95"/>
    <w:rsid w:val="00EF4670"/>
    <w:rsid w:val="00EF483B"/>
    <w:rsid w:val="00EF4A8E"/>
    <w:rsid w:val="00EF4BC7"/>
    <w:rsid w:val="00EF4D3F"/>
    <w:rsid w:val="00EF4D93"/>
    <w:rsid w:val="00EF5515"/>
    <w:rsid w:val="00EF5BA2"/>
    <w:rsid w:val="00EF5C3A"/>
    <w:rsid w:val="00EF5D17"/>
    <w:rsid w:val="00EF600E"/>
    <w:rsid w:val="00EF6606"/>
    <w:rsid w:val="00EF6B5B"/>
    <w:rsid w:val="00EF7A35"/>
    <w:rsid w:val="00F00747"/>
    <w:rsid w:val="00F00A75"/>
    <w:rsid w:val="00F00C78"/>
    <w:rsid w:val="00F01973"/>
    <w:rsid w:val="00F023DE"/>
    <w:rsid w:val="00F026B5"/>
    <w:rsid w:val="00F03032"/>
    <w:rsid w:val="00F032EC"/>
    <w:rsid w:val="00F03422"/>
    <w:rsid w:val="00F03550"/>
    <w:rsid w:val="00F03C44"/>
    <w:rsid w:val="00F03C83"/>
    <w:rsid w:val="00F0406A"/>
    <w:rsid w:val="00F07BD1"/>
    <w:rsid w:val="00F07F06"/>
    <w:rsid w:val="00F102A9"/>
    <w:rsid w:val="00F10878"/>
    <w:rsid w:val="00F10D9F"/>
    <w:rsid w:val="00F11734"/>
    <w:rsid w:val="00F1280B"/>
    <w:rsid w:val="00F12A39"/>
    <w:rsid w:val="00F134BB"/>
    <w:rsid w:val="00F1370D"/>
    <w:rsid w:val="00F14623"/>
    <w:rsid w:val="00F14F35"/>
    <w:rsid w:val="00F15006"/>
    <w:rsid w:val="00F15E12"/>
    <w:rsid w:val="00F162C5"/>
    <w:rsid w:val="00F16981"/>
    <w:rsid w:val="00F16F75"/>
    <w:rsid w:val="00F1717C"/>
    <w:rsid w:val="00F1757C"/>
    <w:rsid w:val="00F175B9"/>
    <w:rsid w:val="00F2024E"/>
    <w:rsid w:val="00F216AE"/>
    <w:rsid w:val="00F22D24"/>
    <w:rsid w:val="00F242FD"/>
    <w:rsid w:val="00F2444A"/>
    <w:rsid w:val="00F24603"/>
    <w:rsid w:val="00F25CA6"/>
    <w:rsid w:val="00F25F2C"/>
    <w:rsid w:val="00F261AA"/>
    <w:rsid w:val="00F27580"/>
    <w:rsid w:val="00F2776E"/>
    <w:rsid w:val="00F278AA"/>
    <w:rsid w:val="00F306A1"/>
    <w:rsid w:val="00F30D73"/>
    <w:rsid w:val="00F31E9C"/>
    <w:rsid w:val="00F32F45"/>
    <w:rsid w:val="00F33524"/>
    <w:rsid w:val="00F339A2"/>
    <w:rsid w:val="00F34B25"/>
    <w:rsid w:val="00F34B4F"/>
    <w:rsid w:val="00F34D9C"/>
    <w:rsid w:val="00F35175"/>
    <w:rsid w:val="00F363FE"/>
    <w:rsid w:val="00F36475"/>
    <w:rsid w:val="00F36A4C"/>
    <w:rsid w:val="00F3733C"/>
    <w:rsid w:val="00F40704"/>
    <w:rsid w:val="00F4092C"/>
    <w:rsid w:val="00F417FA"/>
    <w:rsid w:val="00F41A47"/>
    <w:rsid w:val="00F41BA2"/>
    <w:rsid w:val="00F41D2A"/>
    <w:rsid w:val="00F421D2"/>
    <w:rsid w:val="00F4247D"/>
    <w:rsid w:val="00F42524"/>
    <w:rsid w:val="00F43C49"/>
    <w:rsid w:val="00F445BE"/>
    <w:rsid w:val="00F4492C"/>
    <w:rsid w:val="00F458F8"/>
    <w:rsid w:val="00F45E61"/>
    <w:rsid w:val="00F4606F"/>
    <w:rsid w:val="00F46C04"/>
    <w:rsid w:val="00F50804"/>
    <w:rsid w:val="00F50A9A"/>
    <w:rsid w:val="00F50CC3"/>
    <w:rsid w:val="00F50E66"/>
    <w:rsid w:val="00F50E83"/>
    <w:rsid w:val="00F5185C"/>
    <w:rsid w:val="00F52DC8"/>
    <w:rsid w:val="00F53028"/>
    <w:rsid w:val="00F53380"/>
    <w:rsid w:val="00F53B28"/>
    <w:rsid w:val="00F54274"/>
    <w:rsid w:val="00F545D6"/>
    <w:rsid w:val="00F54986"/>
    <w:rsid w:val="00F54D71"/>
    <w:rsid w:val="00F54F39"/>
    <w:rsid w:val="00F55059"/>
    <w:rsid w:val="00F5552A"/>
    <w:rsid w:val="00F557CC"/>
    <w:rsid w:val="00F55866"/>
    <w:rsid w:val="00F56340"/>
    <w:rsid w:val="00F56868"/>
    <w:rsid w:val="00F5717B"/>
    <w:rsid w:val="00F57526"/>
    <w:rsid w:val="00F57C7C"/>
    <w:rsid w:val="00F60FB8"/>
    <w:rsid w:val="00F60FF4"/>
    <w:rsid w:val="00F610DE"/>
    <w:rsid w:val="00F61789"/>
    <w:rsid w:val="00F61C53"/>
    <w:rsid w:val="00F62A06"/>
    <w:rsid w:val="00F63A56"/>
    <w:rsid w:val="00F64581"/>
    <w:rsid w:val="00F64A53"/>
    <w:rsid w:val="00F65CCF"/>
    <w:rsid w:val="00F66783"/>
    <w:rsid w:val="00F66BFB"/>
    <w:rsid w:val="00F66C6B"/>
    <w:rsid w:val="00F66FC7"/>
    <w:rsid w:val="00F67488"/>
    <w:rsid w:val="00F704A9"/>
    <w:rsid w:val="00F706B0"/>
    <w:rsid w:val="00F708A1"/>
    <w:rsid w:val="00F7159C"/>
    <w:rsid w:val="00F7164A"/>
    <w:rsid w:val="00F7173E"/>
    <w:rsid w:val="00F73031"/>
    <w:rsid w:val="00F730D7"/>
    <w:rsid w:val="00F734B6"/>
    <w:rsid w:val="00F74923"/>
    <w:rsid w:val="00F74F2B"/>
    <w:rsid w:val="00F759AE"/>
    <w:rsid w:val="00F761BF"/>
    <w:rsid w:val="00F76438"/>
    <w:rsid w:val="00F76830"/>
    <w:rsid w:val="00F76A74"/>
    <w:rsid w:val="00F7758B"/>
    <w:rsid w:val="00F77E87"/>
    <w:rsid w:val="00F8104A"/>
    <w:rsid w:val="00F81D3C"/>
    <w:rsid w:val="00F8268A"/>
    <w:rsid w:val="00F826CF"/>
    <w:rsid w:val="00F82E1D"/>
    <w:rsid w:val="00F8466E"/>
    <w:rsid w:val="00F846C8"/>
    <w:rsid w:val="00F85F9B"/>
    <w:rsid w:val="00F862A6"/>
    <w:rsid w:val="00F8684B"/>
    <w:rsid w:val="00F875AD"/>
    <w:rsid w:val="00F87836"/>
    <w:rsid w:val="00F87CE3"/>
    <w:rsid w:val="00F90090"/>
    <w:rsid w:val="00F908B8"/>
    <w:rsid w:val="00F90AE3"/>
    <w:rsid w:val="00F9167B"/>
    <w:rsid w:val="00F9218C"/>
    <w:rsid w:val="00F925B0"/>
    <w:rsid w:val="00F929FC"/>
    <w:rsid w:val="00F92F7E"/>
    <w:rsid w:val="00F93311"/>
    <w:rsid w:val="00F93D65"/>
    <w:rsid w:val="00F94417"/>
    <w:rsid w:val="00F9473A"/>
    <w:rsid w:val="00F94805"/>
    <w:rsid w:val="00F949FD"/>
    <w:rsid w:val="00F951FA"/>
    <w:rsid w:val="00F9580E"/>
    <w:rsid w:val="00F962B2"/>
    <w:rsid w:val="00F96450"/>
    <w:rsid w:val="00F970FF"/>
    <w:rsid w:val="00F97531"/>
    <w:rsid w:val="00F97F83"/>
    <w:rsid w:val="00FA030F"/>
    <w:rsid w:val="00FA0DEB"/>
    <w:rsid w:val="00FA1497"/>
    <w:rsid w:val="00FA3385"/>
    <w:rsid w:val="00FA41EB"/>
    <w:rsid w:val="00FA4324"/>
    <w:rsid w:val="00FA516D"/>
    <w:rsid w:val="00FA525B"/>
    <w:rsid w:val="00FA61BD"/>
    <w:rsid w:val="00FA7C5E"/>
    <w:rsid w:val="00FB00E3"/>
    <w:rsid w:val="00FB0168"/>
    <w:rsid w:val="00FB0397"/>
    <w:rsid w:val="00FB080A"/>
    <w:rsid w:val="00FB0D45"/>
    <w:rsid w:val="00FB1370"/>
    <w:rsid w:val="00FB155B"/>
    <w:rsid w:val="00FB185B"/>
    <w:rsid w:val="00FB19EA"/>
    <w:rsid w:val="00FB20AC"/>
    <w:rsid w:val="00FB25AD"/>
    <w:rsid w:val="00FB3279"/>
    <w:rsid w:val="00FB330D"/>
    <w:rsid w:val="00FB3B0D"/>
    <w:rsid w:val="00FB3B78"/>
    <w:rsid w:val="00FB4AA9"/>
    <w:rsid w:val="00FB50FE"/>
    <w:rsid w:val="00FB76D0"/>
    <w:rsid w:val="00FB7851"/>
    <w:rsid w:val="00FB7A7E"/>
    <w:rsid w:val="00FC028A"/>
    <w:rsid w:val="00FC0C55"/>
    <w:rsid w:val="00FC106F"/>
    <w:rsid w:val="00FC1AD1"/>
    <w:rsid w:val="00FC21D3"/>
    <w:rsid w:val="00FC2F4D"/>
    <w:rsid w:val="00FC3CEC"/>
    <w:rsid w:val="00FC4473"/>
    <w:rsid w:val="00FC4558"/>
    <w:rsid w:val="00FC48CC"/>
    <w:rsid w:val="00FC4F6E"/>
    <w:rsid w:val="00FC50BE"/>
    <w:rsid w:val="00FC5C76"/>
    <w:rsid w:val="00FC5C95"/>
    <w:rsid w:val="00FC5E75"/>
    <w:rsid w:val="00FC7085"/>
    <w:rsid w:val="00FC72A1"/>
    <w:rsid w:val="00FC7BEC"/>
    <w:rsid w:val="00FC7F1F"/>
    <w:rsid w:val="00FD0155"/>
    <w:rsid w:val="00FD01DF"/>
    <w:rsid w:val="00FD097D"/>
    <w:rsid w:val="00FD0995"/>
    <w:rsid w:val="00FD1225"/>
    <w:rsid w:val="00FD15A9"/>
    <w:rsid w:val="00FD23A2"/>
    <w:rsid w:val="00FD24C3"/>
    <w:rsid w:val="00FD2AD4"/>
    <w:rsid w:val="00FD2DBB"/>
    <w:rsid w:val="00FD2E80"/>
    <w:rsid w:val="00FD3464"/>
    <w:rsid w:val="00FD3690"/>
    <w:rsid w:val="00FD3962"/>
    <w:rsid w:val="00FD3C3F"/>
    <w:rsid w:val="00FD3F44"/>
    <w:rsid w:val="00FD48AE"/>
    <w:rsid w:val="00FD497B"/>
    <w:rsid w:val="00FD4D94"/>
    <w:rsid w:val="00FD585C"/>
    <w:rsid w:val="00FD5DAC"/>
    <w:rsid w:val="00FD6B33"/>
    <w:rsid w:val="00FD700E"/>
    <w:rsid w:val="00FD725D"/>
    <w:rsid w:val="00FD72A6"/>
    <w:rsid w:val="00FD757D"/>
    <w:rsid w:val="00FD7B20"/>
    <w:rsid w:val="00FD7C15"/>
    <w:rsid w:val="00FD7F92"/>
    <w:rsid w:val="00FE004C"/>
    <w:rsid w:val="00FE0238"/>
    <w:rsid w:val="00FE0529"/>
    <w:rsid w:val="00FE054D"/>
    <w:rsid w:val="00FE0DA6"/>
    <w:rsid w:val="00FE1BFC"/>
    <w:rsid w:val="00FE1FA4"/>
    <w:rsid w:val="00FE2E29"/>
    <w:rsid w:val="00FE2E41"/>
    <w:rsid w:val="00FE3A87"/>
    <w:rsid w:val="00FE4941"/>
    <w:rsid w:val="00FE4E10"/>
    <w:rsid w:val="00FE5CD3"/>
    <w:rsid w:val="00FE5CD6"/>
    <w:rsid w:val="00FE5CEE"/>
    <w:rsid w:val="00FE5E18"/>
    <w:rsid w:val="00FE640F"/>
    <w:rsid w:val="00FE661B"/>
    <w:rsid w:val="00FE673B"/>
    <w:rsid w:val="00FE6B5F"/>
    <w:rsid w:val="00FE74FA"/>
    <w:rsid w:val="00FE76C1"/>
    <w:rsid w:val="00FE7891"/>
    <w:rsid w:val="00FE7CD1"/>
    <w:rsid w:val="00FF0559"/>
    <w:rsid w:val="00FF0DAC"/>
    <w:rsid w:val="00FF21A1"/>
    <w:rsid w:val="00FF22FB"/>
    <w:rsid w:val="00FF2A48"/>
    <w:rsid w:val="00FF2CD0"/>
    <w:rsid w:val="00FF3B22"/>
    <w:rsid w:val="00FF47CF"/>
    <w:rsid w:val="00FF4AC7"/>
    <w:rsid w:val="00FF5C9E"/>
    <w:rsid w:val="00FF67BC"/>
    <w:rsid w:val="00FF68F3"/>
    <w:rsid w:val="00FF6C18"/>
    <w:rsid w:val="00FF6C9C"/>
    <w:rsid w:val="00FF6DA9"/>
    <w:rsid w:val="00FF71CC"/>
    <w:rsid w:val="00FF7203"/>
    <w:rsid w:val="00FF7B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50DE211"/>
  <w15:docId w15:val="{3D76F86A-B2A0-4D76-8410-EB206D21D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qFormat="1"/>
    <w:lsdException w:name="index 2" w:semiHidden="1" w:unhideWhenUsed="1" w:qFormat="1"/>
    <w:lsdException w:name="index 3" w:semiHidden="1" w:unhideWhenUsed="1" w:qFormat="1"/>
    <w:lsdException w:name="index 4" w:semiHidden="1" w:unhideWhenUsed="1" w:qFormat="1"/>
    <w:lsdException w:name="index 5" w:semiHidden="1" w:unhideWhenUsed="1" w:qFormat="1"/>
    <w:lsdException w:name="index 6" w:semiHidden="1" w:unhideWhenUsed="1" w:qFormat="1"/>
    <w:lsdException w:name="index 7" w:semiHidden="1" w:unhideWhenUsed="1" w:qFormat="1"/>
    <w:lsdException w:name="index 8" w:semiHidden="1" w:unhideWhenUsed="1" w:qFormat="1"/>
    <w:lsdException w:name="index 9" w:semiHidden="1" w:unhideWhenUsed="1" w:qFormat="1"/>
    <w:lsdException w:name="toc 1" w:semiHidden="1" w:unhideWhenUsed="1" w:qFormat="1"/>
    <w:lsdException w:name="toc 2" w:semiHidden="1" w:unhideWhenUsed="1" w:qFormat="1"/>
    <w:lsdException w:name="toc 3" w:semiHidden="1" w:unhideWhenUsed="1" w:qFormat="1"/>
    <w:lsdException w:name="toc 4" w:semiHidden="1" w:unhideWhenUsed="1" w:qFormat="1"/>
    <w:lsdException w:name="toc 5" w:semiHidden="1" w:unhideWhenUsed="1" w:qFormat="1"/>
    <w:lsdException w:name="toc 6" w:semiHidden="1" w:unhideWhenUsed="1" w:qFormat="1"/>
    <w:lsdException w:name="toc 7" w:semiHidden="1" w:unhideWhenUsed="1" w:qFormat="1"/>
    <w:lsdException w:name="toc 8" w:semiHidden="1" w:unhideWhenUsed="1" w:qFormat="1"/>
    <w:lsdException w:name="toc 9" w:semiHidden="1" w:unhideWhenUsed="1" w:qFormat="1"/>
    <w:lsdException w:name="Normal Indent" w:semiHidden="1" w:unhideWhenUsed="1" w:qFormat="1"/>
    <w:lsdException w:name="footnote text" w:semiHidden="1" w:unhideWhenUsed="1" w:qFormat="1"/>
    <w:lsdException w:name="annotation text" w:semiHidden="1" w:unhideWhenUsed="1" w:qFormat="1"/>
    <w:lsdException w:name="header" w:semiHidden="1" w:unhideWhenUsed="1" w:qFormat="1"/>
    <w:lsdException w:name="footer" w:semiHidden="1" w:unhideWhenUsed="1" w:qFormat="1"/>
    <w:lsdException w:name="index heading" w:semiHidden="1" w:unhideWhenUsed="1" w:qFormat="1"/>
    <w:lsdException w:name="caption" w:semiHidden="1" w:unhideWhenUsed="1" w:qFormat="1"/>
    <w:lsdException w:name="table of figures" w:semiHidden="1" w:unhideWhenUsed="1" w:qFormat="1"/>
    <w:lsdException w:name="envelope address" w:semiHidden="1" w:unhideWhenUsed="1" w:qFormat="1"/>
    <w:lsdException w:name="envelope return" w:semiHidden="1" w:unhideWhenUsed="1" w:qFormat="1"/>
    <w:lsdException w:name="footnote reference" w:semiHidden="1" w:unhideWhenUsed="1" w:qFormat="1"/>
    <w:lsdException w:name="annotation reference" w:semiHidden="1" w:unhideWhenUsed="1" w:qFormat="1"/>
    <w:lsdException w:name="line number" w:semiHidden="1" w:unhideWhenUsed="1" w:qFormat="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qFormat="1"/>
    <w:lsdException w:name="macro" w:semiHidden="1" w:unhideWhenUsed="1" w:qFormat="1"/>
    <w:lsdException w:name="toa heading" w:semiHidden="1" w:unhideWhenUsed="1" w:qFormat="1"/>
    <w:lsdException w:name="List" w:semiHidden="1" w:unhideWhenUsed="1" w:qFormat="1"/>
    <w:lsdException w:name="List Bullet" w:semiHidden="1" w:unhideWhenUsed="1" w:qFormat="1"/>
    <w:lsdException w:name="List Number" w:semiHidden="1" w:unhideWhenUsed="1" w:qFormat="1"/>
    <w:lsdException w:name="List 2" w:semiHidden="1" w:unhideWhenUsed="1" w:qFormat="1"/>
    <w:lsdException w:name="List 3" w:semiHidden="1" w:unhideWhenUsed="1" w:qFormat="1"/>
    <w:lsdException w:name="List 4" w:semiHidden="1" w:unhideWhenUsed="1" w:qFormat="1"/>
    <w:lsdException w:name="List 5" w:semiHidden="1" w:unhideWhenUsed="1" w:qFormat="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qFormat="1"/>
    <w:lsdException w:name="Closing" w:semiHidden="1" w:unhideWhenUsed="1" w:qFormat="1"/>
    <w:lsdException w:name="Signature" w:semiHidden="1" w:unhideWhenUsed="1" w:qFormat="1"/>
    <w:lsdException w:name="Default Paragraph Font" w:semiHidden="1" w:unhideWhenUsed="1" w:qFormat="1"/>
    <w:lsdException w:name="Body Text" w:semiHidden="1" w:unhideWhenUsed="1" w:qFormat="1"/>
    <w:lsdException w:name="Body Text Indent" w:semiHidden="1" w:unhideWhenUsed="1" w:qFormat="1"/>
    <w:lsdException w:name="List Continue" w:semiHidden="1" w:unhideWhenUsed="1" w:qFormat="1"/>
    <w:lsdException w:name="List Continue 2" w:semiHidden="1" w:unhideWhenUsed="1" w:qFormat="1"/>
    <w:lsdException w:name="List Continue 3" w:semiHidden="1" w:unhideWhenUsed="1" w:qFormat="1"/>
    <w:lsdException w:name="List Continue 4" w:semiHidden="1" w:unhideWhenUsed="1" w:qFormat="1"/>
    <w:lsdException w:name="List Continue 5" w:semiHidden="1" w:unhideWhenUsed="1" w:qFormat="1"/>
    <w:lsdException w:name="Message Header" w:semiHidden="1" w:unhideWhenUsed="1" w:qFormat="1"/>
    <w:lsdException w:name="Subtitle" w:qFormat="1"/>
    <w:lsdException w:name="Salutation" w:semiHidden="1" w:unhideWhenUsed="1" w:qFormat="1"/>
    <w:lsdException w:name="Date" w:semiHidden="1" w:unhideWhenUsed="1" w:qFormat="1"/>
    <w:lsdException w:name="Body Text First Indent" w:semiHidden="1" w:unhideWhenUsed="1" w:qFormat="1"/>
    <w:lsdException w:name="Body Text First Indent 2" w:semiHidden="1" w:unhideWhenUsed="1" w:qFormat="1"/>
    <w:lsdException w:name="Note Heading" w:semiHidden="1" w:unhideWhenUsed="1" w:qFormat="1"/>
    <w:lsdException w:name="Body Text 2" w:semiHidden="1" w:unhideWhenUsed="1" w:qFormat="1"/>
    <w:lsdException w:name="Body Text 3" w:semiHidden="1" w:unhideWhenUsed="1" w:qFormat="1"/>
    <w:lsdException w:name="Body Text Indent 2" w:semiHidden="1" w:unhideWhenUsed="1" w:qFormat="1"/>
    <w:lsdException w:name="Body Text Indent 3" w:semiHidden="1" w:unhideWhenUsed="1" w:qFormat="1"/>
    <w:lsdException w:name="Block Text" w:semiHidden="1" w:unhideWhenUsed="1" w:qFormat="1"/>
    <w:lsdException w:name="Hyperlink" w:semiHidden="1" w:unhideWhenUsed="1" w:qFormat="1"/>
    <w:lsdException w:name="FollowedHyperlink" w:semiHidden="1" w:unhideWhenUsed="1" w:qFormat="1"/>
    <w:lsdException w:name="Strong" w:qFormat="1"/>
    <w:lsdException w:name="Emphasis" w:qFormat="1"/>
    <w:lsdException w:name="Document Map" w:semiHidden="1" w:unhideWhenUsed="1" w:qFormat="1"/>
    <w:lsdException w:name="Plain Text" w:semiHidden="1" w:unhideWhenUsed="1" w:qFormat="1"/>
    <w:lsdException w:name="E-mail Signature" w:semiHidden="1" w:unhideWhenUsed="1" w:qFormat="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qFormat="1"/>
    <w:lsdException w:name="HTML Address" w:semiHidden="1" w:unhideWhenUsed="1" w:qFormat="1"/>
    <w:lsdException w:name="HTML Cite" w:semiHidden="1" w:unhideWhenUsed="1" w:qFormat="1"/>
    <w:lsdException w:name="HTML Code" w:semiHidden="1" w:unhideWhenUsed="1" w:qFormat="1"/>
    <w:lsdException w:name="HTML Definition" w:semiHidden="1" w:unhideWhenUsed="1" w:qFormat="1"/>
    <w:lsdException w:name="HTML Keyboard" w:semiHidden="1" w:unhideWhenUsed="1" w:qFormat="1"/>
    <w:lsdException w:name="HTML Preformatted" w:semiHidden="1" w:unhideWhenUsed="1" w:qFormat="1"/>
    <w:lsdException w:name="HTML Sample" w:semiHidden="1" w:unhideWhenUsed="1" w:qFormat="1"/>
    <w:lsdException w:name="HTML Typewriter" w:semiHidden="1" w:unhideWhenUsed="1" w:qFormat="1"/>
    <w:lsdException w:name="HTML Variable" w:semiHidden="1" w:unhideWhenUsed="1" w:qFormat="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Theme" w:semiHidden="1" w:unhideWhenUsed="1"/>
    <w:lsdException w:name="Placeholder Text" w:semiHidden="1" w:qFormat="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qFormat="1"/>
    <w:lsdException w:name="Intense Emphasis" w:qFormat="1"/>
    <w:lsdException w:name="Subtle Reference" w:qFormat="1"/>
    <w:lsdException w:name="Intense Reference" w:qFormat="1"/>
    <w:lsdException w:name="Book Title" w:qFormat="1"/>
    <w:lsdException w:name="Bibliography" w:semiHidden="1" w:unhideWhenUsed="1" w:qFormat="1"/>
    <w:lsdException w:name="TOC Heading" w:semiHidden="1" w:unhideWhenUsed="1" w:qFormat="1"/>
    <w:lsdException w:name="Mention" w:semiHidden="1" w:unhideWhenUsed="1" w:qFormat="1"/>
    <w:lsdException w:name="Smart Hyperlink" w:semiHidden="1" w:unhideWhenUsed="1" w:qFormat="1"/>
    <w:lsdException w:name="Hashtag" w:semiHidden="1" w:unhideWhenUsed="1" w:qFormat="1"/>
    <w:lsdException w:name="Unresolved Mention" w:semiHidden="1" w:unhideWhenUsed="1" w:qFormat="1"/>
    <w:lsdException w:name="Smart Link" w:semiHidden="1" w:unhideWhenUsed="1" w:qFormat="1"/>
  </w:latentStyles>
  <w:style w:type="paragraph" w:default="1" w:styleId="Normal">
    <w:name w:val="Normal"/>
    <w:qFormat/>
    <w:rsid w:val="002A3E6E"/>
    <w:pPr>
      <w:spacing w:after="180" w:line="300" w:lineRule="atLeast"/>
    </w:pPr>
    <w:rPr>
      <w:rFonts w:asciiTheme="minorHAnsi" w:eastAsiaTheme="minorHAnsi" w:hAnsiTheme="minorHAnsi" w:cstheme="minorBidi"/>
      <w:szCs w:val="22"/>
    </w:rPr>
  </w:style>
  <w:style w:type="paragraph" w:styleId="Heading1">
    <w:name w:val="heading 1"/>
    <w:basedOn w:val="Normal"/>
    <w:next w:val="Normal"/>
    <w:link w:val="Heading1Char"/>
    <w:qFormat/>
    <w:rsid w:val="00570E30"/>
    <w:pPr>
      <w:keepNext/>
      <w:keepLines/>
      <w:spacing w:before="240" w:after="0"/>
      <w:outlineLvl w:val="0"/>
    </w:pPr>
    <w:rPr>
      <w:rFonts w:asciiTheme="majorHAnsi" w:eastAsiaTheme="majorEastAsia" w:hAnsiTheme="majorHAnsi" w:cstheme="majorBidi"/>
      <w:color w:val="081E36" w:themeColor="accent1" w:themeShade="BF"/>
      <w:sz w:val="32"/>
      <w:szCs w:val="32"/>
    </w:rPr>
  </w:style>
  <w:style w:type="paragraph" w:styleId="Heading2">
    <w:name w:val="heading 2"/>
    <w:basedOn w:val="Normal"/>
    <w:next w:val="Normal"/>
    <w:link w:val="Heading2Char"/>
    <w:qFormat/>
    <w:rsid w:val="00570E30"/>
    <w:pPr>
      <w:keepNext/>
      <w:keepLines/>
      <w:numPr>
        <w:ilvl w:val="1"/>
        <w:numId w:val="38"/>
      </w:numPr>
      <w:spacing w:before="40" w:after="0"/>
      <w:outlineLvl w:val="1"/>
    </w:pPr>
    <w:rPr>
      <w:rFonts w:asciiTheme="majorHAnsi" w:eastAsiaTheme="majorEastAsia" w:hAnsiTheme="majorHAnsi" w:cstheme="majorBidi"/>
      <w:color w:val="081E36" w:themeColor="accent1" w:themeShade="BF"/>
      <w:sz w:val="26"/>
      <w:szCs w:val="26"/>
    </w:rPr>
  </w:style>
  <w:style w:type="paragraph" w:styleId="Heading3">
    <w:name w:val="heading 3"/>
    <w:basedOn w:val="Normal"/>
    <w:next w:val="Normal"/>
    <w:link w:val="Heading3Char"/>
    <w:qFormat/>
    <w:rsid w:val="00570E30"/>
    <w:pPr>
      <w:keepNext/>
      <w:keepLines/>
      <w:numPr>
        <w:ilvl w:val="2"/>
        <w:numId w:val="38"/>
      </w:numPr>
      <w:spacing w:before="40" w:after="0"/>
      <w:outlineLvl w:val="2"/>
    </w:pPr>
    <w:rPr>
      <w:rFonts w:asciiTheme="majorHAnsi" w:eastAsiaTheme="majorEastAsia" w:hAnsiTheme="majorHAnsi" w:cstheme="majorBidi"/>
      <w:color w:val="051424" w:themeColor="accent1" w:themeShade="7F"/>
      <w:sz w:val="24"/>
      <w:szCs w:val="24"/>
    </w:rPr>
  </w:style>
  <w:style w:type="paragraph" w:styleId="Heading4">
    <w:name w:val="heading 4"/>
    <w:basedOn w:val="Normal"/>
    <w:next w:val="Normal"/>
    <w:link w:val="Heading4Char"/>
    <w:qFormat/>
    <w:rsid w:val="00570E30"/>
    <w:pPr>
      <w:keepNext/>
      <w:keepLines/>
      <w:numPr>
        <w:ilvl w:val="3"/>
        <w:numId w:val="38"/>
      </w:numPr>
      <w:spacing w:before="40" w:after="0"/>
      <w:outlineLvl w:val="3"/>
    </w:pPr>
    <w:rPr>
      <w:rFonts w:asciiTheme="majorHAnsi" w:eastAsiaTheme="majorEastAsia" w:hAnsiTheme="majorHAnsi" w:cstheme="majorBidi"/>
      <w:i/>
      <w:iCs/>
      <w:color w:val="081E36" w:themeColor="accent1" w:themeShade="BF"/>
    </w:rPr>
  </w:style>
  <w:style w:type="paragraph" w:styleId="Heading5">
    <w:name w:val="heading 5"/>
    <w:basedOn w:val="Normal"/>
    <w:next w:val="Normal"/>
    <w:link w:val="Heading5Char"/>
    <w:qFormat/>
    <w:rsid w:val="00570E30"/>
    <w:pPr>
      <w:keepNext/>
      <w:keepLines/>
      <w:numPr>
        <w:ilvl w:val="4"/>
        <w:numId w:val="38"/>
      </w:numPr>
      <w:spacing w:before="40" w:after="0"/>
      <w:outlineLvl w:val="4"/>
    </w:pPr>
    <w:rPr>
      <w:rFonts w:asciiTheme="majorHAnsi" w:eastAsiaTheme="majorEastAsia" w:hAnsiTheme="majorHAnsi" w:cstheme="majorBidi"/>
      <w:color w:val="081E36" w:themeColor="accent1" w:themeShade="BF"/>
    </w:rPr>
  </w:style>
  <w:style w:type="paragraph" w:styleId="Heading6">
    <w:name w:val="heading 6"/>
    <w:basedOn w:val="Normal"/>
    <w:next w:val="Normal"/>
    <w:link w:val="Heading6Char"/>
    <w:qFormat/>
    <w:rsid w:val="00570E30"/>
    <w:pPr>
      <w:keepNext/>
      <w:keepLines/>
      <w:numPr>
        <w:ilvl w:val="5"/>
        <w:numId w:val="38"/>
      </w:numPr>
      <w:spacing w:before="40" w:after="0"/>
      <w:outlineLvl w:val="5"/>
    </w:pPr>
    <w:rPr>
      <w:rFonts w:asciiTheme="majorHAnsi" w:eastAsiaTheme="majorEastAsia" w:hAnsiTheme="majorHAnsi" w:cstheme="majorBidi"/>
      <w:color w:val="051424" w:themeColor="accent1" w:themeShade="7F"/>
    </w:rPr>
  </w:style>
  <w:style w:type="paragraph" w:styleId="Heading7">
    <w:name w:val="heading 7"/>
    <w:basedOn w:val="Normal"/>
    <w:next w:val="Normal"/>
    <w:link w:val="Heading7Char"/>
    <w:qFormat/>
    <w:rsid w:val="00570E30"/>
    <w:pPr>
      <w:keepNext/>
      <w:keepLines/>
      <w:numPr>
        <w:ilvl w:val="6"/>
        <w:numId w:val="38"/>
      </w:numPr>
      <w:spacing w:before="40" w:after="0"/>
      <w:outlineLvl w:val="6"/>
    </w:pPr>
    <w:rPr>
      <w:rFonts w:asciiTheme="majorHAnsi" w:eastAsiaTheme="majorEastAsia" w:hAnsiTheme="majorHAnsi" w:cstheme="majorBidi"/>
      <w:i/>
      <w:iCs/>
      <w:color w:val="051424" w:themeColor="accent1" w:themeShade="7F"/>
    </w:rPr>
  </w:style>
  <w:style w:type="paragraph" w:styleId="Heading8">
    <w:name w:val="heading 8"/>
    <w:basedOn w:val="Normal"/>
    <w:next w:val="Normal"/>
    <w:link w:val="Heading8Char"/>
    <w:qFormat/>
    <w:rsid w:val="00570E30"/>
    <w:pPr>
      <w:keepNext/>
      <w:keepLines/>
      <w:numPr>
        <w:ilvl w:val="7"/>
        <w:numId w:val="38"/>
      </w:numPr>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qFormat/>
    <w:rsid w:val="00570E30"/>
    <w:pPr>
      <w:keepNext/>
      <w:keepLines/>
      <w:numPr>
        <w:ilvl w:val="8"/>
        <w:numId w:val="3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nhideWhenUsed/>
    <w:qFormat/>
  </w:style>
  <w:style w:type="table" w:default="1" w:styleId="TableNormal">
    <w:name w:val="Normal Table"/>
    <w:semiHidden/>
    <w:unhideWhenUsed/>
    <w:tblPr>
      <w:tblInd w:w="0" w:type="dxa"/>
      <w:tblCellMar>
        <w:top w:w="0" w:type="dxa"/>
        <w:left w:w="108" w:type="dxa"/>
        <w:bottom w:w="0" w:type="dxa"/>
        <w:right w:w="108" w:type="dxa"/>
      </w:tblCellMar>
    </w:tblPr>
  </w:style>
  <w:style w:type="numbering" w:default="1" w:styleId="NoList">
    <w:name w:val="No List"/>
    <w:semiHidden/>
    <w:unhideWhenUsed/>
  </w:style>
  <w:style w:type="paragraph" w:styleId="Title">
    <w:name w:val="Title"/>
    <w:basedOn w:val="Normal"/>
    <w:next w:val="Paragraph"/>
    <w:link w:val="TitleChar"/>
    <w:qFormat/>
    <w:rsid w:val="001C19B1"/>
    <w:pPr>
      <w:pBdr>
        <w:top w:val="nil"/>
        <w:left w:val="nil"/>
        <w:bottom w:val="nil"/>
        <w:right w:val="nil"/>
        <w:between w:val="nil"/>
      </w:pBdr>
      <w:spacing w:before="3600" w:after="960" w:line="240" w:lineRule="auto"/>
      <w:ind w:left="1152"/>
      <w:jc w:val="right"/>
    </w:pPr>
    <w:rPr>
      <w:rFonts w:ascii="Arial Narrow" w:eastAsia="Arial Narrow" w:hAnsi="Arial Narrow"/>
      <w:b/>
      <w:color w:val="000000"/>
      <w:sz w:val="48"/>
    </w:rPr>
  </w:style>
  <w:style w:type="character" w:customStyle="1" w:styleId="Heading1Char">
    <w:name w:val="Heading 1 Char"/>
    <w:basedOn w:val="DefaultParagraphFont"/>
    <w:link w:val="Heading1"/>
    <w:uiPriority w:val="9"/>
    <w:rsid w:val="00570E30"/>
    <w:rPr>
      <w:rFonts w:asciiTheme="majorHAnsi" w:eastAsiaTheme="majorEastAsia" w:hAnsiTheme="majorHAnsi" w:cstheme="majorBidi"/>
      <w:color w:val="081E36" w:themeColor="accent1" w:themeShade="BF"/>
      <w:sz w:val="32"/>
      <w:szCs w:val="32"/>
    </w:rPr>
  </w:style>
  <w:style w:type="character" w:customStyle="1" w:styleId="Heading2Char">
    <w:name w:val="Heading 2 Char"/>
    <w:basedOn w:val="DefaultParagraphFont"/>
    <w:link w:val="Heading2"/>
    <w:rsid w:val="00570E30"/>
    <w:rPr>
      <w:rFonts w:asciiTheme="majorHAnsi" w:eastAsiaTheme="majorEastAsia" w:hAnsiTheme="majorHAnsi" w:cstheme="majorBidi"/>
      <w:color w:val="081E36" w:themeColor="accent1" w:themeShade="BF"/>
      <w:sz w:val="26"/>
      <w:szCs w:val="26"/>
    </w:rPr>
  </w:style>
  <w:style w:type="character" w:customStyle="1" w:styleId="Heading3Char">
    <w:name w:val="Heading 3 Char"/>
    <w:basedOn w:val="DefaultParagraphFont"/>
    <w:link w:val="Heading3"/>
    <w:rsid w:val="00570E30"/>
    <w:rPr>
      <w:rFonts w:asciiTheme="majorHAnsi" w:eastAsiaTheme="majorEastAsia" w:hAnsiTheme="majorHAnsi" w:cstheme="majorBidi"/>
      <w:color w:val="051424" w:themeColor="accent1" w:themeShade="7F"/>
      <w:sz w:val="24"/>
      <w:szCs w:val="24"/>
    </w:rPr>
  </w:style>
  <w:style w:type="character" w:customStyle="1" w:styleId="Heading4Char">
    <w:name w:val="Heading 4 Char"/>
    <w:basedOn w:val="DefaultParagraphFont"/>
    <w:link w:val="Heading4"/>
    <w:rsid w:val="00570E30"/>
    <w:rPr>
      <w:rFonts w:asciiTheme="majorHAnsi" w:eastAsiaTheme="majorEastAsia" w:hAnsiTheme="majorHAnsi" w:cstheme="majorBidi"/>
      <w:i/>
      <w:iCs/>
      <w:color w:val="081E36" w:themeColor="accent1" w:themeShade="BF"/>
      <w:szCs w:val="22"/>
    </w:rPr>
  </w:style>
  <w:style w:type="character" w:customStyle="1" w:styleId="Heading5Char">
    <w:name w:val="Heading 5 Char"/>
    <w:basedOn w:val="DefaultParagraphFont"/>
    <w:link w:val="Heading5"/>
    <w:rsid w:val="00570E30"/>
    <w:rPr>
      <w:rFonts w:asciiTheme="majorHAnsi" w:eastAsiaTheme="majorEastAsia" w:hAnsiTheme="majorHAnsi" w:cstheme="majorBidi"/>
      <w:color w:val="081E36" w:themeColor="accent1" w:themeShade="BF"/>
      <w:szCs w:val="22"/>
    </w:rPr>
  </w:style>
  <w:style w:type="character" w:customStyle="1" w:styleId="Heading6Char">
    <w:name w:val="Heading 6 Char"/>
    <w:basedOn w:val="DefaultParagraphFont"/>
    <w:link w:val="Heading6"/>
    <w:rsid w:val="00570E30"/>
    <w:rPr>
      <w:rFonts w:asciiTheme="majorHAnsi" w:eastAsiaTheme="majorEastAsia" w:hAnsiTheme="majorHAnsi" w:cstheme="majorBidi"/>
      <w:color w:val="051424" w:themeColor="accent1" w:themeShade="7F"/>
      <w:szCs w:val="22"/>
    </w:rPr>
  </w:style>
  <w:style w:type="character" w:customStyle="1" w:styleId="Heading7Char">
    <w:name w:val="Heading 7 Char"/>
    <w:basedOn w:val="DefaultParagraphFont"/>
    <w:link w:val="Heading7"/>
    <w:rsid w:val="00570E30"/>
    <w:rPr>
      <w:rFonts w:asciiTheme="majorHAnsi" w:eastAsiaTheme="majorEastAsia" w:hAnsiTheme="majorHAnsi" w:cstheme="majorBidi"/>
      <w:i/>
      <w:iCs/>
      <w:color w:val="051424" w:themeColor="accent1" w:themeShade="7F"/>
      <w:szCs w:val="22"/>
    </w:rPr>
  </w:style>
  <w:style w:type="character" w:customStyle="1" w:styleId="Heading8Char">
    <w:name w:val="Heading 8 Char"/>
    <w:basedOn w:val="DefaultParagraphFont"/>
    <w:link w:val="Heading8"/>
    <w:rsid w:val="00570E30"/>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rsid w:val="00570E30"/>
    <w:rPr>
      <w:rFonts w:asciiTheme="majorHAnsi" w:eastAsiaTheme="majorEastAsia" w:hAnsiTheme="majorHAnsi" w:cstheme="majorBidi"/>
      <w:i/>
      <w:iCs/>
      <w:color w:val="272727" w:themeColor="text1" w:themeTint="D8"/>
      <w:sz w:val="21"/>
      <w:szCs w:val="21"/>
    </w:rPr>
  </w:style>
  <w:style w:type="paragraph" w:customStyle="1" w:styleId="AcronymDefinition">
    <w:name w:val="Acronym Definition"/>
    <w:qFormat/>
    <w:rsid w:val="005E64B8"/>
    <w:pPr>
      <w:spacing w:before="60" w:after="60"/>
    </w:pPr>
    <w:rPr>
      <w:sz w:val="24"/>
      <w:szCs w:val="24"/>
    </w:rPr>
  </w:style>
  <w:style w:type="paragraph" w:customStyle="1" w:styleId="AcronymTerm">
    <w:name w:val="Acronym Term"/>
    <w:qFormat/>
    <w:rsid w:val="005E64B8"/>
    <w:pPr>
      <w:spacing w:before="60" w:after="60"/>
    </w:pPr>
    <w:rPr>
      <w:b/>
      <w:sz w:val="24"/>
      <w:szCs w:val="24"/>
    </w:rPr>
  </w:style>
  <w:style w:type="paragraph" w:customStyle="1" w:styleId="AppHeading1">
    <w:name w:val="AppHeading 1"/>
    <w:next w:val="Normal"/>
    <w:qFormat/>
    <w:rsid w:val="005E64B8"/>
    <w:pPr>
      <w:keepNext/>
      <w:pageBreakBefore/>
      <w:numPr>
        <w:numId w:val="16"/>
      </w:numPr>
      <w:spacing w:before="120" w:after="360" w:line="400" w:lineRule="exact"/>
      <w:jc w:val="center"/>
      <w:outlineLvl w:val="1"/>
    </w:pPr>
    <w:rPr>
      <w:rFonts w:ascii="Arial Narrow" w:hAnsi="Arial Narrow"/>
      <w:b/>
      <w:sz w:val="36"/>
    </w:rPr>
  </w:style>
  <w:style w:type="paragraph" w:customStyle="1" w:styleId="AppHeading2">
    <w:name w:val="AppHeading 2"/>
    <w:next w:val="Normal"/>
    <w:qFormat/>
    <w:rsid w:val="005E64B8"/>
    <w:pPr>
      <w:keepNext/>
      <w:numPr>
        <w:ilvl w:val="1"/>
        <w:numId w:val="16"/>
      </w:numPr>
      <w:spacing w:before="300" w:after="100"/>
    </w:pPr>
    <w:rPr>
      <w:rFonts w:ascii="Arial Narrow" w:hAnsi="Arial Narrow"/>
      <w:b/>
      <w:sz w:val="32"/>
    </w:rPr>
  </w:style>
  <w:style w:type="paragraph" w:customStyle="1" w:styleId="AppHeading3">
    <w:name w:val="AppHeading 3"/>
    <w:next w:val="Normal"/>
    <w:qFormat/>
    <w:rsid w:val="005E64B8"/>
    <w:pPr>
      <w:keepNext/>
      <w:numPr>
        <w:ilvl w:val="2"/>
        <w:numId w:val="16"/>
      </w:numPr>
      <w:spacing w:before="240" w:after="80"/>
    </w:pPr>
    <w:rPr>
      <w:rFonts w:ascii="Arial Narrow" w:hAnsi="Arial Narrow"/>
      <w:b/>
      <w:sz w:val="28"/>
    </w:rPr>
  </w:style>
  <w:style w:type="paragraph" w:customStyle="1" w:styleId="AppHeading4">
    <w:name w:val="AppHeading 4"/>
    <w:next w:val="Normal"/>
    <w:qFormat/>
    <w:rsid w:val="005E64B8"/>
    <w:pPr>
      <w:numPr>
        <w:ilvl w:val="3"/>
        <w:numId w:val="16"/>
      </w:numPr>
      <w:tabs>
        <w:tab w:val="num" w:pos="1080"/>
      </w:tabs>
      <w:spacing w:before="240" w:after="120"/>
    </w:pPr>
    <w:rPr>
      <w:rFonts w:ascii="Arial Narrow" w:hAnsi="Arial Narrow"/>
      <w:b/>
      <w:sz w:val="26"/>
    </w:rPr>
  </w:style>
  <w:style w:type="paragraph" w:customStyle="1" w:styleId="BackMatterHeading">
    <w:name w:val="Back Matter Heading"/>
    <w:next w:val="Normal"/>
    <w:qFormat/>
    <w:rsid w:val="005E64B8"/>
    <w:pPr>
      <w:keepNext/>
      <w:spacing w:before="120" w:after="480"/>
      <w:jc w:val="center"/>
    </w:pPr>
    <w:rPr>
      <w:rFonts w:ascii="Arial Narrow" w:hAnsi="Arial Narrow"/>
      <w:b/>
      <w:sz w:val="36"/>
    </w:rPr>
  </w:style>
  <w:style w:type="paragraph" w:customStyle="1" w:styleId="BulletListMultiple">
    <w:name w:val="Bullet List Multiple"/>
    <w:link w:val="BulletListMultipleCharChar"/>
    <w:qFormat/>
    <w:rsid w:val="005E64B8"/>
    <w:pPr>
      <w:numPr>
        <w:numId w:val="1"/>
      </w:numPr>
      <w:spacing w:before="80" w:after="80"/>
    </w:pPr>
    <w:rPr>
      <w:sz w:val="24"/>
      <w:szCs w:val="24"/>
    </w:rPr>
  </w:style>
  <w:style w:type="character" w:customStyle="1" w:styleId="BulletListMultipleCharChar">
    <w:name w:val="Bullet List Multiple Char Char"/>
    <w:link w:val="BulletListMultiple"/>
    <w:rsid w:val="00FE5CD6"/>
    <w:rPr>
      <w:sz w:val="24"/>
      <w:szCs w:val="24"/>
    </w:rPr>
  </w:style>
  <w:style w:type="paragraph" w:customStyle="1" w:styleId="BulletListMultipleLast">
    <w:name w:val="Bullet List Multiple Last"/>
    <w:next w:val="Normal"/>
    <w:link w:val="BulletListMultipleLastCharChar"/>
    <w:qFormat/>
    <w:rsid w:val="005E64B8"/>
    <w:pPr>
      <w:numPr>
        <w:numId w:val="2"/>
      </w:numPr>
      <w:spacing w:before="80" w:after="280"/>
    </w:pPr>
    <w:rPr>
      <w:sz w:val="24"/>
      <w:szCs w:val="24"/>
    </w:rPr>
  </w:style>
  <w:style w:type="character" w:customStyle="1" w:styleId="BulletListMultipleLastCharChar">
    <w:name w:val="Bullet List Multiple Last Char Char"/>
    <w:link w:val="BulletListMultipleLast"/>
    <w:rsid w:val="00FE5CD6"/>
    <w:rPr>
      <w:sz w:val="24"/>
      <w:szCs w:val="24"/>
    </w:rPr>
  </w:style>
  <w:style w:type="paragraph" w:customStyle="1" w:styleId="BulletListSingle">
    <w:name w:val="Bullet List Single"/>
    <w:link w:val="BulletListSingleCharChar"/>
    <w:qFormat/>
    <w:rsid w:val="005E64B8"/>
    <w:pPr>
      <w:numPr>
        <w:numId w:val="3"/>
      </w:numPr>
      <w:spacing w:before="60"/>
    </w:pPr>
    <w:rPr>
      <w:sz w:val="24"/>
      <w:szCs w:val="24"/>
    </w:rPr>
  </w:style>
  <w:style w:type="character" w:customStyle="1" w:styleId="BulletListSingleCharChar">
    <w:name w:val="Bullet List Single Char Char"/>
    <w:link w:val="BulletListSingle"/>
    <w:rsid w:val="00FE5CD6"/>
    <w:rPr>
      <w:sz w:val="24"/>
      <w:szCs w:val="24"/>
    </w:rPr>
  </w:style>
  <w:style w:type="paragraph" w:customStyle="1" w:styleId="BulletListSingleLast">
    <w:name w:val="Bullet List Single Last"/>
    <w:next w:val="Normal"/>
    <w:qFormat/>
    <w:rsid w:val="005E64B8"/>
    <w:pPr>
      <w:numPr>
        <w:numId w:val="4"/>
      </w:numPr>
      <w:spacing w:before="60" w:after="280"/>
    </w:pPr>
    <w:rPr>
      <w:sz w:val="24"/>
      <w:szCs w:val="24"/>
    </w:rPr>
  </w:style>
  <w:style w:type="paragraph" w:customStyle="1" w:styleId="Classification">
    <w:name w:val="Classification"/>
    <w:qFormat/>
    <w:rsid w:val="005E64B8"/>
    <w:pPr>
      <w:spacing w:before="120"/>
      <w:jc w:val="right"/>
    </w:pPr>
    <w:rPr>
      <w:rFonts w:ascii="Arial Narrow" w:hAnsi="Arial Narrow"/>
      <w:b/>
      <w:sz w:val="32"/>
      <w:szCs w:val="24"/>
    </w:rPr>
  </w:style>
  <w:style w:type="paragraph" w:customStyle="1" w:styleId="DocTitle">
    <w:name w:val="Doc Title"/>
    <w:qFormat/>
    <w:rsid w:val="005E64B8"/>
    <w:pPr>
      <w:spacing w:before="1080" w:after="960"/>
      <w:ind w:left="1354"/>
      <w:jc w:val="right"/>
    </w:pPr>
    <w:rPr>
      <w:rFonts w:ascii="Arial Narrow" w:hAnsi="Arial Narrow"/>
      <w:b/>
      <w:sz w:val="46"/>
      <w:szCs w:val="46"/>
    </w:rPr>
  </w:style>
  <w:style w:type="paragraph" w:customStyle="1" w:styleId="TableBulletSmaller">
    <w:name w:val="TableBullet Smaller"/>
    <w:qFormat/>
    <w:rsid w:val="005E64B8"/>
    <w:pPr>
      <w:numPr>
        <w:numId w:val="7"/>
      </w:numPr>
      <w:spacing w:before="120"/>
    </w:pPr>
    <w:rPr>
      <w:rFonts w:ascii="Arial" w:hAnsi="Arial"/>
      <w:noProof/>
      <w:sz w:val="16"/>
      <w:szCs w:val="24"/>
    </w:rPr>
  </w:style>
  <w:style w:type="paragraph" w:customStyle="1" w:styleId="ESFigureCaption">
    <w:name w:val="ES FigureCaption"/>
    <w:aliases w:val="efc"/>
    <w:next w:val="Normal"/>
    <w:qFormat/>
    <w:rsid w:val="005E64B8"/>
    <w:pPr>
      <w:keepNext/>
      <w:spacing w:before="120" w:after="240"/>
      <w:jc w:val="center"/>
    </w:pPr>
    <w:rPr>
      <w:rFonts w:ascii="Arial Narrow" w:hAnsi="Arial Narrow"/>
      <w:b/>
      <w:sz w:val="24"/>
      <w:szCs w:val="24"/>
    </w:rPr>
  </w:style>
  <w:style w:type="paragraph" w:customStyle="1" w:styleId="ESTableCaption">
    <w:name w:val="ES TableCaption"/>
    <w:aliases w:val="etc"/>
    <w:next w:val="Normal"/>
    <w:qFormat/>
    <w:rsid w:val="005E64B8"/>
    <w:pPr>
      <w:keepNext/>
      <w:spacing w:before="240" w:after="120"/>
      <w:jc w:val="center"/>
    </w:pPr>
    <w:rPr>
      <w:rFonts w:ascii="Arial Narrow" w:hAnsi="Arial Narrow"/>
      <w:b/>
      <w:sz w:val="24"/>
      <w:szCs w:val="24"/>
    </w:rPr>
  </w:style>
  <w:style w:type="paragraph" w:customStyle="1" w:styleId="ESHeading1">
    <w:name w:val="ESHeading 1"/>
    <w:qFormat/>
    <w:rsid w:val="005E64B8"/>
    <w:pPr>
      <w:keepNext/>
      <w:numPr>
        <w:numId w:val="17"/>
      </w:numPr>
      <w:spacing w:before="120" w:after="280" w:line="400" w:lineRule="exact"/>
      <w:jc w:val="center"/>
      <w:outlineLvl w:val="0"/>
    </w:pPr>
    <w:rPr>
      <w:rFonts w:ascii="Arial Narrow" w:hAnsi="Arial Narrow"/>
      <w:b/>
      <w:color w:val="003893"/>
      <w:sz w:val="36"/>
    </w:rPr>
  </w:style>
  <w:style w:type="paragraph" w:customStyle="1" w:styleId="ESHeading2">
    <w:name w:val="ESHeading 2"/>
    <w:next w:val="Normal"/>
    <w:qFormat/>
    <w:rsid w:val="005E64B8"/>
    <w:pPr>
      <w:keepNext/>
      <w:numPr>
        <w:ilvl w:val="1"/>
        <w:numId w:val="17"/>
      </w:numPr>
      <w:spacing w:before="300" w:after="100"/>
      <w:outlineLvl w:val="1"/>
    </w:pPr>
    <w:rPr>
      <w:rFonts w:ascii="Arial Narrow" w:hAnsi="Arial Narrow"/>
      <w:b/>
      <w:color w:val="003893"/>
      <w:sz w:val="32"/>
    </w:rPr>
  </w:style>
  <w:style w:type="paragraph" w:customStyle="1" w:styleId="ESHeading3">
    <w:name w:val="ESHeading 3"/>
    <w:next w:val="Normal"/>
    <w:qFormat/>
    <w:rsid w:val="005E64B8"/>
    <w:pPr>
      <w:keepNext/>
      <w:numPr>
        <w:ilvl w:val="2"/>
        <w:numId w:val="17"/>
      </w:numPr>
      <w:spacing w:before="240" w:after="80"/>
      <w:outlineLvl w:val="2"/>
    </w:pPr>
    <w:rPr>
      <w:rFonts w:ascii="Arial Narrow" w:hAnsi="Arial Narrow"/>
      <w:b/>
      <w:color w:val="003893"/>
      <w:sz w:val="28"/>
      <w:szCs w:val="28"/>
    </w:rPr>
  </w:style>
  <w:style w:type="paragraph" w:customStyle="1" w:styleId="ESHeading4">
    <w:name w:val="ESHeading 4"/>
    <w:next w:val="Normal"/>
    <w:qFormat/>
    <w:rsid w:val="005E64B8"/>
    <w:pPr>
      <w:keepNext/>
      <w:numPr>
        <w:ilvl w:val="3"/>
        <w:numId w:val="17"/>
      </w:numPr>
      <w:spacing w:before="120" w:after="120"/>
      <w:outlineLvl w:val="3"/>
    </w:pPr>
    <w:rPr>
      <w:rFonts w:ascii="Arial Narrow" w:hAnsi="Arial Narrow"/>
      <w:b/>
      <w:color w:val="003893"/>
      <w:sz w:val="26"/>
      <w:szCs w:val="26"/>
    </w:rPr>
  </w:style>
  <w:style w:type="paragraph" w:customStyle="1" w:styleId="Figure">
    <w:name w:val="Figure"/>
    <w:basedOn w:val="Normal"/>
    <w:next w:val="FigureCaption"/>
    <w:qFormat/>
    <w:rsid w:val="00831D9A"/>
    <w:pPr>
      <w:pBdr>
        <w:top w:val="nil"/>
        <w:left w:val="nil"/>
        <w:bottom w:val="nil"/>
        <w:right w:val="nil"/>
        <w:between w:val="nil"/>
      </w:pBdr>
      <w:spacing w:after="0" w:line="240" w:lineRule="auto"/>
    </w:pPr>
    <w:rPr>
      <w:rFonts w:ascii="Verdana" w:eastAsia="Verdana" w:hAnsi="Verdana"/>
      <w:color w:val="000000"/>
      <w:sz w:val="16"/>
      <w:szCs w:val="16"/>
    </w:rPr>
  </w:style>
  <w:style w:type="paragraph" w:customStyle="1" w:styleId="FigureCaption">
    <w:name w:val="FigureCaption"/>
    <w:aliases w:val="fc"/>
    <w:qFormat/>
    <w:rsid w:val="005E64B8"/>
    <w:pPr>
      <w:spacing w:before="100" w:after="400"/>
      <w:jc w:val="center"/>
    </w:pPr>
    <w:rPr>
      <w:rFonts w:ascii="Arial Narrow" w:hAnsi="Arial Narrow"/>
      <w:b/>
      <w:sz w:val="24"/>
      <w:szCs w:val="24"/>
    </w:rPr>
  </w:style>
  <w:style w:type="paragraph" w:customStyle="1" w:styleId="FigureTableTOC">
    <w:name w:val="Figure/Table/TOC"/>
    <w:basedOn w:val="Normal"/>
    <w:qFormat/>
    <w:rsid w:val="00FE5CD6"/>
    <w:pPr>
      <w:tabs>
        <w:tab w:val="right" w:pos="8914"/>
      </w:tabs>
      <w:ind w:left="360"/>
    </w:pPr>
    <w:rPr>
      <w:rFonts w:ascii="Arial" w:hAnsi="Arial"/>
      <w:b/>
      <w:sz w:val="22"/>
    </w:rPr>
  </w:style>
  <w:style w:type="paragraph" w:styleId="Footer">
    <w:name w:val="footer"/>
    <w:basedOn w:val="Normal"/>
    <w:link w:val="FooterChar"/>
    <w:qFormat/>
    <w:rsid w:val="002A3E6E"/>
    <w:pPr>
      <w:pBdr>
        <w:top w:val="single" w:sz="4" w:space="4" w:color="000000"/>
        <w:left w:val="nil"/>
        <w:bottom w:val="nil"/>
        <w:right w:val="nil"/>
        <w:between w:val="nil"/>
      </w:pBdr>
      <w:tabs>
        <w:tab w:val="center" w:pos="4680"/>
        <w:tab w:val="right" w:pos="9360"/>
      </w:tabs>
      <w:spacing w:before="120" w:after="0" w:line="240" w:lineRule="auto"/>
    </w:pPr>
    <w:rPr>
      <w:rFonts w:ascii="Arial Narrow" w:eastAsia="Arial Narrow" w:hAnsi="Arial Narrow" w:cs="Arial Narrow"/>
      <w:color w:val="000000"/>
      <w:sz w:val="18"/>
      <w:szCs w:val="18"/>
    </w:rPr>
  </w:style>
  <w:style w:type="character" w:customStyle="1" w:styleId="FooterChar">
    <w:name w:val="Footer Char"/>
    <w:basedOn w:val="DefaultParagraphFont"/>
    <w:link w:val="Footer"/>
    <w:uiPriority w:val="99"/>
    <w:rsid w:val="002A3E6E"/>
    <w:rPr>
      <w:rFonts w:ascii="Arial Narrow" w:eastAsia="Arial Narrow" w:hAnsi="Arial Narrow" w:cs="Arial Narrow"/>
      <w:color w:val="000000"/>
      <w:sz w:val="18"/>
      <w:szCs w:val="18"/>
    </w:rPr>
  </w:style>
  <w:style w:type="paragraph" w:customStyle="1" w:styleId="Footer2">
    <w:name w:val="Footer2"/>
    <w:aliases w:val="f2"/>
    <w:next w:val="Normal"/>
    <w:qFormat/>
    <w:rsid w:val="005E64B8"/>
    <w:pPr>
      <w:spacing w:before="120"/>
      <w:jc w:val="center"/>
    </w:pPr>
    <w:rPr>
      <w:rFonts w:ascii="Arial" w:hAnsi="Arial"/>
      <w:b/>
      <w:sz w:val="24"/>
      <w:szCs w:val="24"/>
    </w:rPr>
  </w:style>
  <w:style w:type="character" w:styleId="FootnoteReference">
    <w:name w:val="footnote reference"/>
    <w:basedOn w:val="DefaultParagraphFont"/>
    <w:unhideWhenUsed/>
    <w:qFormat/>
    <w:rsid w:val="00570E30"/>
    <w:rPr>
      <w:vertAlign w:val="superscript"/>
    </w:rPr>
  </w:style>
  <w:style w:type="paragraph" w:styleId="FootnoteText">
    <w:name w:val="footnote text"/>
    <w:basedOn w:val="Normal"/>
    <w:link w:val="FootnoteTextChar"/>
    <w:unhideWhenUsed/>
    <w:qFormat/>
    <w:rsid w:val="005B5EB6"/>
    <w:pPr>
      <w:spacing w:after="40" w:line="240" w:lineRule="auto"/>
    </w:pPr>
    <w:rPr>
      <w:rFonts w:ascii="Times New Roman" w:hAnsi="Times New Roman"/>
      <w:szCs w:val="20"/>
    </w:rPr>
  </w:style>
  <w:style w:type="character" w:customStyle="1" w:styleId="FootnoteTextChar">
    <w:name w:val="Footnote Text Char"/>
    <w:basedOn w:val="DefaultParagraphFont"/>
    <w:link w:val="FootnoteText"/>
    <w:rsid w:val="005B5EB6"/>
    <w:rPr>
      <w:rFonts w:eastAsiaTheme="minorHAnsi" w:cstheme="minorBidi"/>
    </w:rPr>
  </w:style>
  <w:style w:type="paragraph" w:customStyle="1" w:styleId="FrontMatterHeader">
    <w:name w:val="Front Matter Header"/>
    <w:next w:val="Normal"/>
    <w:qFormat/>
    <w:rsid w:val="005E64B8"/>
    <w:pPr>
      <w:keepNext/>
      <w:spacing w:before="120" w:after="360"/>
      <w:jc w:val="center"/>
    </w:pPr>
    <w:rPr>
      <w:rFonts w:ascii="Arial Narrow" w:hAnsi="Arial Narrow"/>
      <w:b/>
      <w:sz w:val="36"/>
    </w:rPr>
  </w:style>
  <w:style w:type="paragraph" w:customStyle="1" w:styleId="GlossaryDefinition">
    <w:name w:val="GlossaryDefinition"/>
    <w:qFormat/>
    <w:rsid w:val="005E64B8"/>
    <w:pPr>
      <w:spacing w:before="120" w:after="120"/>
    </w:pPr>
    <w:rPr>
      <w:sz w:val="24"/>
      <w:szCs w:val="24"/>
    </w:rPr>
  </w:style>
  <w:style w:type="paragraph" w:customStyle="1" w:styleId="GlossaryTerm">
    <w:name w:val="GlossaryTerm"/>
    <w:qFormat/>
    <w:rsid w:val="005E64B8"/>
    <w:pPr>
      <w:spacing w:before="120" w:after="120"/>
    </w:pPr>
    <w:rPr>
      <w:b/>
      <w:sz w:val="24"/>
      <w:szCs w:val="24"/>
    </w:rPr>
  </w:style>
  <w:style w:type="paragraph" w:styleId="Header">
    <w:name w:val="header"/>
    <w:aliases w:val="h1"/>
    <w:basedOn w:val="Normal"/>
    <w:link w:val="HeaderChar"/>
    <w:qFormat/>
    <w:rsid w:val="002A3E6E"/>
    <w:pPr>
      <w:pBdr>
        <w:top w:val="nil"/>
        <w:left w:val="nil"/>
        <w:bottom w:val="single" w:sz="4" w:space="1" w:color="000000"/>
        <w:right w:val="nil"/>
        <w:between w:val="nil"/>
      </w:pBdr>
      <w:tabs>
        <w:tab w:val="right" w:pos="9360"/>
      </w:tabs>
      <w:spacing w:before="120" w:after="240" w:line="240" w:lineRule="auto"/>
    </w:pPr>
    <w:rPr>
      <w:rFonts w:ascii="Arial Narrow" w:eastAsia="Arial Narrow" w:hAnsi="Arial Narrow"/>
      <w:color w:val="000000"/>
      <w:sz w:val="18"/>
    </w:rPr>
  </w:style>
  <w:style w:type="character" w:customStyle="1" w:styleId="HeaderChar">
    <w:name w:val="Header Char"/>
    <w:aliases w:val="h1 Char"/>
    <w:basedOn w:val="DefaultParagraphFont"/>
    <w:link w:val="Header"/>
    <w:rsid w:val="002A3E6E"/>
    <w:rPr>
      <w:rFonts w:ascii="Arial Narrow" w:eastAsia="Arial Narrow" w:hAnsi="Arial Narrow" w:cstheme="minorBidi"/>
      <w:color w:val="000000"/>
      <w:sz w:val="18"/>
      <w:szCs w:val="22"/>
    </w:rPr>
  </w:style>
  <w:style w:type="paragraph" w:customStyle="1" w:styleId="Header2">
    <w:name w:val="Header2"/>
    <w:qFormat/>
    <w:rsid w:val="005E64B8"/>
    <w:pPr>
      <w:pBdr>
        <w:bottom w:val="single" w:sz="4" w:space="1" w:color="auto"/>
      </w:pBdr>
      <w:tabs>
        <w:tab w:val="right" w:pos="9360"/>
      </w:tabs>
      <w:spacing w:before="120" w:after="240"/>
    </w:pPr>
    <w:rPr>
      <w:rFonts w:ascii="Arial Narrow" w:hAnsi="Arial Narrow"/>
      <w:sz w:val="18"/>
      <w:szCs w:val="24"/>
    </w:rPr>
  </w:style>
  <w:style w:type="paragraph" w:customStyle="1" w:styleId="Authors">
    <w:name w:val="Authors"/>
    <w:basedOn w:val="ProgramName"/>
    <w:qFormat/>
    <w:rsid w:val="00FE5CD6"/>
    <w:rPr>
      <w:rFonts w:ascii="Arial" w:hAnsi="Arial"/>
      <w:b w:val="0"/>
      <w:sz w:val="28"/>
    </w:rPr>
  </w:style>
  <w:style w:type="paragraph" w:customStyle="1" w:styleId="ProgramName">
    <w:name w:val="Program Name"/>
    <w:link w:val="ProgramNameChar"/>
    <w:qFormat/>
    <w:rsid w:val="005E64B8"/>
    <w:pPr>
      <w:spacing w:before="400"/>
      <w:jc w:val="right"/>
    </w:pPr>
    <w:rPr>
      <w:rFonts w:ascii="Arial Narrow" w:hAnsi="Arial Narrow"/>
      <w:b/>
      <w:sz w:val="40"/>
      <w:szCs w:val="24"/>
    </w:rPr>
  </w:style>
  <w:style w:type="character" w:customStyle="1" w:styleId="ProgramNameChar">
    <w:name w:val="Program Name Char"/>
    <w:link w:val="ProgramName"/>
    <w:rsid w:val="00FE5CD6"/>
    <w:rPr>
      <w:rFonts w:ascii="Arial Narrow" w:hAnsi="Arial Narrow"/>
      <w:b/>
      <w:sz w:val="40"/>
      <w:szCs w:val="24"/>
    </w:rPr>
  </w:style>
  <w:style w:type="character" w:styleId="PageNumber">
    <w:name w:val="page number"/>
    <w:basedOn w:val="DefaultParagraphFont"/>
    <w:qFormat/>
    <w:rsid w:val="00570E30"/>
  </w:style>
  <w:style w:type="paragraph" w:customStyle="1" w:styleId="PubDate">
    <w:name w:val="PubDate"/>
    <w:qFormat/>
    <w:rsid w:val="001C19B1"/>
    <w:pPr>
      <w:spacing w:before="600" w:after="240"/>
      <w:jc w:val="right"/>
    </w:pPr>
    <w:rPr>
      <w:rFonts w:ascii="Arial Narrow" w:hAnsi="Arial Narrow"/>
      <w:b/>
      <w:sz w:val="32"/>
      <w:szCs w:val="24"/>
    </w:rPr>
  </w:style>
  <w:style w:type="paragraph" w:customStyle="1" w:styleId="Quotation">
    <w:name w:val="Quotation"/>
    <w:next w:val="Normal"/>
    <w:qFormat/>
    <w:rsid w:val="005E64B8"/>
    <w:pPr>
      <w:spacing w:before="120" w:after="120"/>
      <w:ind w:left="720" w:right="720"/>
    </w:pPr>
    <w:rPr>
      <w:sz w:val="24"/>
      <w:szCs w:val="24"/>
    </w:rPr>
  </w:style>
  <w:style w:type="paragraph" w:customStyle="1" w:styleId="BulletList-SecondLevel">
    <w:name w:val="Bullet List - Second Level"/>
    <w:basedOn w:val="Normal"/>
    <w:qFormat/>
    <w:rsid w:val="005E64B8"/>
    <w:pPr>
      <w:numPr>
        <w:numId w:val="5"/>
      </w:numPr>
      <w:spacing w:after="0"/>
    </w:pPr>
  </w:style>
  <w:style w:type="paragraph" w:customStyle="1" w:styleId="TableBullet">
    <w:name w:val="TableBullet"/>
    <w:qFormat/>
    <w:rsid w:val="005E64B8"/>
    <w:pPr>
      <w:numPr>
        <w:numId w:val="6"/>
      </w:numPr>
      <w:spacing w:before="20" w:after="20"/>
    </w:pPr>
    <w:rPr>
      <w:rFonts w:ascii="Arial" w:eastAsia="SimSun" w:hAnsi="Arial"/>
    </w:rPr>
  </w:style>
  <w:style w:type="paragraph" w:customStyle="1" w:styleId="TableTextSmaller">
    <w:name w:val="Table Text Smaller"/>
    <w:qFormat/>
    <w:rsid w:val="005E64B8"/>
    <w:pPr>
      <w:spacing w:before="40" w:after="40"/>
    </w:pPr>
    <w:rPr>
      <w:rFonts w:ascii="Arial" w:hAnsi="Arial"/>
      <w:noProof/>
      <w:sz w:val="16"/>
      <w:szCs w:val="24"/>
    </w:rPr>
  </w:style>
  <w:style w:type="paragraph" w:customStyle="1" w:styleId="TableCaption">
    <w:name w:val="TableCaption"/>
    <w:aliases w:val="tc"/>
    <w:next w:val="Normal"/>
    <w:qFormat/>
    <w:rsid w:val="005E64B8"/>
    <w:pPr>
      <w:keepNext/>
      <w:keepLines/>
      <w:spacing w:before="400" w:after="100"/>
      <w:jc w:val="center"/>
    </w:pPr>
    <w:rPr>
      <w:rFonts w:ascii="Arial Narrow" w:hAnsi="Arial Narrow"/>
      <w:b/>
      <w:sz w:val="24"/>
      <w:szCs w:val="24"/>
    </w:rPr>
  </w:style>
  <w:style w:type="paragraph" w:customStyle="1" w:styleId="TableColumnHeading">
    <w:name w:val="TableColumnHeading"/>
    <w:next w:val="Normal"/>
    <w:link w:val="TableColumnHeadingChar"/>
    <w:qFormat/>
    <w:rsid w:val="005E64B8"/>
    <w:pPr>
      <w:spacing w:before="60" w:after="60"/>
      <w:jc w:val="center"/>
    </w:pPr>
    <w:rPr>
      <w:rFonts w:ascii="Arial" w:hAnsi="Arial"/>
      <w:b/>
      <w:szCs w:val="24"/>
    </w:rPr>
  </w:style>
  <w:style w:type="paragraph" w:customStyle="1" w:styleId="TableDecimalNumber">
    <w:name w:val="TableDecimalNumber"/>
    <w:qFormat/>
    <w:rsid w:val="005E64B8"/>
    <w:pPr>
      <w:tabs>
        <w:tab w:val="decimal" w:pos="1292"/>
      </w:tabs>
      <w:spacing w:before="40" w:after="40"/>
    </w:pPr>
    <w:rPr>
      <w:rFonts w:ascii="Arial" w:hAnsi="Arial"/>
      <w:noProof/>
      <w:sz w:val="18"/>
      <w:szCs w:val="24"/>
    </w:rPr>
  </w:style>
  <w:style w:type="paragraph" w:customStyle="1" w:styleId="TableDivHead2">
    <w:name w:val="TableDivHead2"/>
    <w:next w:val="Normal"/>
    <w:qFormat/>
    <w:rsid w:val="005E64B8"/>
    <w:pPr>
      <w:spacing w:before="40" w:after="40"/>
    </w:pPr>
    <w:rPr>
      <w:rFonts w:ascii="Arial" w:hAnsi="Arial"/>
      <w:b/>
      <w:sz w:val="24"/>
      <w:szCs w:val="24"/>
    </w:rPr>
  </w:style>
  <w:style w:type="paragraph" w:customStyle="1" w:styleId="TableDivHeading">
    <w:name w:val="TableDivHeading"/>
    <w:qFormat/>
    <w:rsid w:val="005E64B8"/>
    <w:pPr>
      <w:keepNext/>
      <w:widowControl w:val="0"/>
      <w:spacing w:before="40" w:after="40"/>
    </w:pPr>
    <w:rPr>
      <w:rFonts w:ascii="Arial" w:hAnsi="Arial"/>
      <w:b/>
      <w:sz w:val="24"/>
      <w:szCs w:val="24"/>
    </w:rPr>
  </w:style>
  <w:style w:type="paragraph" w:customStyle="1" w:styleId="TableSubHeading">
    <w:name w:val="TableSubHeading"/>
    <w:aliases w:val="tsh"/>
    <w:qFormat/>
    <w:rsid w:val="005E64B8"/>
    <w:pPr>
      <w:keepNext/>
      <w:widowControl w:val="0"/>
      <w:spacing w:before="40" w:after="40"/>
    </w:pPr>
    <w:rPr>
      <w:rFonts w:ascii="Arial" w:hAnsi="Arial"/>
      <w:b/>
      <w:sz w:val="24"/>
      <w:szCs w:val="24"/>
    </w:rPr>
  </w:style>
  <w:style w:type="paragraph" w:customStyle="1" w:styleId="TableText">
    <w:name w:val="TableText"/>
    <w:aliases w:val="tt"/>
    <w:link w:val="TableTextChar"/>
    <w:qFormat/>
    <w:rsid w:val="005E64B8"/>
    <w:pPr>
      <w:spacing w:before="40" w:after="40"/>
    </w:pPr>
    <w:rPr>
      <w:rFonts w:ascii="Arial" w:hAnsi="Arial"/>
    </w:rPr>
  </w:style>
  <w:style w:type="character" w:customStyle="1" w:styleId="TableTextChar">
    <w:name w:val="TableText Char"/>
    <w:aliases w:val="tt Char"/>
    <w:link w:val="TableText"/>
    <w:rsid w:val="00FE5CD6"/>
    <w:rPr>
      <w:rFonts w:ascii="Arial" w:hAnsi="Arial"/>
    </w:rPr>
  </w:style>
  <w:style w:type="paragraph" w:customStyle="1" w:styleId="TableVerticalHeading">
    <w:name w:val="TableVerticalHeading"/>
    <w:aliases w:val="tvh"/>
    <w:qFormat/>
    <w:rsid w:val="005E64B8"/>
    <w:pPr>
      <w:widowControl w:val="0"/>
      <w:spacing w:before="120"/>
      <w:jc w:val="center"/>
    </w:pPr>
    <w:rPr>
      <w:rFonts w:ascii="Arial" w:hAnsi="Arial"/>
      <w:b/>
      <w:sz w:val="24"/>
      <w:szCs w:val="24"/>
    </w:rPr>
  </w:style>
  <w:style w:type="paragraph" w:styleId="TOC1">
    <w:name w:val="toc 1"/>
    <w:basedOn w:val="Normal"/>
    <w:next w:val="Normal"/>
    <w:qFormat/>
    <w:rsid w:val="007F4BD6"/>
    <w:pPr>
      <w:tabs>
        <w:tab w:val="right" w:leader="dot" w:pos="9360"/>
      </w:tabs>
      <w:spacing w:before="120" w:after="120" w:line="240" w:lineRule="auto"/>
      <w:ind w:left="432" w:right="720" w:hanging="432"/>
    </w:pPr>
    <w:rPr>
      <w:rFonts w:ascii="Times New Roman" w:hAnsi="Times New Roman"/>
      <w:b/>
      <w:sz w:val="24"/>
    </w:rPr>
  </w:style>
  <w:style w:type="paragraph" w:styleId="TOC2">
    <w:name w:val="toc 2"/>
    <w:basedOn w:val="Normal"/>
    <w:next w:val="Normal"/>
    <w:qFormat/>
    <w:rsid w:val="00126382"/>
    <w:pPr>
      <w:tabs>
        <w:tab w:val="right" w:leader="dot" w:pos="9360"/>
      </w:tabs>
      <w:spacing w:before="120" w:after="120" w:line="240" w:lineRule="auto"/>
      <w:ind w:left="1008" w:right="720" w:hanging="576"/>
    </w:pPr>
    <w:rPr>
      <w:rFonts w:ascii="Times New Roman" w:hAnsi="Times New Roman"/>
      <w:sz w:val="24"/>
    </w:rPr>
  </w:style>
  <w:style w:type="paragraph" w:styleId="TOC3">
    <w:name w:val="toc 3"/>
    <w:basedOn w:val="Normal"/>
    <w:next w:val="Normal"/>
    <w:qFormat/>
    <w:rsid w:val="00126382"/>
    <w:pPr>
      <w:tabs>
        <w:tab w:val="right" w:leader="dot" w:pos="9360"/>
      </w:tabs>
      <w:spacing w:before="120" w:after="120" w:line="240" w:lineRule="auto"/>
      <w:ind w:left="1440" w:hanging="432"/>
    </w:pPr>
    <w:rPr>
      <w:rFonts w:ascii="Times New Roman" w:hAnsi="Times New Roman"/>
      <w:sz w:val="24"/>
    </w:rPr>
  </w:style>
  <w:style w:type="paragraph" w:styleId="TOC4">
    <w:name w:val="toc 4"/>
    <w:basedOn w:val="Normal"/>
    <w:next w:val="Normal"/>
    <w:qFormat/>
    <w:rsid w:val="00570E30"/>
    <w:pPr>
      <w:spacing w:after="100"/>
      <w:ind w:left="1728" w:hanging="432"/>
    </w:pPr>
    <w:rPr>
      <w:rFonts w:asciiTheme="majorHAnsi" w:hAnsiTheme="majorHAnsi"/>
      <w:sz w:val="19"/>
    </w:rPr>
  </w:style>
  <w:style w:type="paragraph" w:styleId="TOC5">
    <w:name w:val="toc 5"/>
    <w:basedOn w:val="Normal"/>
    <w:next w:val="Normal"/>
    <w:qFormat/>
    <w:rsid w:val="00570E30"/>
    <w:pPr>
      <w:spacing w:after="100"/>
      <w:ind w:left="880"/>
    </w:pPr>
    <w:rPr>
      <w:rFonts w:asciiTheme="majorHAnsi" w:hAnsiTheme="majorHAnsi"/>
    </w:rPr>
  </w:style>
  <w:style w:type="paragraph" w:customStyle="1" w:styleId="Version">
    <w:name w:val="Version"/>
    <w:basedOn w:val="Normal"/>
    <w:link w:val="VersionCharChar"/>
    <w:qFormat/>
    <w:rsid w:val="00FE5CD6"/>
    <w:pPr>
      <w:spacing w:before="600" w:after="240"/>
      <w:jc w:val="right"/>
    </w:pPr>
    <w:rPr>
      <w:rFonts w:ascii="Arial Narrow" w:hAnsi="Arial Narrow"/>
      <w:b/>
      <w:sz w:val="32"/>
      <w:szCs w:val="32"/>
    </w:rPr>
  </w:style>
  <w:style w:type="character" w:customStyle="1" w:styleId="VersionCharChar">
    <w:name w:val="Version Char Char"/>
    <w:link w:val="Version"/>
    <w:rsid w:val="00FE5CD6"/>
    <w:rPr>
      <w:rFonts w:ascii="Arial Narrow" w:eastAsia="Times New Roman" w:hAnsi="Arial Narrow" w:cs="Times New Roman"/>
      <w:b/>
      <w:sz w:val="32"/>
      <w:szCs w:val="32"/>
    </w:rPr>
  </w:style>
  <w:style w:type="paragraph" w:styleId="TOC6">
    <w:name w:val="toc 6"/>
    <w:basedOn w:val="Normal"/>
    <w:next w:val="Normal"/>
    <w:qFormat/>
    <w:rsid w:val="00570E30"/>
    <w:pPr>
      <w:spacing w:after="100"/>
      <w:ind w:left="1100"/>
    </w:pPr>
    <w:rPr>
      <w:rFonts w:asciiTheme="majorHAnsi" w:hAnsiTheme="majorHAnsi"/>
    </w:rPr>
  </w:style>
  <w:style w:type="paragraph" w:styleId="TOC7">
    <w:name w:val="toc 7"/>
    <w:basedOn w:val="Normal"/>
    <w:next w:val="Normal"/>
    <w:qFormat/>
    <w:rsid w:val="00570E30"/>
    <w:pPr>
      <w:spacing w:after="100"/>
      <w:ind w:left="1320"/>
    </w:pPr>
    <w:rPr>
      <w:rFonts w:asciiTheme="majorHAnsi" w:hAnsiTheme="majorHAnsi"/>
    </w:rPr>
  </w:style>
  <w:style w:type="paragraph" w:styleId="TOC8">
    <w:name w:val="toc 8"/>
    <w:basedOn w:val="Normal"/>
    <w:next w:val="Normal"/>
    <w:qFormat/>
    <w:rsid w:val="00B2075E"/>
    <w:pPr>
      <w:tabs>
        <w:tab w:val="right" w:leader="dot" w:pos="9360"/>
      </w:tabs>
      <w:spacing w:before="120" w:after="120" w:line="240" w:lineRule="auto"/>
      <w:ind w:left="1080" w:right="720" w:hanging="1080"/>
    </w:pPr>
    <w:rPr>
      <w:rFonts w:ascii="Times New Roman" w:hAnsi="Times New Roman"/>
      <w:b/>
      <w:sz w:val="24"/>
    </w:rPr>
  </w:style>
  <w:style w:type="paragraph" w:styleId="TOC9">
    <w:name w:val="toc 9"/>
    <w:basedOn w:val="Normal"/>
    <w:next w:val="Normal"/>
    <w:qFormat/>
    <w:rsid w:val="00317805"/>
    <w:pPr>
      <w:tabs>
        <w:tab w:val="right" w:leader="dot" w:pos="9360"/>
      </w:tabs>
      <w:spacing w:before="120" w:after="120" w:line="240" w:lineRule="auto"/>
      <w:ind w:left="720" w:right="720" w:hanging="720"/>
    </w:pPr>
    <w:rPr>
      <w:rFonts w:ascii="Times New Roman" w:hAnsi="Times New Roman"/>
      <w:sz w:val="24"/>
    </w:rPr>
  </w:style>
  <w:style w:type="paragraph" w:customStyle="1" w:styleId="UnnumberedHeading">
    <w:name w:val="Unnumbered Heading"/>
    <w:next w:val="Normal"/>
    <w:qFormat/>
    <w:rsid w:val="005E64B8"/>
    <w:pPr>
      <w:keepNext/>
      <w:keepLines/>
      <w:spacing w:before="240" w:after="60"/>
    </w:pPr>
    <w:rPr>
      <w:rFonts w:ascii="Arial Narrow" w:hAnsi="Arial Narrow"/>
      <w:b/>
      <w:sz w:val="26"/>
      <w:szCs w:val="24"/>
    </w:rPr>
  </w:style>
  <w:style w:type="paragraph" w:customStyle="1" w:styleId="Reference">
    <w:name w:val="Reference"/>
    <w:basedOn w:val="ListContinue"/>
    <w:qFormat/>
    <w:rsid w:val="00570E30"/>
    <w:pPr>
      <w:keepLines/>
      <w:spacing w:line="240" w:lineRule="atLeast"/>
      <w:ind w:left="288" w:hanging="288"/>
    </w:pPr>
    <w:rPr>
      <w:sz w:val="18"/>
    </w:rPr>
  </w:style>
  <w:style w:type="paragraph" w:customStyle="1" w:styleId="Disclaimer">
    <w:name w:val="Disclaimer"/>
    <w:basedOn w:val="Footer"/>
    <w:qFormat/>
    <w:rsid w:val="00570E30"/>
    <w:pPr>
      <w:pBdr>
        <w:top w:val="single" w:sz="6" w:space="4" w:color="0B2949" w:themeColor="accent1"/>
      </w:pBdr>
      <w:spacing w:before="80" w:after="80"/>
    </w:pPr>
    <w:rPr>
      <w:rFonts w:eastAsia="Times New Roman" w:cs="Times New Roman"/>
      <w:szCs w:val="20"/>
    </w:rPr>
  </w:style>
  <w:style w:type="paragraph" w:customStyle="1" w:styleId="LineSpacer">
    <w:name w:val="Line Spacer"/>
    <w:qFormat/>
    <w:rsid w:val="005E64B8"/>
    <w:pPr>
      <w:spacing w:before="120"/>
    </w:pPr>
    <w:rPr>
      <w:noProof/>
      <w:sz w:val="24"/>
      <w:szCs w:val="24"/>
    </w:rPr>
  </w:style>
  <w:style w:type="paragraph" w:customStyle="1" w:styleId="TableBulletIndented">
    <w:name w:val="TableBullet Indented"/>
    <w:qFormat/>
    <w:rsid w:val="005E64B8"/>
    <w:pPr>
      <w:numPr>
        <w:numId w:val="10"/>
      </w:numPr>
      <w:spacing w:before="120"/>
    </w:pPr>
    <w:rPr>
      <w:rFonts w:ascii="Arial" w:hAnsi="Arial"/>
    </w:rPr>
  </w:style>
  <w:style w:type="paragraph" w:customStyle="1" w:styleId="HeaderLineSpacer">
    <w:name w:val="Header Line Spacer"/>
    <w:basedOn w:val="Header"/>
    <w:qFormat/>
    <w:rsid w:val="00FE5CD6"/>
    <w:rPr>
      <w:b/>
      <w:noProof/>
      <w:szCs w:val="18"/>
    </w:rPr>
  </w:style>
  <w:style w:type="paragraph" w:customStyle="1" w:styleId="TableTextCenter">
    <w:name w:val="TableTextCenter"/>
    <w:basedOn w:val="Normal"/>
    <w:qFormat/>
    <w:rsid w:val="00FE5CD6"/>
    <w:pPr>
      <w:tabs>
        <w:tab w:val="center" w:pos="4320"/>
      </w:tabs>
      <w:spacing w:before="40" w:after="40"/>
      <w:jc w:val="center"/>
    </w:pPr>
    <w:rPr>
      <w:rFonts w:ascii="Arial" w:hAnsi="Arial"/>
      <w:noProof/>
      <w:szCs w:val="20"/>
    </w:rPr>
  </w:style>
  <w:style w:type="paragraph" w:customStyle="1" w:styleId="CustomerProgram">
    <w:name w:val="CustomerProgram"/>
    <w:basedOn w:val="ProgramName"/>
    <w:link w:val="CustomerProgramChar"/>
    <w:qFormat/>
    <w:rsid w:val="00FE5CD6"/>
    <w:rPr>
      <w:sz w:val="32"/>
    </w:rPr>
  </w:style>
  <w:style w:type="character" w:customStyle="1" w:styleId="CustomerProgramChar">
    <w:name w:val="CustomerProgram Char"/>
    <w:link w:val="CustomerProgram"/>
    <w:rsid w:val="00FE5CD6"/>
    <w:rPr>
      <w:rFonts w:ascii="Arial Narrow" w:eastAsia="Times New Roman" w:hAnsi="Arial Narrow" w:cs="Times New Roman"/>
      <w:b/>
      <w:sz w:val="32"/>
      <w:szCs w:val="24"/>
    </w:rPr>
  </w:style>
  <w:style w:type="paragraph" w:customStyle="1" w:styleId="Draft1">
    <w:name w:val="Draft1"/>
    <w:basedOn w:val="Normal"/>
    <w:qFormat/>
    <w:rsid w:val="00FE5CD6"/>
    <w:pPr>
      <w:spacing w:before="600" w:after="240"/>
      <w:jc w:val="right"/>
    </w:pPr>
    <w:rPr>
      <w:rFonts w:ascii="Arial Narrow" w:hAnsi="Arial Narrow"/>
      <w:b/>
      <w:sz w:val="32"/>
    </w:rPr>
  </w:style>
  <w:style w:type="paragraph" w:styleId="BalloonText">
    <w:name w:val="Balloon Text"/>
    <w:basedOn w:val="Normal"/>
    <w:link w:val="BalloonTextChar"/>
    <w:qFormat/>
    <w:rsid w:val="00570E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570E30"/>
    <w:rPr>
      <w:rFonts w:ascii="Segoe UI" w:eastAsiaTheme="minorHAnsi" w:hAnsi="Segoe UI" w:cs="Segoe UI"/>
      <w:sz w:val="18"/>
      <w:szCs w:val="18"/>
    </w:rPr>
  </w:style>
  <w:style w:type="paragraph" w:styleId="Caption">
    <w:name w:val="caption"/>
    <w:basedOn w:val="TableTextLeft"/>
    <w:next w:val="Normal"/>
    <w:qFormat/>
    <w:rsid w:val="00570E30"/>
    <w:pPr>
      <w:spacing w:before="240" w:after="60"/>
    </w:pPr>
    <w:rPr>
      <w:b/>
      <w:bCs/>
      <w:szCs w:val="20"/>
    </w:rPr>
  </w:style>
  <w:style w:type="character" w:styleId="CommentReference">
    <w:name w:val="annotation reference"/>
    <w:basedOn w:val="DefaultParagraphFont"/>
    <w:qFormat/>
    <w:rsid w:val="00570E30"/>
    <w:rPr>
      <w:sz w:val="16"/>
      <w:szCs w:val="16"/>
    </w:rPr>
  </w:style>
  <w:style w:type="paragraph" w:styleId="CommentText">
    <w:name w:val="annotation text"/>
    <w:basedOn w:val="Normal"/>
    <w:link w:val="CommentTextChar"/>
    <w:qFormat/>
    <w:rsid w:val="00570E30"/>
    <w:pPr>
      <w:spacing w:line="240" w:lineRule="auto"/>
    </w:pPr>
    <w:rPr>
      <w:szCs w:val="20"/>
    </w:rPr>
  </w:style>
  <w:style w:type="character" w:customStyle="1" w:styleId="CommentTextChar">
    <w:name w:val="Comment Text Char"/>
    <w:basedOn w:val="DefaultParagraphFont"/>
    <w:link w:val="CommentText"/>
    <w:rsid w:val="00570E30"/>
    <w:rPr>
      <w:rFonts w:asciiTheme="minorHAnsi" w:eastAsiaTheme="minorHAnsi" w:hAnsiTheme="minorHAnsi" w:cstheme="minorBidi"/>
    </w:rPr>
  </w:style>
  <w:style w:type="paragraph" w:styleId="CommentSubject">
    <w:name w:val="annotation subject"/>
    <w:basedOn w:val="CommentText"/>
    <w:next w:val="CommentText"/>
    <w:link w:val="CommentSubjectChar"/>
    <w:qFormat/>
    <w:rsid w:val="00570E30"/>
    <w:rPr>
      <w:b/>
      <w:bCs/>
    </w:rPr>
  </w:style>
  <w:style w:type="character" w:customStyle="1" w:styleId="CommentSubjectChar">
    <w:name w:val="Comment Subject Char"/>
    <w:basedOn w:val="CommentTextChar"/>
    <w:link w:val="CommentSubject"/>
    <w:rsid w:val="00570E30"/>
    <w:rPr>
      <w:rFonts w:asciiTheme="minorHAnsi" w:eastAsiaTheme="minorHAnsi" w:hAnsiTheme="minorHAnsi" w:cstheme="minorBidi"/>
      <w:b/>
      <w:bCs/>
    </w:rPr>
  </w:style>
  <w:style w:type="character" w:customStyle="1" w:styleId="CommentSubjectChar1">
    <w:name w:val="Comment Subject Char1"/>
    <w:qFormat/>
    <w:rsid w:val="00FE5CD6"/>
    <w:rPr>
      <w:rFonts w:ascii="Times New Roman" w:eastAsia="Times New Roman" w:hAnsi="Times New Roman" w:cs="Times New Roman"/>
      <w:b/>
      <w:bCs/>
      <w:sz w:val="20"/>
      <w:szCs w:val="24"/>
    </w:rPr>
  </w:style>
  <w:style w:type="paragraph" w:styleId="DocumentMap">
    <w:name w:val="Document Map"/>
    <w:basedOn w:val="Normal"/>
    <w:link w:val="DocumentMapChar"/>
    <w:qFormat/>
    <w:rsid w:val="00570E30"/>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rsid w:val="00570E30"/>
    <w:rPr>
      <w:rFonts w:ascii="Segoe UI" w:eastAsiaTheme="minorHAnsi" w:hAnsi="Segoe UI" w:cs="Segoe UI"/>
      <w:sz w:val="16"/>
      <w:szCs w:val="16"/>
    </w:rPr>
  </w:style>
  <w:style w:type="character" w:styleId="EndnoteReference">
    <w:name w:val="endnote reference"/>
    <w:basedOn w:val="DefaultParagraphFont"/>
    <w:unhideWhenUsed/>
    <w:qFormat/>
    <w:rsid w:val="00570E30"/>
    <w:rPr>
      <w:vertAlign w:val="superscript"/>
    </w:rPr>
  </w:style>
  <w:style w:type="paragraph" w:styleId="EndnoteText">
    <w:name w:val="endnote text"/>
    <w:basedOn w:val="Normal"/>
    <w:link w:val="EndnoteTextChar"/>
    <w:unhideWhenUsed/>
    <w:qFormat/>
    <w:rsid w:val="00570E30"/>
    <w:pPr>
      <w:spacing w:after="60" w:line="220" w:lineRule="atLeast"/>
    </w:pPr>
    <w:rPr>
      <w:sz w:val="18"/>
      <w:szCs w:val="20"/>
    </w:rPr>
  </w:style>
  <w:style w:type="character" w:customStyle="1" w:styleId="EndnoteTextChar">
    <w:name w:val="Endnote Text Char"/>
    <w:basedOn w:val="DefaultParagraphFont"/>
    <w:link w:val="EndnoteText"/>
    <w:rsid w:val="00570E30"/>
    <w:rPr>
      <w:rFonts w:asciiTheme="minorHAnsi" w:eastAsiaTheme="minorHAnsi" w:hAnsiTheme="minorHAnsi" w:cstheme="minorBidi"/>
      <w:sz w:val="18"/>
    </w:rPr>
  </w:style>
  <w:style w:type="paragraph" w:styleId="Index1">
    <w:name w:val="index 1"/>
    <w:basedOn w:val="Normal"/>
    <w:next w:val="Normal"/>
    <w:autoRedefine/>
    <w:qFormat/>
    <w:rsid w:val="00570E30"/>
    <w:pPr>
      <w:spacing w:after="0" w:line="240" w:lineRule="auto"/>
      <w:ind w:left="200" w:hanging="200"/>
    </w:pPr>
  </w:style>
  <w:style w:type="paragraph" w:styleId="Index2">
    <w:name w:val="index 2"/>
    <w:basedOn w:val="Normal"/>
    <w:next w:val="Normal"/>
    <w:autoRedefine/>
    <w:qFormat/>
    <w:rsid w:val="00570E30"/>
    <w:pPr>
      <w:spacing w:after="0" w:line="240" w:lineRule="auto"/>
      <w:ind w:left="440" w:hanging="220"/>
    </w:pPr>
  </w:style>
  <w:style w:type="paragraph" w:styleId="Index3">
    <w:name w:val="index 3"/>
    <w:basedOn w:val="Normal"/>
    <w:next w:val="Normal"/>
    <w:autoRedefine/>
    <w:qFormat/>
    <w:rsid w:val="00570E30"/>
    <w:pPr>
      <w:spacing w:after="0" w:line="240" w:lineRule="auto"/>
      <w:ind w:left="660" w:hanging="220"/>
    </w:pPr>
  </w:style>
  <w:style w:type="paragraph" w:styleId="Index4">
    <w:name w:val="index 4"/>
    <w:basedOn w:val="Normal"/>
    <w:next w:val="Normal"/>
    <w:autoRedefine/>
    <w:qFormat/>
    <w:rsid w:val="00570E30"/>
    <w:pPr>
      <w:spacing w:after="0" w:line="240" w:lineRule="auto"/>
      <w:ind w:left="880" w:hanging="220"/>
    </w:pPr>
  </w:style>
  <w:style w:type="paragraph" w:styleId="Index5">
    <w:name w:val="index 5"/>
    <w:basedOn w:val="Normal"/>
    <w:next w:val="Normal"/>
    <w:autoRedefine/>
    <w:qFormat/>
    <w:rsid w:val="00570E30"/>
    <w:pPr>
      <w:spacing w:after="0" w:line="240" w:lineRule="auto"/>
      <w:ind w:left="1100" w:hanging="220"/>
    </w:pPr>
  </w:style>
  <w:style w:type="paragraph" w:styleId="Index6">
    <w:name w:val="index 6"/>
    <w:basedOn w:val="Normal"/>
    <w:next w:val="Normal"/>
    <w:autoRedefine/>
    <w:qFormat/>
    <w:rsid w:val="00570E30"/>
    <w:pPr>
      <w:spacing w:after="0" w:line="240" w:lineRule="auto"/>
      <w:ind w:left="1320" w:hanging="220"/>
    </w:pPr>
  </w:style>
  <w:style w:type="paragraph" w:styleId="Index7">
    <w:name w:val="index 7"/>
    <w:basedOn w:val="Normal"/>
    <w:next w:val="Normal"/>
    <w:autoRedefine/>
    <w:qFormat/>
    <w:rsid w:val="00570E30"/>
    <w:pPr>
      <w:spacing w:after="0" w:line="240" w:lineRule="auto"/>
      <w:ind w:left="1540" w:hanging="220"/>
    </w:pPr>
  </w:style>
  <w:style w:type="paragraph" w:styleId="Index8">
    <w:name w:val="index 8"/>
    <w:basedOn w:val="Normal"/>
    <w:next w:val="Normal"/>
    <w:autoRedefine/>
    <w:qFormat/>
    <w:rsid w:val="00570E30"/>
    <w:pPr>
      <w:spacing w:after="0" w:line="240" w:lineRule="auto"/>
      <w:ind w:left="1760" w:hanging="220"/>
    </w:pPr>
  </w:style>
  <w:style w:type="paragraph" w:styleId="Index9">
    <w:name w:val="index 9"/>
    <w:basedOn w:val="Normal"/>
    <w:next w:val="Normal"/>
    <w:autoRedefine/>
    <w:qFormat/>
    <w:rsid w:val="00570E30"/>
    <w:pPr>
      <w:spacing w:after="0" w:line="240" w:lineRule="auto"/>
      <w:ind w:left="1980" w:hanging="220"/>
    </w:pPr>
  </w:style>
  <w:style w:type="paragraph" w:styleId="IndexHeading">
    <w:name w:val="index heading"/>
    <w:basedOn w:val="Normal"/>
    <w:next w:val="Index1"/>
    <w:qFormat/>
    <w:rsid w:val="00570E30"/>
    <w:rPr>
      <w:rFonts w:asciiTheme="majorHAnsi" w:eastAsiaTheme="majorEastAsia" w:hAnsiTheme="majorHAnsi" w:cstheme="majorBidi"/>
      <w:b/>
      <w:bCs/>
    </w:rPr>
  </w:style>
  <w:style w:type="paragraph" w:styleId="MacroText">
    <w:name w:val="macro"/>
    <w:link w:val="MacroTextChar"/>
    <w:qFormat/>
    <w:rsid w:val="00570E30"/>
    <w:pPr>
      <w:tabs>
        <w:tab w:val="left" w:pos="480"/>
        <w:tab w:val="left" w:pos="960"/>
        <w:tab w:val="left" w:pos="1440"/>
        <w:tab w:val="left" w:pos="1920"/>
        <w:tab w:val="left" w:pos="2400"/>
        <w:tab w:val="left" w:pos="2880"/>
        <w:tab w:val="left" w:pos="3360"/>
        <w:tab w:val="left" w:pos="3840"/>
        <w:tab w:val="left" w:pos="4320"/>
      </w:tabs>
      <w:spacing w:line="264" w:lineRule="auto"/>
    </w:pPr>
    <w:rPr>
      <w:rFonts w:ascii="Consolas" w:eastAsiaTheme="minorHAnsi" w:hAnsi="Consolas" w:cstheme="minorBidi"/>
    </w:rPr>
  </w:style>
  <w:style w:type="character" w:customStyle="1" w:styleId="MacroTextChar">
    <w:name w:val="Macro Text Char"/>
    <w:basedOn w:val="DefaultParagraphFont"/>
    <w:link w:val="MacroText"/>
    <w:rsid w:val="00570E30"/>
    <w:rPr>
      <w:rFonts w:ascii="Consolas" w:eastAsiaTheme="minorHAnsi" w:hAnsi="Consolas" w:cstheme="minorBidi"/>
    </w:rPr>
  </w:style>
  <w:style w:type="paragraph" w:styleId="TableofAuthorities">
    <w:name w:val="table of authorities"/>
    <w:basedOn w:val="Normal"/>
    <w:next w:val="Normal"/>
    <w:qFormat/>
    <w:rsid w:val="00570E30"/>
    <w:pPr>
      <w:spacing w:after="0"/>
      <w:ind w:left="220" w:hanging="220"/>
    </w:pPr>
  </w:style>
  <w:style w:type="paragraph" w:styleId="TableofFigures">
    <w:name w:val="table of figures"/>
    <w:basedOn w:val="Normal"/>
    <w:next w:val="Normal"/>
    <w:qFormat/>
    <w:rsid w:val="00570E30"/>
    <w:pPr>
      <w:spacing w:after="0"/>
    </w:pPr>
  </w:style>
  <w:style w:type="paragraph" w:styleId="TOAHeading">
    <w:name w:val="toa heading"/>
    <w:basedOn w:val="Normal"/>
    <w:next w:val="Normal"/>
    <w:qFormat/>
    <w:rsid w:val="00570E30"/>
    <w:pPr>
      <w:spacing w:before="120"/>
    </w:pPr>
    <w:rPr>
      <w:rFonts w:asciiTheme="majorHAnsi" w:eastAsiaTheme="majorEastAsia" w:hAnsiTheme="majorHAnsi" w:cstheme="majorBidi"/>
      <w:b/>
      <w:bCs/>
      <w:sz w:val="24"/>
      <w:szCs w:val="24"/>
    </w:rPr>
  </w:style>
  <w:style w:type="paragraph" w:customStyle="1" w:styleId="VersionDateLineFooter">
    <w:name w:val="VersionDateLine Footer"/>
    <w:basedOn w:val="Footer"/>
    <w:qFormat/>
    <w:rsid w:val="00FE5CD6"/>
    <w:pPr>
      <w:spacing w:before="0"/>
    </w:pPr>
  </w:style>
  <w:style w:type="paragraph" w:customStyle="1" w:styleId="NumberedList0">
    <w:name w:val="Numbered List"/>
    <w:basedOn w:val="Normal"/>
    <w:qFormat/>
    <w:rsid w:val="005E64B8"/>
    <w:pPr>
      <w:numPr>
        <w:numId w:val="8"/>
      </w:numPr>
    </w:pPr>
  </w:style>
  <w:style w:type="paragraph" w:customStyle="1" w:styleId="NumberedListLast">
    <w:name w:val="Numbered List Last"/>
    <w:basedOn w:val="NumberedList0"/>
    <w:qFormat/>
    <w:rsid w:val="00FE5CD6"/>
    <w:pPr>
      <w:spacing w:after="280"/>
    </w:pPr>
  </w:style>
  <w:style w:type="paragraph" w:customStyle="1" w:styleId="Instruction">
    <w:name w:val="Instruction"/>
    <w:basedOn w:val="Normal"/>
    <w:qFormat/>
    <w:rsid w:val="00FE5CD6"/>
    <w:rPr>
      <w:color w:val="0070C0"/>
    </w:rPr>
  </w:style>
  <w:style w:type="table" w:styleId="TableGrid">
    <w:name w:val="Table Grid"/>
    <w:basedOn w:val="TableNormal"/>
    <w:rsid w:val="00570E3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nhideWhenUsed/>
    <w:qFormat/>
    <w:rsid w:val="00570E30"/>
    <w:rPr>
      <w:color w:val="0563C1" w:themeColor="hyperlink"/>
      <w:u w:val="single"/>
    </w:rPr>
  </w:style>
  <w:style w:type="paragraph" w:customStyle="1" w:styleId="NumberedList2bulleted">
    <w:name w:val="Numbered List 2 (bulleted)"/>
    <w:qFormat/>
    <w:rsid w:val="005E64B8"/>
    <w:pPr>
      <w:numPr>
        <w:numId w:val="9"/>
      </w:numPr>
      <w:spacing w:before="60" w:after="60"/>
      <w:ind w:left="1080"/>
    </w:pPr>
    <w:rPr>
      <w:rFonts w:cs="Arial"/>
      <w:bCs/>
      <w:kern w:val="32"/>
      <w:sz w:val="24"/>
      <w:szCs w:val="24"/>
    </w:rPr>
  </w:style>
  <w:style w:type="paragraph" w:customStyle="1" w:styleId="TableVerticalHeading1">
    <w:name w:val="TableVerticalHeading1"/>
    <w:aliases w:val="tvh1"/>
    <w:next w:val="TableVerticalHeading"/>
    <w:qFormat/>
    <w:rsid w:val="005E64B8"/>
    <w:pPr>
      <w:widowControl w:val="0"/>
      <w:spacing w:before="120"/>
      <w:jc w:val="center"/>
    </w:pPr>
    <w:rPr>
      <w:rFonts w:ascii="Arial" w:hAnsi="Arial"/>
      <w:b/>
      <w:sz w:val="24"/>
      <w:szCs w:val="24"/>
    </w:rPr>
  </w:style>
  <w:style w:type="paragraph" w:customStyle="1" w:styleId="CoverFooter">
    <w:name w:val="CoverFooter"/>
    <w:basedOn w:val="Normal"/>
    <w:qFormat/>
    <w:rsid w:val="00FE5CD6"/>
  </w:style>
  <w:style w:type="paragraph" w:customStyle="1" w:styleId="CommentSubject1">
    <w:name w:val="Comment Subject1"/>
    <w:basedOn w:val="CommentText"/>
    <w:next w:val="CommentText"/>
    <w:qFormat/>
    <w:rsid w:val="00FE5CD6"/>
    <w:rPr>
      <w:b/>
      <w:bCs/>
    </w:rPr>
  </w:style>
  <w:style w:type="character" w:styleId="FollowedHyperlink">
    <w:name w:val="FollowedHyperlink"/>
    <w:basedOn w:val="DefaultParagraphFont"/>
    <w:qFormat/>
    <w:rsid w:val="00570E30"/>
    <w:rPr>
      <w:color w:val="0563C1" w:themeColor="followedHyperlink"/>
      <w:u w:val="single"/>
    </w:rPr>
  </w:style>
  <w:style w:type="paragraph" w:customStyle="1" w:styleId="Caption-Figure">
    <w:name w:val="Caption - Figure"/>
    <w:next w:val="Normal"/>
    <w:qFormat/>
    <w:rsid w:val="005E64B8"/>
    <w:pPr>
      <w:spacing w:before="120" w:after="240"/>
      <w:jc w:val="center"/>
    </w:pPr>
    <w:rPr>
      <w:rFonts w:ascii="Arial Narrow" w:eastAsia="SimSun" w:hAnsi="Arial Narrow"/>
      <w:b/>
      <w:color w:val="1F497D"/>
      <w:sz w:val="24"/>
      <w:szCs w:val="24"/>
      <w:lang w:eastAsia="zh-CN"/>
    </w:rPr>
  </w:style>
  <w:style w:type="paragraph" w:customStyle="1" w:styleId="footnotedescription">
    <w:name w:val="footnote description"/>
    <w:next w:val="Normal"/>
    <w:link w:val="footnotedescriptionCharChar"/>
    <w:qFormat/>
    <w:rsid w:val="005E64B8"/>
    <w:pPr>
      <w:spacing w:before="120"/>
    </w:pPr>
    <w:rPr>
      <w:rFonts w:ascii="Calibri" w:eastAsia="Calibri" w:hAnsi="Calibri" w:cs="Calibri"/>
      <w:sz w:val="18"/>
      <w:szCs w:val="24"/>
      <w:lang w:eastAsia="zh-CN"/>
    </w:rPr>
  </w:style>
  <w:style w:type="character" w:customStyle="1" w:styleId="footnotedescriptionCharChar">
    <w:name w:val="footnote description Char Char"/>
    <w:link w:val="footnotedescription"/>
    <w:rsid w:val="00FE5CD6"/>
    <w:rPr>
      <w:rFonts w:ascii="Calibri" w:eastAsia="Calibri" w:hAnsi="Calibri" w:cs="Calibri"/>
      <w:sz w:val="18"/>
      <w:szCs w:val="24"/>
      <w:lang w:eastAsia="zh-CN"/>
    </w:rPr>
  </w:style>
  <w:style w:type="paragraph" w:customStyle="1" w:styleId="DocumentMapCharChar">
    <w:name w:val="Document Map Char Char"/>
    <w:basedOn w:val="Normal"/>
    <w:qFormat/>
    <w:rsid w:val="00FE5CD6"/>
    <w:rPr>
      <w:rFonts w:ascii="Tahoma" w:hAnsi="Tahoma" w:cs="Tahoma"/>
    </w:rPr>
  </w:style>
  <w:style w:type="paragraph" w:customStyle="1" w:styleId="Index11">
    <w:name w:val="Index 11"/>
    <w:basedOn w:val="Normal"/>
    <w:next w:val="Normal"/>
    <w:qFormat/>
    <w:rsid w:val="00FE5CD6"/>
    <w:pPr>
      <w:ind w:left="240" w:hanging="240"/>
    </w:pPr>
  </w:style>
  <w:style w:type="paragraph" w:customStyle="1" w:styleId="Index21">
    <w:name w:val="Index 21"/>
    <w:basedOn w:val="Normal"/>
    <w:next w:val="Normal"/>
    <w:qFormat/>
    <w:rsid w:val="00FE5CD6"/>
    <w:pPr>
      <w:ind w:left="480" w:hanging="240"/>
    </w:pPr>
  </w:style>
  <w:style w:type="paragraph" w:customStyle="1" w:styleId="Index31">
    <w:name w:val="Index 31"/>
    <w:basedOn w:val="Normal"/>
    <w:next w:val="Normal"/>
    <w:qFormat/>
    <w:rsid w:val="00FE5CD6"/>
    <w:pPr>
      <w:ind w:left="720" w:hanging="240"/>
    </w:pPr>
  </w:style>
  <w:style w:type="paragraph" w:customStyle="1" w:styleId="Index41">
    <w:name w:val="Index 41"/>
    <w:basedOn w:val="Normal"/>
    <w:next w:val="Normal"/>
    <w:qFormat/>
    <w:rsid w:val="00FE5CD6"/>
    <w:pPr>
      <w:ind w:left="960" w:hanging="240"/>
    </w:pPr>
  </w:style>
  <w:style w:type="paragraph" w:customStyle="1" w:styleId="Index51">
    <w:name w:val="Index 51"/>
    <w:basedOn w:val="Normal"/>
    <w:next w:val="Normal"/>
    <w:qFormat/>
    <w:rsid w:val="00FE5CD6"/>
    <w:pPr>
      <w:ind w:left="1200" w:hanging="240"/>
    </w:pPr>
  </w:style>
  <w:style w:type="paragraph" w:customStyle="1" w:styleId="Index61">
    <w:name w:val="Index 61"/>
    <w:basedOn w:val="Normal"/>
    <w:next w:val="Normal"/>
    <w:qFormat/>
    <w:rsid w:val="00FE5CD6"/>
    <w:pPr>
      <w:ind w:left="1440" w:hanging="240"/>
    </w:pPr>
  </w:style>
  <w:style w:type="paragraph" w:customStyle="1" w:styleId="Index71">
    <w:name w:val="Index 71"/>
    <w:basedOn w:val="Normal"/>
    <w:next w:val="Normal"/>
    <w:qFormat/>
    <w:rsid w:val="00FE5CD6"/>
    <w:pPr>
      <w:ind w:left="1680" w:hanging="240"/>
    </w:pPr>
  </w:style>
  <w:style w:type="paragraph" w:customStyle="1" w:styleId="Index81">
    <w:name w:val="Index 81"/>
    <w:basedOn w:val="Normal"/>
    <w:next w:val="Normal"/>
    <w:qFormat/>
    <w:rsid w:val="00FE5CD6"/>
    <w:pPr>
      <w:ind w:left="1920" w:hanging="240"/>
    </w:pPr>
  </w:style>
  <w:style w:type="paragraph" w:customStyle="1" w:styleId="Index91">
    <w:name w:val="Index 91"/>
    <w:basedOn w:val="Normal"/>
    <w:next w:val="Normal"/>
    <w:qFormat/>
    <w:rsid w:val="00FE5CD6"/>
    <w:pPr>
      <w:ind w:left="2160" w:hanging="240"/>
    </w:pPr>
  </w:style>
  <w:style w:type="paragraph" w:customStyle="1" w:styleId="IndexHeading1">
    <w:name w:val="Index Heading1"/>
    <w:basedOn w:val="Normal"/>
    <w:next w:val="Index11"/>
    <w:qFormat/>
    <w:rsid w:val="00FE5CD6"/>
    <w:rPr>
      <w:rFonts w:ascii="Arial" w:hAnsi="Arial" w:cs="Arial"/>
      <w:b/>
      <w:bCs/>
    </w:rPr>
  </w:style>
  <w:style w:type="paragraph" w:customStyle="1" w:styleId="MacroText1">
    <w:name w:val="Macro Text1"/>
    <w:qFormat/>
    <w:rsid w:val="005E64B8"/>
    <w:pPr>
      <w:tabs>
        <w:tab w:val="left" w:pos="480"/>
        <w:tab w:val="left" w:pos="960"/>
        <w:tab w:val="left" w:pos="1440"/>
        <w:tab w:val="left" w:pos="1920"/>
        <w:tab w:val="left" w:pos="2400"/>
        <w:tab w:val="left" w:pos="2880"/>
        <w:tab w:val="left" w:pos="3360"/>
        <w:tab w:val="left" w:pos="3840"/>
        <w:tab w:val="left" w:pos="4320"/>
      </w:tabs>
      <w:spacing w:before="120" w:after="120"/>
    </w:pPr>
    <w:rPr>
      <w:rFonts w:ascii="Courier New" w:eastAsia="SimSun" w:hAnsi="Courier New" w:cs="Courier New"/>
      <w:sz w:val="24"/>
      <w:szCs w:val="24"/>
      <w:lang w:eastAsia="zh-CN"/>
    </w:rPr>
  </w:style>
  <w:style w:type="paragraph" w:customStyle="1" w:styleId="TableofAuthorities1">
    <w:name w:val="Table of Authorities1"/>
    <w:basedOn w:val="Normal"/>
    <w:next w:val="Normal"/>
    <w:qFormat/>
    <w:rsid w:val="00FE5CD6"/>
    <w:pPr>
      <w:ind w:left="240" w:hanging="240"/>
    </w:pPr>
  </w:style>
  <w:style w:type="paragraph" w:customStyle="1" w:styleId="TableofFigures1">
    <w:name w:val="Table of Figures1"/>
    <w:basedOn w:val="Normal"/>
    <w:next w:val="Normal"/>
    <w:qFormat/>
    <w:rsid w:val="00FE5CD6"/>
  </w:style>
  <w:style w:type="paragraph" w:customStyle="1" w:styleId="TOAHeading1">
    <w:name w:val="TOA Heading1"/>
    <w:basedOn w:val="Normal"/>
    <w:next w:val="Normal"/>
    <w:qFormat/>
    <w:rsid w:val="00FE5CD6"/>
    <w:rPr>
      <w:rFonts w:ascii="Arial" w:hAnsi="Arial" w:cs="Arial"/>
      <w:b/>
      <w:bCs/>
    </w:rPr>
  </w:style>
  <w:style w:type="paragraph" w:customStyle="1" w:styleId="ListParagraph1">
    <w:name w:val="List Paragraph1"/>
    <w:basedOn w:val="Normal"/>
    <w:qFormat/>
    <w:rsid w:val="00FE5CD6"/>
    <w:pPr>
      <w:spacing w:after="0"/>
      <w:ind w:left="720"/>
      <w:contextualSpacing/>
    </w:pPr>
  </w:style>
  <w:style w:type="paragraph" w:customStyle="1" w:styleId="Revision1">
    <w:name w:val="Revision1"/>
    <w:qFormat/>
    <w:rsid w:val="005E64B8"/>
    <w:pPr>
      <w:spacing w:before="120"/>
    </w:pPr>
    <w:rPr>
      <w:rFonts w:ascii="Calibri" w:eastAsia="Calibri" w:hAnsi="Calibri" w:cs="Calibri"/>
      <w:sz w:val="24"/>
      <w:szCs w:val="24"/>
      <w:lang w:eastAsia="zh-CN"/>
    </w:rPr>
  </w:style>
  <w:style w:type="paragraph" w:customStyle="1" w:styleId="HTMLPreformattedCharChar">
    <w:name w:val="HTML Preformatted Char Char"/>
    <w:basedOn w:val="Normal"/>
    <w:link w:val="HTMLPreformattedCharCharChar"/>
    <w:qFormat/>
    <w:rsid w:val="00FE5CD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pPr>
    <w:rPr>
      <w:rFonts w:ascii="Verdana" w:hAnsi="Verdana" w:cs="Courier New"/>
      <w:sz w:val="17"/>
      <w:szCs w:val="17"/>
    </w:rPr>
  </w:style>
  <w:style w:type="character" w:customStyle="1" w:styleId="HTMLPreformattedCharCharChar">
    <w:name w:val="HTML Preformatted Char Char Char"/>
    <w:link w:val="HTMLPreformattedCharChar"/>
    <w:rsid w:val="00FE5CD6"/>
    <w:rPr>
      <w:rFonts w:ascii="Verdana" w:eastAsia="Times New Roman" w:hAnsi="Verdana" w:cs="Courier New"/>
      <w:sz w:val="17"/>
      <w:szCs w:val="17"/>
    </w:rPr>
  </w:style>
  <w:style w:type="paragraph" w:customStyle="1" w:styleId="NoSpacing1">
    <w:name w:val="No Spacing1"/>
    <w:qFormat/>
    <w:rsid w:val="005E64B8"/>
    <w:pPr>
      <w:spacing w:before="120"/>
    </w:pPr>
    <w:rPr>
      <w:rFonts w:ascii="Calibri" w:eastAsia="Calibri" w:hAnsi="Calibri"/>
      <w:sz w:val="24"/>
      <w:szCs w:val="24"/>
    </w:rPr>
  </w:style>
  <w:style w:type="paragraph" w:customStyle="1" w:styleId="TextIndent1">
    <w:name w:val="Text Indent 1"/>
    <w:basedOn w:val="Normal"/>
    <w:qFormat/>
    <w:rsid w:val="00FE5CD6"/>
    <w:pPr>
      <w:spacing w:after="200" w:line="276" w:lineRule="auto"/>
      <w:ind w:left="720"/>
    </w:pPr>
    <w:rPr>
      <w:rFonts w:eastAsia="Calibri" w:cs="Calibri"/>
    </w:rPr>
  </w:style>
  <w:style w:type="paragraph" w:customStyle="1" w:styleId="BulletListMultipleInd3">
    <w:name w:val="Bullet List Multiple Ind 3"/>
    <w:basedOn w:val="BulletListMultiple"/>
    <w:qFormat/>
    <w:rsid w:val="00FE5CD6"/>
    <w:pPr>
      <w:numPr>
        <w:ilvl w:val="2"/>
        <w:numId w:val="11"/>
      </w:numPr>
      <w:tabs>
        <w:tab w:val="left" w:pos="720"/>
      </w:tabs>
      <w:ind w:left="1980" w:hanging="270"/>
    </w:pPr>
  </w:style>
  <w:style w:type="paragraph" w:customStyle="1" w:styleId="TextIndent2">
    <w:name w:val="Text Indent 2"/>
    <w:basedOn w:val="Normal"/>
    <w:qFormat/>
    <w:rsid w:val="00FE5CD6"/>
    <w:pPr>
      <w:spacing w:before="100" w:beforeAutospacing="1" w:after="100" w:afterAutospacing="1"/>
      <w:ind w:left="1080"/>
    </w:pPr>
    <w:rPr>
      <w:color w:val="1A1A1A"/>
    </w:rPr>
  </w:style>
  <w:style w:type="paragraph" w:customStyle="1" w:styleId="BulletListMultipleInd1">
    <w:name w:val="Bullet List Multiple Ind 1"/>
    <w:basedOn w:val="BulletListMultiple"/>
    <w:qFormat/>
    <w:rsid w:val="00FE5CD6"/>
    <w:pPr>
      <w:numPr>
        <w:numId w:val="0"/>
      </w:numPr>
      <w:ind w:left="1080" w:hanging="360"/>
    </w:pPr>
  </w:style>
  <w:style w:type="paragraph" w:customStyle="1" w:styleId="TextIndent3">
    <w:name w:val="Text Indent 3"/>
    <w:basedOn w:val="Normal"/>
    <w:qFormat/>
    <w:rsid w:val="00FE5CD6"/>
    <w:pPr>
      <w:spacing w:before="100" w:beforeAutospacing="1" w:after="100" w:afterAutospacing="1"/>
      <w:ind w:left="1800"/>
    </w:pPr>
    <w:rPr>
      <w:color w:val="1A1A1A"/>
    </w:rPr>
  </w:style>
  <w:style w:type="paragraph" w:customStyle="1" w:styleId="TextIndent4">
    <w:name w:val="Text Indent 4"/>
    <w:basedOn w:val="Normal"/>
    <w:qFormat/>
    <w:rsid w:val="00FE5CD6"/>
    <w:pPr>
      <w:spacing w:before="100" w:beforeAutospacing="1" w:after="100" w:afterAutospacing="1"/>
      <w:ind w:left="2610"/>
    </w:pPr>
    <w:rPr>
      <w:color w:val="1A1A1A"/>
    </w:rPr>
  </w:style>
  <w:style w:type="paragraph" w:customStyle="1" w:styleId="BaseText">
    <w:name w:val="Base Text"/>
    <w:basedOn w:val="Normal"/>
    <w:qFormat/>
    <w:rsid w:val="00FE5CD6"/>
    <w:pPr>
      <w:spacing w:after="200" w:line="276" w:lineRule="auto"/>
    </w:pPr>
  </w:style>
  <w:style w:type="paragraph" w:customStyle="1" w:styleId="BaseTextIndent">
    <w:name w:val="Base Text Indent"/>
    <w:basedOn w:val="TextIndent1"/>
    <w:qFormat/>
    <w:rsid w:val="00FE5CD6"/>
    <w:pPr>
      <w:ind w:left="360"/>
    </w:pPr>
  </w:style>
  <w:style w:type="paragraph" w:customStyle="1" w:styleId="box">
    <w:name w:val="box"/>
    <w:basedOn w:val="Normal"/>
    <w:qFormat/>
    <w:rsid w:val="00FE5CD6"/>
    <w:pPr>
      <w:spacing w:before="100" w:beforeAutospacing="1" w:after="100" w:afterAutospacing="1"/>
    </w:pPr>
    <w:rPr>
      <w:rFonts w:eastAsia="Calibri"/>
    </w:rPr>
  </w:style>
  <w:style w:type="paragraph" w:customStyle="1" w:styleId="subheading">
    <w:name w:val="subheading"/>
    <w:basedOn w:val="Normal"/>
    <w:qFormat/>
    <w:rsid w:val="00FE5CD6"/>
    <w:pPr>
      <w:spacing w:before="100" w:beforeAutospacing="1" w:after="100" w:afterAutospacing="1"/>
    </w:pPr>
    <w:rPr>
      <w:rFonts w:eastAsia="Calibri"/>
    </w:rPr>
  </w:style>
  <w:style w:type="paragraph" w:customStyle="1" w:styleId="Default">
    <w:name w:val="Default"/>
    <w:qFormat/>
    <w:rsid w:val="005E64B8"/>
    <w:pPr>
      <w:autoSpaceDE w:val="0"/>
      <w:autoSpaceDN w:val="0"/>
      <w:adjustRightInd w:val="0"/>
      <w:spacing w:before="120"/>
    </w:pPr>
    <w:rPr>
      <w:rFonts w:eastAsia="SimSun"/>
      <w:sz w:val="24"/>
      <w:szCs w:val="24"/>
      <w:lang w:eastAsia="zh-CN"/>
    </w:rPr>
  </w:style>
  <w:style w:type="paragraph" w:customStyle="1" w:styleId="Cover-DocTitle">
    <w:name w:val="Cover - Doc Title"/>
    <w:link w:val="Cover-DocTitleCharChar"/>
    <w:qFormat/>
    <w:rsid w:val="005E64B8"/>
    <w:pPr>
      <w:spacing w:before="120" w:after="360"/>
    </w:pPr>
    <w:rPr>
      <w:rFonts w:ascii="Cambria" w:eastAsia="SimSun" w:hAnsi="Cambria"/>
      <w:b/>
      <w:bCs/>
      <w:color w:val="1F497D"/>
      <w:kern w:val="32"/>
      <w:sz w:val="48"/>
      <w:szCs w:val="32"/>
      <w:lang w:eastAsia="zh-CN"/>
    </w:rPr>
  </w:style>
  <w:style w:type="character" w:customStyle="1" w:styleId="Cover-DocTitleCharChar">
    <w:name w:val="Cover - Doc Title Char Char"/>
    <w:link w:val="Cover-DocTitle"/>
    <w:rsid w:val="00FE5CD6"/>
    <w:rPr>
      <w:rFonts w:ascii="Cambria" w:eastAsia="SimSun" w:hAnsi="Cambria"/>
      <w:b/>
      <w:bCs/>
      <w:color w:val="1F497D"/>
      <w:kern w:val="32"/>
      <w:sz w:val="48"/>
      <w:szCs w:val="32"/>
      <w:lang w:eastAsia="zh-CN"/>
    </w:rPr>
  </w:style>
  <w:style w:type="paragraph" w:customStyle="1" w:styleId="TableColumnHeading0">
    <w:name w:val="Table Column Heading"/>
    <w:qFormat/>
    <w:rsid w:val="005E64B8"/>
    <w:pPr>
      <w:spacing w:before="40" w:after="40"/>
      <w:jc w:val="center"/>
    </w:pPr>
    <w:rPr>
      <w:rFonts w:ascii="Arial" w:eastAsia="SimSun" w:hAnsi="Arial"/>
      <w:b/>
      <w:sz w:val="24"/>
      <w:szCs w:val="24"/>
      <w:lang w:eastAsia="zh-CN"/>
    </w:rPr>
  </w:style>
  <w:style w:type="paragraph" w:customStyle="1" w:styleId="Numberedlist">
    <w:name w:val="Numbered list"/>
    <w:basedOn w:val="Normal"/>
    <w:qFormat/>
    <w:rsid w:val="00FE5CD6"/>
    <w:pPr>
      <w:numPr>
        <w:numId w:val="12"/>
      </w:numPr>
    </w:pPr>
  </w:style>
  <w:style w:type="paragraph" w:customStyle="1" w:styleId="Numberedlist2">
    <w:name w:val="Numbered list 2"/>
    <w:basedOn w:val="Normal"/>
    <w:qFormat/>
    <w:rsid w:val="00FE5CD6"/>
    <w:pPr>
      <w:numPr>
        <w:numId w:val="13"/>
      </w:numPr>
    </w:pPr>
  </w:style>
  <w:style w:type="paragraph" w:customStyle="1" w:styleId="Caption-Table">
    <w:name w:val="Caption - Table"/>
    <w:basedOn w:val="Caption-Figure"/>
    <w:next w:val="Normal"/>
    <w:qFormat/>
    <w:rsid w:val="00FE5CD6"/>
  </w:style>
  <w:style w:type="paragraph" w:customStyle="1" w:styleId="BulletSecondLevel">
    <w:name w:val="Bullet Second Level"/>
    <w:qFormat/>
    <w:rsid w:val="005E64B8"/>
    <w:pPr>
      <w:numPr>
        <w:numId w:val="14"/>
      </w:numPr>
      <w:tabs>
        <w:tab w:val="left" w:pos="630"/>
      </w:tabs>
      <w:spacing w:before="40" w:after="40"/>
      <w:ind w:left="634" w:hanging="274"/>
    </w:pPr>
    <w:rPr>
      <w:rFonts w:eastAsia="SimSun"/>
      <w:sz w:val="24"/>
      <w:szCs w:val="24"/>
      <w:lang w:eastAsia="zh-CN"/>
    </w:rPr>
  </w:style>
  <w:style w:type="paragraph" w:customStyle="1" w:styleId="BulletThirdLevel">
    <w:name w:val="Bullet Third Level"/>
    <w:qFormat/>
    <w:rsid w:val="005E64B8"/>
    <w:pPr>
      <w:numPr>
        <w:numId w:val="15"/>
      </w:numPr>
      <w:tabs>
        <w:tab w:val="left" w:pos="900"/>
      </w:tabs>
      <w:spacing w:before="60" w:after="60"/>
      <w:ind w:left="900" w:hanging="180"/>
    </w:pPr>
    <w:rPr>
      <w:rFonts w:eastAsia="SimSun"/>
      <w:sz w:val="24"/>
      <w:szCs w:val="24"/>
      <w:lang w:eastAsia="zh-CN"/>
    </w:rPr>
  </w:style>
  <w:style w:type="paragraph" w:customStyle="1" w:styleId="NormalWebCharChar">
    <w:name w:val="Normal (Web) Char Char"/>
    <w:basedOn w:val="Normal"/>
    <w:qFormat/>
    <w:rsid w:val="00FE5CD6"/>
    <w:pPr>
      <w:spacing w:before="100" w:beforeAutospacing="1" w:after="100" w:afterAutospacing="1"/>
    </w:pPr>
    <w:rPr>
      <w:rFonts w:ascii="Times" w:hAnsi="Times"/>
    </w:rPr>
  </w:style>
  <w:style w:type="character" w:customStyle="1" w:styleId="PageNumber1">
    <w:name w:val="Page Number1"/>
    <w:basedOn w:val="DefaultParagraphFont"/>
    <w:qFormat/>
    <w:rsid w:val="00FE5CD6"/>
  </w:style>
  <w:style w:type="character" w:customStyle="1" w:styleId="ProgramNameCharChar">
    <w:name w:val="Program Name Char Char"/>
    <w:qFormat/>
    <w:rsid w:val="00FE5CD6"/>
    <w:rPr>
      <w:rFonts w:ascii="Arial Narrow" w:hAnsi="Arial Narrow"/>
      <w:b/>
      <w:sz w:val="40"/>
      <w:lang w:val="en-US" w:eastAsia="en-US"/>
    </w:rPr>
  </w:style>
  <w:style w:type="character" w:customStyle="1" w:styleId="CustomerProgramCharChar">
    <w:name w:val="CustomerProgram Char Char"/>
    <w:qFormat/>
    <w:rsid w:val="00FE5CD6"/>
    <w:rPr>
      <w:rFonts w:ascii="Arial Narrow" w:hAnsi="Arial Narrow"/>
      <w:b/>
      <w:sz w:val="32"/>
      <w:lang w:val="en-US" w:eastAsia="en-US"/>
    </w:rPr>
  </w:style>
  <w:style w:type="character" w:customStyle="1" w:styleId="TableTextCharChar">
    <w:name w:val="TableText Char Char"/>
    <w:qFormat/>
    <w:rsid w:val="00FE5CD6"/>
    <w:rPr>
      <w:rFonts w:ascii="Arial" w:hAnsi="Arial"/>
    </w:rPr>
  </w:style>
  <w:style w:type="character" w:customStyle="1" w:styleId="CommentReference1">
    <w:name w:val="Comment Reference1"/>
    <w:qFormat/>
    <w:rsid w:val="00FE5CD6"/>
    <w:rPr>
      <w:sz w:val="16"/>
      <w:szCs w:val="16"/>
    </w:rPr>
  </w:style>
  <w:style w:type="character" w:customStyle="1" w:styleId="footnotemark">
    <w:name w:val="footnote mark"/>
    <w:qFormat/>
    <w:rsid w:val="00FE5CD6"/>
    <w:rPr>
      <w:rFonts w:ascii="Calibri" w:eastAsia="Calibri" w:hAnsi="Calibri" w:cs="Calibri"/>
      <w:sz w:val="18"/>
      <w:vertAlign w:val="superscript"/>
    </w:rPr>
  </w:style>
  <w:style w:type="character" w:customStyle="1" w:styleId="PlainTextChar1">
    <w:name w:val="Plain Text Char1"/>
    <w:qFormat/>
    <w:rsid w:val="00FE5CD6"/>
    <w:rPr>
      <w:rFonts w:ascii="Consolas" w:hAnsi="Consolas" w:cs="Consolas"/>
      <w:sz w:val="21"/>
      <w:szCs w:val="21"/>
    </w:rPr>
  </w:style>
  <w:style w:type="character" w:customStyle="1" w:styleId="vsmetalabeltext">
    <w:name w:val="vsmetalabeltext"/>
    <w:basedOn w:val="DefaultParagraphFont"/>
    <w:qFormat/>
    <w:rsid w:val="00FE5CD6"/>
  </w:style>
  <w:style w:type="character" w:customStyle="1" w:styleId="vsmetalabeltext1">
    <w:name w:val="vsmetalabeltext1"/>
    <w:qFormat/>
    <w:rsid w:val="00FE5CD6"/>
    <w:rPr>
      <w:sz w:val="18"/>
      <w:szCs w:val="18"/>
    </w:rPr>
  </w:style>
  <w:style w:type="character" w:customStyle="1" w:styleId="xmlname">
    <w:name w:val="xmlname"/>
    <w:qFormat/>
    <w:rsid w:val="00FE5CD6"/>
  </w:style>
  <w:style w:type="paragraph" w:styleId="PlainText">
    <w:name w:val="Plain Text"/>
    <w:basedOn w:val="Normal"/>
    <w:link w:val="PlainTextChar"/>
    <w:qFormat/>
    <w:rsid w:val="00570E30"/>
    <w:pPr>
      <w:spacing w:after="0" w:line="240" w:lineRule="auto"/>
    </w:pPr>
    <w:rPr>
      <w:rFonts w:ascii="Consolas" w:hAnsi="Consolas"/>
      <w:sz w:val="21"/>
      <w:szCs w:val="21"/>
    </w:rPr>
  </w:style>
  <w:style w:type="character" w:customStyle="1" w:styleId="PlainTextChar">
    <w:name w:val="Plain Text Char"/>
    <w:basedOn w:val="DefaultParagraphFont"/>
    <w:link w:val="PlainText"/>
    <w:rsid w:val="00570E30"/>
    <w:rPr>
      <w:rFonts w:ascii="Consolas" w:eastAsiaTheme="minorHAnsi" w:hAnsi="Consolas" w:cstheme="minorBidi"/>
      <w:sz w:val="21"/>
      <w:szCs w:val="21"/>
    </w:rPr>
  </w:style>
  <w:style w:type="paragraph" w:styleId="ListParagraph">
    <w:name w:val="List Paragraph"/>
    <w:basedOn w:val="Normal"/>
    <w:qFormat/>
    <w:rsid w:val="00570E30"/>
    <w:pPr>
      <w:ind w:left="1267" w:hanging="1267"/>
      <w:contextualSpacing/>
    </w:pPr>
  </w:style>
  <w:style w:type="paragraph" w:styleId="Revision">
    <w:name w:val="Revision"/>
    <w:hidden/>
    <w:uiPriority w:val="99"/>
    <w:semiHidden/>
    <w:rsid w:val="00570E30"/>
    <w:rPr>
      <w:rFonts w:asciiTheme="minorHAnsi" w:eastAsiaTheme="minorHAnsi" w:hAnsiTheme="minorHAnsi" w:cstheme="minorBidi"/>
      <w:szCs w:val="22"/>
    </w:rPr>
  </w:style>
  <w:style w:type="paragraph" w:styleId="NormalWeb">
    <w:name w:val="Normal (Web)"/>
    <w:basedOn w:val="Normal"/>
    <w:qFormat/>
    <w:rsid w:val="00570E30"/>
    <w:rPr>
      <w:rFonts w:ascii="Times New Roman" w:hAnsi="Times New Roman" w:cs="Times New Roman"/>
      <w:sz w:val="24"/>
      <w:szCs w:val="24"/>
    </w:rPr>
  </w:style>
  <w:style w:type="paragraph" w:styleId="NoSpacing">
    <w:name w:val="No Spacing"/>
    <w:qFormat/>
    <w:rsid w:val="00570E30"/>
    <w:pPr>
      <w:spacing w:line="280" w:lineRule="atLeast"/>
    </w:pPr>
    <w:rPr>
      <w:rFonts w:asciiTheme="minorHAnsi" w:eastAsiaTheme="minorHAnsi" w:hAnsiTheme="minorHAnsi" w:cstheme="minorBidi"/>
      <w:szCs w:val="22"/>
    </w:rPr>
  </w:style>
  <w:style w:type="character" w:styleId="Emphasis">
    <w:name w:val="Emphasis"/>
    <w:basedOn w:val="DefaultParagraphFont"/>
    <w:qFormat/>
    <w:rsid w:val="00570E30"/>
    <w:rPr>
      <w:i/>
      <w:iCs/>
    </w:rPr>
  </w:style>
  <w:style w:type="paragraph" w:styleId="HTMLPreformatted">
    <w:name w:val="HTML Preformatted"/>
    <w:basedOn w:val="Normal"/>
    <w:link w:val="HTMLPreformattedChar"/>
    <w:qFormat/>
    <w:rsid w:val="00570E30"/>
    <w:pPr>
      <w:spacing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rsid w:val="00570E30"/>
    <w:rPr>
      <w:rFonts w:ascii="Consolas" w:eastAsiaTheme="minorHAnsi" w:hAnsi="Consolas" w:cstheme="minorBidi"/>
    </w:rPr>
  </w:style>
  <w:style w:type="character" w:customStyle="1" w:styleId="tdlabel1">
    <w:name w:val="td_label1"/>
    <w:qFormat/>
    <w:rsid w:val="005E64B8"/>
    <w:rPr>
      <w:b/>
      <w:bCs/>
      <w:color w:val="FFFFFF"/>
    </w:rPr>
  </w:style>
  <w:style w:type="character" w:customStyle="1" w:styleId="Mention1">
    <w:name w:val="Mention1"/>
    <w:unhideWhenUsed/>
    <w:qFormat/>
    <w:rsid w:val="005E64B8"/>
    <w:rPr>
      <w:color w:val="2B579A"/>
      <w:shd w:val="clear" w:color="auto" w:fill="E6E6E6"/>
    </w:rPr>
  </w:style>
  <w:style w:type="character" w:customStyle="1" w:styleId="apple-converted-space">
    <w:name w:val="apple-converted-space"/>
    <w:basedOn w:val="DefaultParagraphFont"/>
    <w:qFormat/>
    <w:rsid w:val="00FE5CD6"/>
  </w:style>
  <w:style w:type="character" w:customStyle="1" w:styleId="UnresolvedMention1">
    <w:name w:val="Unresolved Mention1"/>
    <w:unhideWhenUsed/>
    <w:qFormat/>
    <w:rsid w:val="005E64B8"/>
    <w:rPr>
      <w:color w:val="808080"/>
      <w:shd w:val="clear" w:color="auto" w:fill="E6E6E6"/>
    </w:rPr>
  </w:style>
  <w:style w:type="character" w:customStyle="1" w:styleId="UnresolvedMention2">
    <w:name w:val="Unresolved Mention2"/>
    <w:unhideWhenUsed/>
    <w:qFormat/>
    <w:rsid w:val="005E64B8"/>
    <w:rPr>
      <w:color w:val="808080"/>
      <w:shd w:val="clear" w:color="auto" w:fill="E6E6E6"/>
    </w:rPr>
  </w:style>
  <w:style w:type="character" w:styleId="Strong">
    <w:name w:val="Strong"/>
    <w:basedOn w:val="DefaultParagraphFont"/>
    <w:qFormat/>
    <w:rsid w:val="00570E30"/>
    <w:rPr>
      <w:b/>
      <w:bCs/>
    </w:rPr>
  </w:style>
  <w:style w:type="paragraph" w:customStyle="1" w:styleId="ESHeading5">
    <w:name w:val="ESHeading 5"/>
    <w:qFormat/>
    <w:rsid w:val="005E64B8"/>
    <w:pPr>
      <w:numPr>
        <w:ilvl w:val="4"/>
        <w:numId w:val="17"/>
      </w:numPr>
      <w:spacing w:before="120"/>
    </w:pPr>
    <w:rPr>
      <w:rFonts w:ascii="Arial Narrow" w:hAnsi="Arial Narrow"/>
      <w:i/>
      <w:sz w:val="26"/>
    </w:rPr>
  </w:style>
  <w:style w:type="paragraph" w:customStyle="1" w:styleId="ESHeading6">
    <w:name w:val="ESHeading 6"/>
    <w:qFormat/>
    <w:rsid w:val="005E64B8"/>
    <w:pPr>
      <w:keepNext/>
      <w:numPr>
        <w:ilvl w:val="5"/>
        <w:numId w:val="17"/>
      </w:numPr>
      <w:spacing w:before="120"/>
    </w:pPr>
    <w:rPr>
      <w:rFonts w:ascii="Arial Narrow" w:hAnsi="Arial Narrow"/>
      <w:sz w:val="24"/>
    </w:rPr>
  </w:style>
  <w:style w:type="paragraph" w:customStyle="1" w:styleId="ESHeading7">
    <w:name w:val="ESHeading 7"/>
    <w:qFormat/>
    <w:rsid w:val="005E64B8"/>
    <w:pPr>
      <w:numPr>
        <w:ilvl w:val="6"/>
        <w:numId w:val="17"/>
      </w:numPr>
      <w:tabs>
        <w:tab w:val="num" w:pos="360"/>
      </w:tabs>
      <w:spacing w:before="120"/>
    </w:pPr>
    <w:rPr>
      <w:rFonts w:ascii="Arial Narrow" w:hAnsi="Arial Narrow"/>
      <w:sz w:val="24"/>
    </w:rPr>
  </w:style>
  <w:style w:type="character" w:customStyle="1" w:styleId="UnresolvedMention3">
    <w:name w:val="Unresolved Mention3"/>
    <w:unhideWhenUsed/>
    <w:qFormat/>
    <w:rsid w:val="005E64B8"/>
    <w:rPr>
      <w:color w:val="808080"/>
      <w:shd w:val="clear" w:color="auto" w:fill="E6E6E6"/>
    </w:rPr>
  </w:style>
  <w:style w:type="character" w:customStyle="1" w:styleId="UnresolvedMention4">
    <w:name w:val="Unresolved Mention4"/>
    <w:unhideWhenUsed/>
    <w:qFormat/>
    <w:rsid w:val="005E64B8"/>
    <w:rPr>
      <w:color w:val="808080"/>
      <w:shd w:val="clear" w:color="auto" w:fill="E6E6E6"/>
    </w:rPr>
  </w:style>
  <w:style w:type="paragraph" w:customStyle="1" w:styleId="BulletList">
    <w:name w:val="Bullet List"/>
    <w:basedOn w:val="ListParagraph"/>
    <w:qFormat/>
    <w:rsid w:val="005E64B8"/>
    <w:pPr>
      <w:numPr>
        <w:numId w:val="18"/>
      </w:numPr>
      <w:spacing w:line="276" w:lineRule="auto"/>
    </w:pPr>
    <w:rPr>
      <w:rFonts w:cs="Times New Roman"/>
      <w:sz w:val="24"/>
      <w:szCs w:val="24"/>
    </w:rPr>
  </w:style>
  <w:style w:type="paragraph" w:customStyle="1" w:styleId="ListServeBodyText">
    <w:name w:val="ListServe Body Text"/>
    <w:basedOn w:val="Normal"/>
    <w:qFormat/>
    <w:rsid w:val="00FE5CD6"/>
    <w:pPr>
      <w:spacing w:before="240" w:after="240" w:line="276" w:lineRule="auto"/>
    </w:pPr>
    <w:rPr>
      <w:rFonts w:eastAsia="Calibri"/>
    </w:rPr>
  </w:style>
  <w:style w:type="paragraph" w:styleId="BodyText">
    <w:name w:val="Body Text"/>
    <w:basedOn w:val="Normal"/>
    <w:link w:val="BodyTextChar"/>
    <w:qFormat/>
    <w:rsid w:val="00570E30"/>
    <w:pPr>
      <w:spacing w:after="120"/>
    </w:pPr>
  </w:style>
  <w:style w:type="character" w:customStyle="1" w:styleId="BodyTextChar">
    <w:name w:val="Body Text Char"/>
    <w:basedOn w:val="DefaultParagraphFont"/>
    <w:link w:val="BodyText"/>
    <w:uiPriority w:val="1"/>
    <w:rsid w:val="00570E30"/>
    <w:rPr>
      <w:rFonts w:asciiTheme="minorHAnsi" w:eastAsiaTheme="minorHAnsi" w:hAnsiTheme="minorHAnsi" w:cstheme="minorBidi"/>
      <w:szCs w:val="22"/>
    </w:rPr>
  </w:style>
  <w:style w:type="character" w:styleId="PlaceholderText">
    <w:name w:val="Placeholder Text"/>
    <w:basedOn w:val="DefaultParagraphFont"/>
    <w:qFormat/>
    <w:rsid w:val="00570E30"/>
    <w:rPr>
      <w:color w:val="808080"/>
    </w:rPr>
  </w:style>
  <w:style w:type="character" w:styleId="UnresolvedMention">
    <w:name w:val="Unresolved Mention"/>
    <w:basedOn w:val="DefaultParagraphFont"/>
    <w:qFormat/>
    <w:rsid w:val="00570E30"/>
    <w:rPr>
      <w:color w:val="605E5C"/>
      <w:shd w:val="clear" w:color="auto" w:fill="E1DFDD"/>
    </w:rPr>
  </w:style>
  <w:style w:type="paragraph" w:customStyle="1" w:styleId="list-unstyled">
    <w:name w:val="list-unstyled"/>
    <w:basedOn w:val="Normal"/>
    <w:qFormat/>
    <w:rsid w:val="000B6A4A"/>
    <w:pPr>
      <w:spacing w:before="100" w:beforeAutospacing="1" w:after="100" w:afterAutospacing="1"/>
    </w:pPr>
  </w:style>
  <w:style w:type="character" w:customStyle="1" w:styleId="tdlabel">
    <w:name w:val="td_label"/>
    <w:basedOn w:val="DefaultParagraphFont"/>
    <w:qFormat/>
    <w:rsid w:val="00AE67CE"/>
  </w:style>
  <w:style w:type="paragraph" w:styleId="TOCHeading">
    <w:name w:val="TOC Heading"/>
    <w:basedOn w:val="AppendixTitle"/>
    <w:next w:val="TOC1"/>
    <w:qFormat/>
    <w:rsid w:val="007F4BD6"/>
  </w:style>
  <w:style w:type="character" w:customStyle="1" w:styleId="baec5a81-e4d6-4674-97f3-e9220f0136c1">
    <w:name w:val="baec5a81-e4d6-4674-97f3-e9220f0136c1"/>
    <w:basedOn w:val="DefaultParagraphFont"/>
    <w:qFormat/>
    <w:rsid w:val="00DA6EF6"/>
  </w:style>
  <w:style w:type="character" w:customStyle="1" w:styleId="Date1">
    <w:name w:val="Date1"/>
    <w:basedOn w:val="DefaultParagraphFont"/>
    <w:qFormat/>
    <w:rsid w:val="00F908B8"/>
  </w:style>
  <w:style w:type="paragraph" w:customStyle="1" w:styleId="HeadingBlue">
    <w:name w:val="Heading Blue"/>
    <w:basedOn w:val="list-unstyled"/>
    <w:qFormat/>
    <w:rsid w:val="00580847"/>
    <w:pPr>
      <w:spacing w:before="0" w:beforeAutospacing="0" w:after="60" w:afterAutospacing="0"/>
      <w:ind w:left="274"/>
    </w:pPr>
    <w:rPr>
      <w:rFonts w:ascii="Verdana" w:hAnsi="Verdana" w:cs="Cambria Math"/>
      <w:b/>
      <w:bCs/>
      <w:color w:val="0000FF"/>
      <w:sz w:val="18"/>
      <w:szCs w:val="16"/>
    </w:rPr>
  </w:style>
  <w:style w:type="paragraph" w:customStyle="1" w:styleId="H1-Style">
    <w:name w:val="H1-Style"/>
    <w:basedOn w:val="Heading1"/>
    <w:link w:val="H1-StyleChar"/>
    <w:qFormat/>
    <w:rsid w:val="00867434"/>
    <w:pPr>
      <w:spacing w:before="360"/>
      <w:outlineLvl w:val="1"/>
    </w:pPr>
  </w:style>
  <w:style w:type="character" w:customStyle="1" w:styleId="H1-StyleChar">
    <w:name w:val="H1-Style Char"/>
    <w:link w:val="H1-Style"/>
    <w:rsid w:val="00867434"/>
    <w:rPr>
      <w:rFonts w:ascii="Arial Narrow" w:eastAsia="Times New Roman" w:hAnsi="Arial Narrow" w:cs="Times New Roman"/>
      <w:b/>
      <w:kern w:val="28"/>
      <w:sz w:val="36"/>
      <w:szCs w:val="20"/>
    </w:rPr>
  </w:style>
  <w:style w:type="paragraph" w:customStyle="1" w:styleId="H2-Style">
    <w:name w:val="H2-Style"/>
    <w:basedOn w:val="Heading2"/>
    <w:link w:val="H2-StyleChar"/>
    <w:qFormat/>
    <w:rsid w:val="00867434"/>
    <w:pPr>
      <w:tabs>
        <w:tab w:val="num" w:pos="720"/>
      </w:tabs>
      <w:outlineLvl w:val="2"/>
    </w:pPr>
  </w:style>
  <w:style w:type="character" w:customStyle="1" w:styleId="H2-StyleChar">
    <w:name w:val="H2-Style Char"/>
    <w:link w:val="H2-Style"/>
    <w:rsid w:val="00867434"/>
    <w:rPr>
      <w:rFonts w:asciiTheme="majorHAnsi" w:eastAsiaTheme="majorEastAsia" w:hAnsiTheme="majorHAnsi" w:cstheme="majorBidi"/>
      <w:color w:val="081E36" w:themeColor="accent1" w:themeShade="BF"/>
      <w:sz w:val="26"/>
      <w:szCs w:val="26"/>
    </w:rPr>
  </w:style>
  <w:style w:type="paragraph" w:customStyle="1" w:styleId="H3-Style">
    <w:name w:val="H3-Style"/>
    <w:basedOn w:val="Heading3"/>
    <w:link w:val="H3-StyleChar"/>
    <w:qFormat/>
    <w:rsid w:val="00867434"/>
    <w:pPr>
      <w:ind w:left="907" w:hanging="907"/>
      <w:outlineLvl w:val="3"/>
    </w:pPr>
  </w:style>
  <w:style w:type="character" w:customStyle="1" w:styleId="H3-StyleChar">
    <w:name w:val="H3-Style Char"/>
    <w:link w:val="H3-Style"/>
    <w:rsid w:val="00867434"/>
    <w:rPr>
      <w:rFonts w:asciiTheme="majorHAnsi" w:eastAsiaTheme="majorEastAsia" w:hAnsiTheme="majorHAnsi" w:cstheme="majorBidi"/>
      <w:color w:val="051424" w:themeColor="accent1" w:themeShade="7F"/>
      <w:sz w:val="24"/>
      <w:szCs w:val="24"/>
    </w:rPr>
  </w:style>
  <w:style w:type="paragraph" w:customStyle="1" w:styleId="pf0">
    <w:name w:val="pf0"/>
    <w:basedOn w:val="Normal"/>
    <w:qFormat/>
    <w:rsid w:val="00B078CB"/>
    <w:pPr>
      <w:spacing w:before="100" w:beforeAutospacing="1" w:after="100" w:afterAutospacing="1"/>
    </w:pPr>
  </w:style>
  <w:style w:type="character" w:customStyle="1" w:styleId="cf01">
    <w:name w:val="cf01"/>
    <w:qFormat/>
    <w:rsid w:val="005E64B8"/>
    <w:rPr>
      <w:rFonts w:ascii="Segoe UI" w:hAnsi="Segoe UI" w:cs="Segoe UI" w:hint="default"/>
      <w:sz w:val="18"/>
      <w:szCs w:val="18"/>
    </w:rPr>
  </w:style>
  <w:style w:type="character" w:customStyle="1" w:styleId="cf11">
    <w:name w:val="cf11"/>
    <w:qFormat/>
    <w:rsid w:val="005E64B8"/>
    <w:rPr>
      <w:rFonts w:ascii="Segoe UI" w:hAnsi="Segoe UI" w:cs="Segoe UI" w:hint="default"/>
      <w:i/>
      <w:iCs/>
      <w:sz w:val="18"/>
      <w:szCs w:val="18"/>
    </w:rPr>
  </w:style>
  <w:style w:type="paragraph" w:styleId="Subtitle">
    <w:name w:val="Subtitle"/>
    <w:basedOn w:val="Normal"/>
    <w:next w:val="Normal"/>
    <w:link w:val="SubtitleChar"/>
    <w:qFormat/>
    <w:rsid w:val="00570E30"/>
    <w:pPr>
      <w:numPr>
        <w:ilvl w:val="1"/>
      </w:numPr>
      <w:spacing w:before="120" w:after="240"/>
    </w:pPr>
    <w:rPr>
      <w:rFonts w:asciiTheme="majorHAnsi" w:eastAsiaTheme="minorEastAsia" w:hAnsiTheme="majorHAnsi"/>
      <w:color w:val="444D54" w:themeColor="accent3" w:themeShade="BF"/>
      <w:spacing w:val="15"/>
      <w:sz w:val="30"/>
    </w:rPr>
  </w:style>
  <w:style w:type="table" w:customStyle="1" w:styleId="7">
    <w:name w:val="7"/>
    <w:basedOn w:val="TableNormal"/>
    <w:tblPr>
      <w:tblStyleRowBandSize w:val="1"/>
      <w:tblStyleColBandSize w:val="1"/>
      <w:tblCellMar>
        <w:top w:w="15" w:type="dxa"/>
        <w:left w:w="15" w:type="dxa"/>
        <w:bottom w:w="15" w:type="dxa"/>
        <w:right w:w="15" w:type="dxa"/>
      </w:tblCellMar>
    </w:tblPr>
  </w:style>
  <w:style w:type="table" w:customStyle="1" w:styleId="6">
    <w:name w:val="6"/>
    <w:basedOn w:val="TableNormal"/>
    <w:tblPr>
      <w:tblStyleRowBandSize w:val="1"/>
      <w:tblStyleColBandSize w:val="1"/>
      <w:tblCellMar>
        <w:top w:w="15" w:type="dxa"/>
        <w:left w:w="15" w:type="dxa"/>
        <w:bottom w:w="15" w:type="dxa"/>
        <w:right w:w="15" w:type="dxa"/>
      </w:tblCellMar>
    </w:tblPr>
  </w:style>
  <w:style w:type="table" w:customStyle="1" w:styleId="5">
    <w:name w:val="5"/>
    <w:basedOn w:val="TableNormal"/>
    <w:tblPr>
      <w:tblStyleRowBandSize w:val="1"/>
      <w:tblStyleColBandSize w:val="1"/>
      <w:tblCellMar>
        <w:top w:w="15" w:type="dxa"/>
        <w:left w:w="15" w:type="dxa"/>
        <w:bottom w:w="15" w:type="dxa"/>
        <w:right w:w="15" w:type="dxa"/>
      </w:tblCellMar>
    </w:tblPr>
  </w:style>
  <w:style w:type="table" w:customStyle="1" w:styleId="4">
    <w:name w:val="4"/>
    <w:basedOn w:val="TableNormal"/>
    <w:rPr>
      <w:sz w:val="24"/>
      <w:szCs w:val="24"/>
    </w:rPr>
    <w:tblPr>
      <w:tblStyleRowBandSize w:val="1"/>
      <w:tblStyleColBandSize w:val="1"/>
    </w:tblPr>
  </w:style>
  <w:style w:type="table" w:customStyle="1" w:styleId="3">
    <w:name w:val="3"/>
    <w:basedOn w:val="TableNormal"/>
    <w:rPr>
      <w:sz w:val="24"/>
      <w:szCs w:val="24"/>
    </w:rPr>
    <w:tblPr>
      <w:tblStyleRowBandSize w:val="1"/>
      <w:tblStyleColBandSize w:val="1"/>
      <w:tblCellMar>
        <w:left w:w="115" w:type="dxa"/>
        <w:right w:w="115" w:type="dxa"/>
      </w:tblCellMar>
    </w:tblPr>
  </w:style>
  <w:style w:type="table" w:customStyle="1" w:styleId="2">
    <w:name w:val="2"/>
    <w:basedOn w:val="TableNormal"/>
    <w:rPr>
      <w:sz w:val="24"/>
      <w:szCs w:val="24"/>
    </w:rPr>
    <w:tblPr>
      <w:tblStyleRowBandSize w:val="1"/>
      <w:tblStyleColBandSize w:val="1"/>
      <w:tblCellMar>
        <w:left w:w="115" w:type="dxa"/>
        <w:right w:w="115" w:type="dxa"/>
      </w:tblCellMar>
    </w:tblPr>
  </w:style>
  <w:style w:type="table" w:customStyle="1" w:styleId="1">
    <w:name w:val="1"/>
    <w:basedOn w:val="TableNormal"/>
    <w:tblPr>
      <w:tblStyleRowBandSize w:val="1"/>
      <w:tblStyleColBandSize w:val="1"/>
      <w:tblCellMar>
        <w:left w:w="115" w:type="dxa"/>
        <w:right w:w="115" w:type="dxa"/>
      </w:tblCellMar>
    </w:tblPr>
  </w:style>
  <w:style w:type="paragraph" w:customStyle="1" w:styleId="TableTextLeft">
    <w:name w:val="Table Text Left"/>
    <w:qFormat/>
    <w:rsid w:val="00865438"/>
    <w:pPr>
      <w:spacing w:before="40" w:after="40"/>
    </w:pPr>
    <w:rPr>
      <w:rFonts w:ascii="Arial" w:eastAsiaTheme="minorHAnsi" w:hAnsi="Arial" w:cstheme="minorBidi"/>
      <w:color w:val="000000" w:themeColor="text1"/>
      <w:szCs w:val="22"/>
    </w:rPr>
  </w:style>
  <w:style w:type="paragraph" w:customStyle="1" w:styleId="Paragraph">
    <w:name w:val="Paragraph"/>
    <w:basedOn w:val="Normal"/>
    <w:qFormat/>
    <w:rsid w:val="00570E30"/>
    <w:pPr>
      <w:spacing w:after="120" w:line="240" w:lineRule="auto"/>
    </w:pPr>
    <w:rPr>
      <w:rFonts w:ascii="Times New Roman" w:hAnsi="Times New Roman"/>
      <w:sz w:val="24"/>
    </w:rPr>
  </w:style>
  <w:style w:type="paragraph" w:customStyle="1" w:styleId="ParagraphContinued">
    <w:name w:val="Paragraph Continued"/>
    <w:basedOn w:val="Paragraph"/>
    <w:next w:val="Paragraph"/>
    <w:qFormat/>
    <w:rsid w:val="0083781F"/>
    <w:pPr>
      <w:spacing w:before="120"/>
    </w:pPr>
  </w:style>
  <w:style w:type="paragraph" w:customStyle="1" w:styleId="H1">
    <w:name w:val="H1"/>
    <w:basedOn w:val="Heading1"/>
    <w:next w:val="Paragraph"/>
    <w:link w:val="H1Char"/>
    <w:qFormat/>
    <w:rsid w:val="00570E30"/>
    <w:pPr>
      <w:spacing w:before="120" w:after="280" w:line="240" w:lineRule="auto"/>
      <w:ind w:left="360" w:hanging="360"/>
      <w:outlineLvl w:val="1"/>
    </w:pPr>
    <w:rPr>
      <w:rFonts w:ascii="Arial Narrow" w:hAnsi="Arial Narrow"/>
      <w:b/>
      <w:color w:val="000000" w:themeColor="text1"/>
      <w:sz w:val="36"/>
    </w:rPr>
  </w:style>
  <w:style w:type="paragraph" w:styleId="ListBullet">
    <w:name w:val="List Bullet"/>
    <w:basedOn w:val="Normal"/>
    <w:qFormat/>
    <w:rsid w:val="00570E30"/>
    <w:pPr>
      <w:numPr>
        <w:numId w:val="23"/>
      </w:numPr>
      <w:spacing w:before="80" w:after="80" w:line="240" w:lineRule="auto"/>
      <w:ind w:left="720" w:hanging="360"/>
    </w:pPr>
    <w:rPr>
      <w:rFonts w:ascii="Times New Roman" w:hAnsi="Times New Roman"/>
      <w:sz w:val="24"/>
    </w:rPr>
  </w:style>
  <w:style w:type="paragraph" w:styleId="ListNumber">
    <w:name w:val="List Number"/>
    <w:basedOn w:val="Normal"/>
    <w:qFormat/>
    <w:rsid w:val="006A5CCC"/>
    <w:pPr>
      <w:numPr>
        <w:numId w:val="24"/>
      </w:numPr>
      <w:adjustRightInd w:val="0"/>
      <w:spacing w:before="80" w:after="80" w:line="240" w:lineRule="auto"/>
    </w:pPr>
    <w:rPr>
      <w:rFonts w:ascii="Times New Roman" w:hAnsi="Times New Roman"/>
      <w:sz w:val="24"/>
    </w:rPr>
  </w:style>
  <w:style w:type="table" w:styleId="GridTable2-Accent1">
    <w:name w:val="Grid Table 2 Accent 1"/>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217BDD" w:themeColor="accent1" w:themeTint="99"/>
        <w:bottom w:val="single" w:sz="2" w:space="0" w:color="217BDD" w:themeColor="accent1" w:themeTint="99"/>
        <w:insideH w:val="single" w:sz="2" w:space="0" w:color="217BDD" w:themeColor="accent1" w:themeTint="99"/>
        <w:insideV w:val="single" w:sz="2" w:space="0" w:color="217BDD" w:themeColor="accent1" w:themeTint="99"/>
      </w:tblBorders>
    </w:tblPr>
    <w:tblStylePr w:type="firstRow">
      <w:rPr>
        <w:b/>
        <w:bCs/>
      </w:rPr>
      <w:tblPr/>
      <w:tcPr>
        <w:tcBorders>
          <w:top w:val="nil"/>
          <w:bottom w:val="single" w:sz="12" w:space="0" w:color="217BDD" w:themeColor="accent1" w:themeTint="99"/>
          <w:insideH w:val="nil"/>
          <w:insideV w:val="nil"/>
        </w:tcBorders>
        <w:shd w:val="clear" w:color="auto" w:fill="FFFFFF" w:themeFill="background1"/>
      </w:tcPr>
    </w:tblStylePr>
    <w:tblStylePr w:type="lastRow">
      <w:rPr>
        <w:b/>
        <w:bCs/>
      </w:rPr>
      <w:tblPr/>
      <w:tcPr>
        <w:tcBorders>
          <w:top w:val="double" w:sz="2" w:space="0" w:color="217BDD"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GridTable4-Accent1">
    <w:name w:val="Grid Table 4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color w:val="FFFFFF" w:themeColor="background1"/>
      </w:rPr>
      <w:tblPr/>
      <w:tcPr>
        <w:tcBorders>
          <w:top w:val="single" w:sz="4" w:space="0" w:color="0B2949" w:themeColor="accent1"/>
          <w:left w:val="single" w:sz="4" w:space="0" w:color="0B2949" w:themeColor="accent1"/>
          <w:bottom w:val="single" w:sz="4" w:space="0" w:color="0B2949" w:themeColor="accent1"/>
          <w:right w:val="single" w:sz="4" w:space="0" w:color="0B2949" w:themeColor="accent1"/>
          <w:insideH w:val="nil"/>
          <w:insideV w:val="nil"/>
        </w:tcBorders>
        <w:shd w:val="clear" w:color="auto" w:fill="0B2949" w:themeFill="accent1"/>
      </w:tcPr>
    </w:tblStylePr>
    <w:tblStylePr w:type="lastRow">
      <w:rPr>
        <w:b/>
        <w:bCs/>
      </w:rPr>
      <w:tblPr/>
      <w:tcPr>
        <w:tcBorders>
          <w:top w:val="double" w:sz="4" w:space="0" w:color="0B2949" w:themeColor="accent1"/>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character" w:customStyle="1" w:styleId="TitleChar">
    <w:name w:val="Title Char"/>
    <w:basedOn w:val="DefaultParagraphFont"/>
    <w:link w:val="Title"/>
    <w:rsid w:val="001C19B1"/>
    <w:rPr>
      <w:rFonts w:ascii="Arial Narrow" w:eastAsia="Arial Narrow" w:hAnsi="Arial Narrow" w:cstheme="minorBidi"/>
      <w:b/>
      <w:color w:val="000000"/>
      <w:sz w:val="48"/>
      <w:szCs w:val="22"/>
    </w:rPr>
  </w:style>
  <w:style w:type="paragraph" w:styleId="ListNumber2">
    <w:name w:val="List Number 2"/>
    <w:basedOn w:val="Normal"/>
    <w:qFormat/>
    <w:rsid w:val="00570E30"/>
    <w:pPr>
      <w:numPr>
        <w:numId w:val="30"/>
      </w:numPr>
      <w:adjustRightInd w:val="0"/>
      <w:spacing w:after="80"/>
    </w:pPr>
  </w:style>
  <w:style w:type="paragraph" w:styleId="ListBullet2">
    <w:name w:val="List Bullet 2"/>
    <w:basedOn w:val="Normal"/>
    <w:qFormat/>
    <w:rsid w:val="004647E7"/>
    <w:pPr>
      <w:numPr>
        <w:numId w:val="26"/>
      </w:numPr>
      <w:spacing w:before="80" w:after="80" w:line="240" w:lineRule="auto"/>
      <w:ind w:left="1080"/>
    </w:pPr>
    <w:rPr>
      <w:rFonts w:ascii="Times New Roman" w:hAnsi="Times New Roman"/>
      <w:sz w:val="24"/>
    </w:rPr>
  </w:style>
  <w:style w:type="paragraph" w:styleId="List">
    <w:name w:val="List"/>
    <w:basedOn w:val="Normal"/>
    <w:qFormat/>
    <w:rsid w:val="00570E30"/>
    <w:pPr>
      <w:numPr>
        <w:numId w:val="25"/>
      </w:numPr>
      <w:spacing w:after="80"/>
    </w:pPr>
  </w:style>
  <w:style w:type="paragraph" w:styleId="ListContinue">
    <w:name w:val="List Continue"/>
    <w:basedOn w:val="Normal"/>
    <w:qFormat/>
    <w:rsid w:val="00570E30"/>
    <w:pPr>
      <w:spacing w:after="80"/>
      <w:ind w:left="180"/>
    </w:pPr>
  </w:style>
  <w:style w:type="paragraph" w:styleId="ListContinue2">
    <w:name w:val="List Continue 2"/>
    <w:basedOn w:val="Normal"/>
    <w:qFormat/>
    <w:rsid w:val="00570E30"/>
    <w:pPr>
      <w:spacing w:after="80"/>
      <w:ind w:left="360"/>
    </w:pPr>
  </w:style>
  <w:style w:type="paragraph" w:customStyle="1" w:styleId="Acknowledgment">
    <w:name w:val="Acknowledgment"/>
    <w:basedOn w:val="H1"/>
    <w:next w:val="ParagraphContinued"/>
    <w:qFormat/>
    <w:rsid w:val="00570E30"/>
    <w:rPr>
      <w:b w:val="0"/>
      <w:bCs/>
    </w:rPr>
  </w:style>
  <w:style w:type="paragraph" w:styleId="ListBullet3">
    <w:name w:val="List Bullet 3"/>
    <w:basedOn w:val="Normal"/>
    <w:qFormat/>
    <w:rsid w:val="00570E30"/>
    <w:pPr>
      <w:numPr>
        <w:numId w:val="27"/>
      </w:numPr>
      <w:spacing w:after="100"/>
      <w:ind w:left="547" w:hanging="187"/>
    </w:pPr>
  </w:style>
  <w:style w:type="paragraph" w:styleId="NoteHeading">
    <w:name w:val="Note Heading"/>
    <w:basedOn w:val="H1"/>
    <w:next w:val="Notes"/>
    <w:link w:val="NoteHeadingChar"/>
    <w:qFormat/>
    <w:rsid w:val="00570E30"/>
    <w:pPr>
      <w:outlineLvl w:val="9"/>
    </w:pPr>
    <w:rPr>
      <w:color w:val="0B2949" w:themeColor="accent1"/>
      <w:sz w:val="20"/>
    </w:rPr>
  </w:style>
  <w:style w:type="character" w:customStyle="1" w:styleId="NoteHeadingChar">
    <w:name w:val="Note Heading Char"/>
    <w:basedOn w:val="DefaultParagraphFont"/>
    <w:link w:val="NoteHeading"/>
    <w:semiHidden/>
    <w:rsid w:val="00570E30"/>
    <w:rPr>
      <w:rFonts w:asciiTheme="majorHAnsi" w:eastAsiaTheme="majorEastAsia" w:hAnsiTheme="majorHAnsi" w:cstheme="majorBidi"/>
      <w:color w:val="0B2949" w:themeColor="accent1"/>
      <w:szCs w:val="32"/>
    </w:rPr>
  </w:style>
  <w:style w:type="paragraph" w:customStyle="1" w:styleId="Anchor">
    <w:name w:val="Anchor"/>
    <w:qFormat/>
    <w:rsid w:val="00570E30"/>
    <w:pPr>
      <w:spacing w:line="20" w:lineRule="exact"/>
    </w:pPr>
    <w:rPr>
      <w:rFonts w:asciiTheme="minorHAnsi" w:eastAsiaTheme="minorHAnsi" w:hAnsiTheme="minorHAnsi" w:cstheme="minorBidi"/>
      <w:b/>
      <w:bCs/>
      <w:color w:val="FFFFFF" w:themeColor="background1"/>
      <w:sz w:val="2"/>
      <w:szCs w:val="22"/>
    </w:rPr>
  </w:style>
  <w:style w:type="paragraph" w:customStyle="1" w:styleId="AppendixTitle">
    <w:name w:val="Appendix Title"/>
    <w:basedOn w:val="H1-Num"/>
    <w:next w:val="H2"/>
    <w:unhideWhenUsed/>
    <w:qFormat/>
    <w:rsid w:val="00F07F06"/>
    <w:pPr>
      <w:jc w:val="center"/>
    </w:pPr>
  </w:style>
  <w:style w:type="paragraph" w:customStyle="1" w:styleId="AttachmentTitle">
    <w:name w:val="Attachment Title"/>
    <w:basedOn w:val="H1"/>
    <w:next w:val="H2"/>
    <w:qFormat/>
    <w:rsid w:val="00570E30"/>
    <w:pPr>
      <w:jc w:val="center"/>
    </w:pPr>
    <w:rPr>
      <w:bCs/>
    </w:rPr>
  </w:style>
  <w:style w:type="paragraph" w:customStyle="1" w:styleId="Banner">
    <w:name w:val="Banner"/>
    <w:basedOn w:val="H1"/>
    <w:qFormat/>
    <w:rsid w:val="00570E30"/>
    <w:pPr>
      <w:shd w:val="clear" w:color="auto" w:fill="FFFFFF" w:themeFill="background1"/>
      <w:spacing w:after="180"/>
    </w:pPr>
    <w:rPr>
      <w:bCs/>
      <w:color w:val="0B2949" w:themeColor="accent1"/>
    </w:rPr>
  </w:style>
  <w:style w:type="paragraph" w:styleId="Bibliography">
    <w:name w:val="Bibliography"/>
    <w:basedOn w:val="Normal"/>
    <w:qFormat/>
    <w:rsid w:val="00570E30"/>
    <w:pPr>
      <w:spacing w:after="80" w:line="240" w:lineRule="atLeast"/>
    </w:pPr>
    <w:rPr>
      <w:sz w:val="18"/>
    </w:rPr>
  </w:style>
  <w:style w:type="paragraph" w:styleId="BlockText">
    <w:name w:val="Block Text"/>
    <w:basedOn w:val="Normal"/>
    <w:qFormat/>
    <w:rsid w:val="00570E30"/>
    <w:pPr>
      <w:pBdr>
        <w:top w:val="single" w:sz="2" w:space="10" w:color="0B2949" w:themeColor="accent1"/>
        <w:left w:val="single" w:sz="2" w:space="10" w:color="0B2949" w:themeColor="accent1"/>
        <w:bottom w:val="single" w:sz="2" w:space="10" w:color="0B2949" w:themeColor="accent1"/>
        <w:right w:val="single" w:sz="2" w:space="10" w:color="0B2949" w:themeColor="accent1"/>
      </w:pBdr>
      <w:ind w:left="1152" w:right="1152"/>
    </w:pPr>
    <w:rPr>
      <w:rFonts w:eastAsiaTheme="minorEastAsia"/>
      <w:i/>
      <w:iCs/>
      <w:color w:val="0B2949" w:themeColor="accent1"/>
    </w:rPr>
  </w:style>
  <w:style w:type="paragraph" w:styleId="BodyText2">
    <w:name w:val="Body Text 2"/>
    <w:basedOn w:val="Normal"/>
    <w:link w:val="BodyText2Char"/>
    <w:qFormat/>
    <w:rsid w:val="00570E30"/>
    <w:pPr>
      <w:spacing w:after="120" w:line="480" w:lineRule="auto"/>
    </w:pPr>
  </w:style>
  <w:style w:type="character" w:customStyle="1" w:styleId="BodyText2Char">
    <w:name w:val="Body Text 2 Char"/>
    <w:basedOn w:val="DefaultParagraphFont"/>
    <w:link w:val="BodyText2"/>
    <w:semiHidden/>
    <w:rsid w:val="00570E30"/>
    <w:rPr>
      <w:rFonts w:asciiTheme="minorHAnsi" w:eastAsiaTheme="minorHAnsi" w:hAnsiTheme="minorHAnsi" w:cstheme="minorBidi"/>
      <w:szCs w:val="22"/>
    </w:rPr>
  </w:style>
  <w:style w:type="paragraph" w:styleId="BodyText3">
    <w:name w:val="Body Text 3"/>
    <w:basedOn w:val="Normal"/>
    <w:link w:val="BodyText3Char"/>
    <w:qFormat/>
    <w:rsid w:val="00570E30"/>
    <w:pPr>
      <w:spacing w:after="120"/>
    </w:pPr>
    <w:rPr>
      <w:sz w:val="16"/>
      <w:szCs w:val="16"/>
    </w:rPr>
  </w:style>
  <w:style w:type="character" w:customStyle="1" w:styleId="BodyText3Char">
    <w:name w:val="Body Text 3 Char"/>
    <w:basedOn w:val="DefaultParagraphFont"/>
    <w:link w:val="BodyText3"/>
    <w:semiHidden/>
    <w:rsid w:val="00570E30"/>
    <w:rPr>
      <w:rFonts w:asciiTheme="minorHAnsi" w:eastAsiaTheme="minorHAnsi" w:hAnsiTheme="minorHAnsi" w:cstheme="minorBidi"/>
      <w:sz w:val="16"/>
      <w:szCs w:val="16"/>
    </w:rPr>
  </w:style>
  <w:style w:type="paragraph" w:styleId="BodyTextFirstIndent">
    <w:name w:val="Body Text First Indent"/>
    <w:basedOn w:val="BodyText"/>
    <w:link w:val="BodyTextFirstIndentChar"/>
    <w:qFormat/>
    <w:rsid w:val="00570E30"/>
    <w:pPr>
      <w:spacing w:after="160"/>
      <w:ind w:firstLine="360"/>
    </w:pPr>
  </w:style>
  <w:style w:type="character" w:customStyle="1" w:styleId="BodyTextFirstIndentChar">
    <w:name w:val="Body Text First Indent Char"/>
    <w:basedOn w:val="BodyTextChar"/>
    <w:link w:val="BodyTextFirstIndent"/>
    <w:semiHidden/>
    <w:rsid w:val="00570E30"/>
    <w:rPr>
      <w:rFonts w:asciiTheme="minorHAnsi" w:eastAsiaTheme="minorHAnsi" w:hAnsiTheme="minorHAnsi" w:cstheme="minorBidi"/>
      <w:szCs w:val="22"/>
    </w:rPr>
  </w:style>
  <w:style w:type="paragraph" w:styleId="BodyTextIndent">
    <w:name w:val="Body Text Indent"/>
    <w:basedOn w:val="Normal"/>
    <w:link w:val="BodyTextIndentChar"/>
    <w:qFormat/>
    <w:rsid w:val="00570E30"/>
    <w:pPr>
      <w:spacing w:after="120"/>
      <w:ind w:left="360"/>
    </w:pPr>
  </w:style>
  <w:style w:type="character" w:customStyle="1" w:styleId="BodyTextIndentChar">
    <w:name w:val="Body Text Indent Char"/>
    <w:basedOn w:val="DefaultParagraphFont"/>
    <w:link w:val="BodyTextIndent"/>
    <w:semiHidden/>
    <w:rsid w:val="00570E30"/>
    <w:rPr>
      <w:rFonts w:asciiTheme="minorHAnsi" w:eastAsiaTheme="minorHAnsi" w:hAnsiTheme="minorHAnsi" w:cstheme="minorBidi"/>
      <w:szCs w:val="22"/>
    </w:rPr>
  </w:style>
  <w:style w:type="paragraph" w:styleId="BodyTextFirstIndent2">
    <w:name w:val="Body Text First Indent 2"/>
    <w:basedOn w:val="BodyTextIndent"/>
    <w:link w:val="BodyTextFirstIndent2Char"/>
    <w:qFormat/>
    <w:rsid w:val="00570E30"/>
    <w:pPr>
      <w:spacing w:after="160"/>
      <w:ind w:firstLine="360"/>
    </w:pPr>
  </w:style>
  <w:style w:type="character" w:customStyle="1" w:styleId="BodyTextFirstIndent2Char">
    <w:name w:val="Body Text First Indent 2 Char"/>
    <w:basedOn w:val="BodyTextIndentChar"/>
    <w:link w:val="BodyTextFirstIndent2"/>
    <w:semiHidden/>
    <w:rsid w:val="00570E30"/>
    <w:rPr>
      <w:rFonts w:asciiTheme="minorHAnsi" w:eastAsiaTheme="minorHAnsi" w:hAnsiTheme="minorHAnsi" w:cstheme="minorBidi"/>
      <w:szCs w:val="22"/>
    </w:rPr>
  </w:style>
  <w:style w:type="paragraph" w:styleId="BodyTextIndent2">
    <w:name w:val="Body Text Indent 2"/>
    <w:basedOn w:val="Normal"/>
    <w:link w:val="BodyTextIndent2Char"/>
    <w:qFormat/>
    <w:rsid w:val="00570E30"/>
    <w:pPr>
      <w:spacing w:after="120" w:line="480" w:lineRule="auto"/>
      <w:ind w:left="360"/>
    </w:pPr>
  </w:style>
  <w:style w:type="character" w:customStyle="1" w:styleId="BodyTextIndent2Char">
    <w:name w:val="Body Text Indent 2 Char"/>
    <w:basedOn w:val="DefaultParagraphFont"/>
    <w:link w:val="BodyTextIndent2"/>
    <w:semiHidden/>
    <w:rsid w:val="00570E30"/>
    <w:rPr>
      <w:rFonts w:asciiTheme="minorHAnsi" w:eastAsiaTheme="minorHAnsi" w:hAnsiTheme="minorHAnsi" w:cstheme="minorBidi"/>
      <w:szCs w:val="22"/>
    </w:rPr>
  </w:style>
  <w:style w:type="paragraph" w:styleId="BodyTextIndent3">
    <w:name w:val="Body Text Indent 3"/>
    <w:basedOn w:val="Normal"/>
    <w:link w:val="BodyTextIndent3Char"/>
    <w:qFormat/>
    <w:rsid w:val="00570E30"/>
    <w:pPr>
      <w:spacing w:after="120"/>
      <w:ind w:left="360"/>
    </w:pPr>
    <w:rPr>
      <w:sz w:val="16"/>
      <w:szCs w:val="16"/>
    </w:rPr>
  </w:style>
  <w:style w:type="character" w:customStyle="1" w:styleId="BodyTextIndent3Char">
    <w:name w:val="Body Text Indent 3 Char"/>
    <w:basedOn w:val="DefaultParagraphFont"/>
    <w:link w:val="BodyTextIndent3"/>
    <w:semiHidden/>
    <w:rsid w:val="00570E30"/>
    <w:rPr>
      <w:rFonts w:asciiTheme="minorHAnsi" w:eastAsiaTheme="minorHAnsi" w:hAnsiTheme="minorHAnsi" w:cstheme="minorBidi"/>
      <w:sz w:val="16"/>
      <w:szCs w:val="16"/>
    </w:rPr>
  </w:style>
  <w:style w:type="character" w:styleId="BookTitle">
    <w:name w:val="Book Title"/>
    <w:basedOn w:val="DefaultParagraphFont"/>
    <w:qFormat/>
    <w:rsid w:val="00570E30"/>
    <w:rPr>
      <w:b/>
      <w:bCs/>
      <w:i/>
      <w:iCs/>
      <w:spacing w:val="5"/>
    </w:rPr>
  </w:style>
  <w:style w:type="paragraph" w:customStyle="1" w:styleId="Blank">
    <w:name w:val="Blank"/>
    <w:basedOn w:val="Normal"/>
    <w:qFormat/>
    <w:rsid w:val="00570E30"/>
    <w:pPr>
      <w:spacing w:before="5120" w:after="0"/>
      <w:jc w:val="center"/>
    </w:pPr>
    <w:rPr>
      <w:b/>
      <w:bCs/>
    </w:rPr>
  </w:style>
  <w:style w:type="paragraph" w:customStyle="1" w:styleId="Byline">
    <w:name w:val="Byline"/>
    <w:basedOn w:val="Normal"/>
    <w:qFormat/>
    <w:rsid w:val="00570E30"/>
    <w:pPr>
      <w:spacing w:before="120" w:after="120"/>
      <w:ind w:right="288"/>
    </w:pPr>
    <w:rPr>
      <w:rFonts w:asciiTheme="majorHAnsi" w:hAnsiTheme="majorHAnsi"/>
      <w:bCs/>
      <w:color w:val="444D54" w:themeColor="accent3" w:themeShade="BF"/>
    </w:rPr>
  </w:style>
  <w:style w:type="paragraph" w:customStyle="1" w:styleId="Callout">
    <w:name w:val="Callout"/>
    <w:basedOn w:val="Normal"/>
    <w:qFormat/>
    <w:rsid w:val="00570E30"/>
    <w:pPr>
      <w:ind w:left="720" w:right="720"/>
    </w:pPr>
    <w:rPr>
      <w:bCs/>
      <w:color w:val="000000" w:themeColor="text1"/>
      <w:sz w:val="22"/>
    </w:rPr>
  </w:style>
  <w:style w:type="paragraph" w:styleId="Date">
    <w:name w:val="Date"/>
    <w:basedOn w:val="Normal"/>
    <w:next w:val="Normal"/>
    <w:link w:val="DateChar"/>
    <w:qFormat/>
    <w:rsid w:val="00570E30"/>
    <w:pPr>
      <w:spacing w:after="120"/>
    </w:pPr>
    <w:rPr>
      <w:rFonts w:asciiTheme="majorHAnsi" w:hAnsiTheme="majorHAnsi"/>
      <w:b/>
      <w:color w:val="444D54" w:themeColor="accent3" w:themeShade="BF"/>
    </w:rPr>
  </w:style>
  <w:style w:type="character" w:customStyle="1" w:styleId="DateChar">
    <w:name w:val="Date Char"/>
    <w:basedOn w:val="DefaultParagraphFont"/>
    <w:link w:val="Date"/>
    <w:semiHidden/>
    <w:rsid w:val="00570E30"/>
    <w:rPr>
      <w:rFonts w:asciiTheme="majorHAnsi" w:eastAsiaTheme="minorHAnsi" w:hAnsiTheme="majorHAnsi" w:cstheme="minorBidi"/>
      <w:b/>
      <w:color w:val="444D54" w:themeColor="accent3" w:themeShade="BF"/>
      <w:szCs w:val="22"/>
    </w:rPr>
  </w:style>
  <w:style w:type="paragraph" w:customStyle="1" w:styleId="CoverTitle">
    <w:name w:val="Cover Title"/>
    <w:qFormat/>
    <w:rsid w:val="00570E30"/>
    <w:pPr>
      <w:spacing w:before="6720" w:after="240" w:line="600" w:lineRule="atLeast"/>
      <w:outlineLvl w:val="0"/>
    </w:pPr>
    <w:rPr>
      <w:rFonts w:asciiTheme="majorHAnsi" w:eastAsiaTheme="minorHAnsi" w:hAnsiTheme="majorHAnsi" w:cstheme="minorBidi"/>
      <w:b/>
      <w:bCs/>
      <w:color w:val="FFFFFF" w:themeColor="background1"/>
      <w:spacing w:val="5"/>
      <w:sz w:val="52"/>
      <w:szCs w:val="22"/>
    </w:rPr>
  </w:style>
  <w:style w:type="paragraph" w:customStyle="1" w:styleId="CoverDate">
    <w:name w:val="Cover Date"/>
    <w:qFormat/>
    <w:rsid w:val="00570E30"/>
    <w:pPr>
      <w:spacing w:before="360" w:line="264" w:lineRule="auto"/>
    </w:pPr>
    <w:rPr>
      <w:rFonts w:asciiTheme="majorHAnsi" w:eastAsiaTheme="minorHAnsi" w:hAnsiTheme="majorHAnsi" w:cstheme="minorBidi"/>
      <w:b/>
      <w:bCs/>
      <w:color w:val="0B2949" w:themeColor="accent1"/>
      <w:sz w:val="24"/>
      <w:szCs w:val="22"/>
    </w:rPr>
  </w:style>
  <w:style w:type="paragraph" w:styleId="ListNumber3">
    <w:name w:val="List Number 3"/>
    <w:basedOn w:val="Normal"/>
    <w:qFormat/>
    <w:rsid w:val="00570E30"/>
    <w:pPr>
      <w:numPr>
        <w:numId w:val="31"/>
      </w:numPr>
      <w:adjustRightInd w:val="0"/>
      <w:spacing w:after="80"/>
    </w:pPr>
  </w:style>
  <w:style w:type="paragraph" w:styleId="ListNumber4">
    <w:name w:val="List Number 4"/>
    <w:basedOn w:val="Normal"/>
    <w:qFormat/>
    <w:rsid w:val="00570E30"/>
    <w:pPr>
      <w:numPr>
        <w:numId w:val="32"/>
      </w:numPr>
      <w:spacing w:after="80"/>
    </w:pPr>
  </w:style>
  <w:style w:type="paragraph" w:customStyle="1" w:styleId="CoverSubtitle">
    <w:name w:val="Cover Subtitle"/>
    <w:qFormat/>
    <w:rsid w:val="00570E30"/>
    <w:pPr>
      <w:spacing w:line="400" w:lineRule="atLeast"/>
    </w:pPr>
    <w:rPr>
      <w:rFonts w:asciiTheme="majorHAnsi" w:eastAsiaTheme="minorHAnsi" w:hAnsiTheme="majorHAnsi" w:cstheme="minorBidi"/>
      <w:color w:val="FFFFFF" w:themeColor="background1"/>
      <w:spacing w:val="5"/>
      <w:sz w:val="36"/>
      <w:szCs w:val="22"/>
    </w:rPr>
  </w:style>
  <w:style w:type="paragraph" w:customStyle="1" w:styleId="CoverText">
    <w:name w:val="Cover Text"/>
    <w:qFormat/>
    <w:rsid w:val="00570E30"/>
    <w:pPr>
      <w:spacing w:after="240" w:line="280" w:lineRule="atLeast"/>
      <w:contextualSpacing/>
    </w:pPr>
    <w:rPr>
      <w:rFonts w:asciiTheme="minorHAnsi" w:eastAsiaTheme="minorHAnsi" w:hAnsiTheme="minorHAnsi" w:cstheme="minorBidi"/>
      <w:color w:val="0B2949" w:themeColor="accent1"/>
      <w:szCs w:val="22"/>
    </w:rPr>
  </w:style>
  <w:style w:type="paragraph" w:customStyle="1" w:styleId="CoverHead">
    <w:name w:val="Cover Head"/>
    <w:basedOn w:val="CoverDate"/>
    <w:qFormat/>
    <w:rsid w:val="00570E30"/>
    <w:pPr>
      <w:spacing w:before="0" w:after="90" w:line="280" w:lineRule="atLeast"/>
    </w:pPr>
    <w:rPr>
      <w:rFonts w:asciiTheme="minorHAnsi" w:hAnsiTheme="minorHAnsi"/>
      <w:sz w:val="20"/>
    </w:rPr>
  </w:style>
  <w:style w:type="paragraph" w:customStyle="1" w:styleId="CoverAuthor">
    <w:name w:val="Cover Author"/>
    <w:basedOn w:val="CoverDate"/>
    <w:qFormat/>
    <w:rsid w:val="00570E30"/>
    <w:pPr>
      <w:spacing w:before="120"/>
    </w:pPr>
    <w:rPr>
      <w:b w:val="0"/>
    </w:rPr>
  </w:style>
  <w:style w:type="paragraph" w:customStyle="1" w:styleId="Addressee">
    <w:name w:val="Addressee"/>
    <w:basedOn w:val="Normal"/>
    <w:qFormat/>
    <w:rsid w:val="00570E30"/>
    <w:pPr>
      <w:tabs>
        <w:tab w:val="left" w:pos="576"/>
      </w:tabs>
      <w:spacing w:before="240"/>
      <w:ind w:left="576" w:hanging="576"/>
    </w:pPr>
  </w:style>
  <w:style w:type="paragraph" w:customStyle="1" w:styleId="PubinfoAuthor">
    <w:name w:val="Pubinfo Author"/>
    <w:basedOn w:val="Pubinfo"/>
    <w:qFormat/>
    <w:rsid w:val="00570E30"/>
    <w:pPr>
      <w:spacing w:after="0"/>
    </w:pPr>
  </w:style>
  <w:style w:type="paragraph" w:customStyle="1" w:styleId="ExhibitFootnote">
    <w:name w:val="Exhibit Footnote"/>
    <w:basedOn w:val="TableTextLeft"/>
    <w:unhideWhenUsed/>
    <w:qFormat/>
    <w:rsid w:val="00570E30"/>
    <w:pPr>
      <w:spacing w:line="200" w:lineRule="atLeast"/>
    </w:pPr>
    <w:rPr>
      <w:sz w:val="16"/>
    </w:rPr>
  </w:style>
  <w:style w:type="paragraph" w:styleId="Closing">
    <w:name w:val="Closing"/>
    <w:basedOn w:val="Normal"/>
    <w:link w:val="ClosingChar"/>
    <w:qFormat/>
    <w:rsid w:val="00570E30"/>
    <w:pPr>
      <w:spacing w:after="240" w:line="240" w:lineRule="auto"/>
      <w:ind w:left="4320"/>
      <w:contextualSpacing/>
    </w:pPr>
  </w:style>
  <w:style w:type="character" w:customStyle="1" w:styleId="ClosingChar">
    <w:name w:val="Closing Char"/>
    <w:basedOn w:val="DefaultParagraphFont"/>
    <w:link w:val="Closing"/>
    <w:semiHidden/>
    <w:rsid w:val="00570E30"/>
    <w:rPr>
      <w:rFonts w:asciiTheme="minorHAnsi" w:eastAsiaTheme="minorHAnsi" w:hAnsiTheme="minorHAnsi" w:cstheme="minorBidi"/>
      <w:szCs w:val="22"/>
    </w:rPr>
  </w:style>
  <w:style w:type="paragraph" w:customStyle="1" w:styleId="ESH1">
    <w:name w:val="ES H1"/>
    <w:basedOn w:val="H1"/>
    <w:next w:val="ESParagraph"/>
    <w:unhideWhenUsed/>
    <w:qFormat/>
    <w:rsid w:val="00570E30"/>
    <w:pPr>
      <w:outlineLvl w:val="9"/>
    </w:pPr>
  </w:style>
  <w:style w:type="paragraph" w:customStyle="1" w:styleId="ESH2">
    <w:name w:val="ES H2"/>
    <w:basedOn w:val="ESH1"/>
    <w:next w:val="ESParagraph"/>
    <w:unhideWhenUsed/>
    <w:qFormat/>
    <w:rsid w:val="00570E30"/>
    <w:rPr>
      <w:b w:val="0"/>
      <w:color w:val="0B2949" w:themeColor="accent1"/>
      <w:sz w:val="24"/>
    </w:rPr>
  </w:style>
  <w:style w:type="paragraph" w:customStyle="1" w:styleId="ESListBullet">
    <w:name w:val="ES List Bullet"/>
    <w:basedOn w:val="ESParagraph"/>
    <w:unhideWhenUsed/>
    <w:qFormat/>
    <w:rsid w:val="00570E30"/>
    <w:pPr>
      <w:numPr>
        <w:numId w:val="34"/>
      </w:numPr>
    </w:pPr>
  </w:style>
  <w:style w:type="paragraph" w:customStyle="1" w:styleId="ESListNumber">
    <w:name w:val="ES List Number"/>
    <w:basedOn w:val="ESParagraph"/>
    <w:unhideWhenUsed/>
    <w:qFormat/>
    <w:rsid w:val="00570E30"/>
    <w:pPr>
      <w:numPr>
        <w:numId w:val="35"/>
      </w:numPr>
    </w:pPr>
  </w:style>
  <w:style w:type="paragraph" w:customStyle="1" w:styleId="ESParagraph">
    <w:name w:val="ES Paragraph"/>
    <w:basedOn w:val="Normal"/>
    <w:unhideWhenUsed/>
    <w:qFormat/>
    <w:rsid w:val="00570E30"/>
    <w:rPr>
      <w:rFonts w:asciiTheme="majorHAnsi" w:hAnsiTheme="majorHAnsi"/>
      <w:color w:val="000000" w:themeColor="text1"/>
    </w:rPr>
  </w:style>
  <w:style w:type="paragraph" w:customStyle="1" w:styleId="ESParagraphContinued">
    <w:name w:val="ES Paragraph Continued"/>
    <w:basedOn w:val="ESParagraph"/>
    <w:next w:val="ESParagraph"/>
    <w:unhideWhenUsed/>
    <w:qFormat/>
    <w:rsid w:val="00570E30"/>
    <w:pPr>
      <w:spacing w:before="160"/>
    </w:pPr>
  </w:style>
  <w:style w:type="paragraph" w:customStyle="1" w:styleId="ExhibitSource">
    <w:name w:val="Exhibit Source"/>
    <w:basedOn w:val="TableTextLeft"/>
    <w:unhideWhenUsed/>
    <w:qFormat/>
    <w:rsid w:val="00570E30"/>
    <w:pPr>
      <w:tabs>
        <w:tab w:val="left" w:pos="648"/>
      </w:tabs>
      <w:spacing w:line="200" w:lineRule="atLeast"/>
      <w:ind w:left="648" w:hanging="648"/>
    </w:pPr>
    <w:rPr>
      <w:sz w:val="16"/>
    </w:rPr>
  </w:style>
  <w:style w:type="paragraph" w:customStyle="1" w:styleId="ExhibitSignificance">
    <w:name w:val="Exhibit Significance"/>
    <w:basedOn w:val="TableTextLeft"/>
    <w:unhideWhenUsed/>
    <w:qFormat/>
    <w:rsid w:val="00570E30"/>
    <w:pPr>
      <w:tabs>
        <w:tab w:val="right" w:pos="180"/>
        <w:tab w:val="left" w:pos="270"/>
      </w:tabs>
      <w:spacing w:line="200" w:lineRule="atLeast"/>
      <w:ind w:left="274" w:hanging="274"/>
    </w:pPr>
    <w:rPr>
      <w:sz w:val="16"/>
    </w:rPr>
  </w:style>
  <w:style w:type="paragraph" w:customStyle="1" w:styleId="ExhibitTitle">
    <w:name w:val="Exhibit Title"/>
    <w:basedOn w:val="TableTextLeft"/>
    <w:qFormat/>
    <w:rsid w:val="00570E30"/>
    <w:pPr>
      <w:keepNext/>
      <w:keepLines/>
      <w:spacing w:before="0" w:after="80"/>
    </w:pPr>
    <w:rPr>
      <w:color w:val="0B2949" w:themeColor="accent1"/>
      <w:sz w:val="22"/>
    </w:rPr>
  </w:style>
  <w:style w:type="paragraph" w:customStyle="1" w:styleId="FAQQuestion">
    <w:name w:val="FAQ Question"/>
    <w:basedOn w:val="H1"/>
    <w:next w:val="ParagraphContinued"/>
    <w:unhideWhenUsed/>
    <w:qFormat/>
    <w:rsid w:val="00570E30"/>
    <w:rPr>
      <w:color w:val="0B2949" w:themeColor="accent1"/>
    </w:rPr>
  </w:style>
  <w:style w:type="paragraph" w:customStyle="1" w:styleId="Feature1">
    <w:name w:val="Feature1"/>
    <w:basedOn w:val="Normal"/>
    <w:qFormat/>
    <w:rsid w:val="00570E30"/>
    <w:pPr>
      <w:spacing w:after="0"/>
    </w:pPr>
  </w:style>
  <w:style w:type="paragraph" w:customStyle="1" w:styleId="Feature1Title">
    <w:name w:val="Feature1 Title"/>
    <w:basedOn w:val="H1"/>
    <w:next w:val="Feature1"/>
    <w:qFormat/>
    <w:rsid w:val="00570E30"/>
  </w:style>
  <w:style w:type="paragraph" w:customStyle="1" w:styleId="Feature1ListBullet">
    <w:name w:val="Feature1 List Bullet"/>
    <w:basedOn w:val="Feature1"/>
    <w:qFormat/>
    <w:rsid w:val="00570E30"/>
  </w:style>
  <w:style w:type="paragraph" w:customStyle="1" w:styleId="Feature1ListNumber">
    <w:name w:val="Feature1 List Number"/>
    <w:basedOn w:val="Feature1"/>
    <w:qFormat/>
    <w:rsid w:val="00570E30"/>
  </w:style>
  <w:style w:type="paragraph" w:customStyle="1" w:styleId="Feature1Head">
    <w:name w:val="Feature1 Head"/>
    <w:basedOn w:val="Feature1Title"/>
    <w:next w:val="Feature1"/>
    <w:qFormat/>
    <w:rsid w:val="00570E30"/>
    <w:pPr>
      <w:spacing w:after="80"/>
      <w:outlineLvl w:val="9"/>
    </w:pPr>
  </w:style>
  <w:style w:type="paragraph" w:customStyle="1" w:styleId="Feature20">
    <w:name w:val="Feature2"/>
    <w:basedOn w:val="Normal"/>
    <w:qFormat/>
    <w:rsid w:val="00570E30"/>
    <w:pPr>
      <w:spacing w:after="0"/>
    </w:pPr>
  </w:style>
  <w:style w:type="paragraph" w:customStyle="1" w:styleId="Feature2Title">
    <w:name w:val="Feature2 Title"/>
    <w:basedOn w:val="H1"/>
    <w:qFormat/>
    <w:rsid w:val="00570E30"/>
  </w:style>
  <w:style w:type="paragraph" w:customStyle="1" w:styleId="Feature2Head">
    <w:name w:val="Feature2 Head"/>
    <w:basedOn w:val="Feature2Title"/>
    <w:next w:val="Feature20"/>
    <w:qFormat/>
    <w:rsid w:val="00570E30"/>
  </w:style>
  <w:style w:type="paragraph" w:customStyle="1" w:styleId="Feature2ListBullet">
    <w:name w:val="Feature2 List Bullet"/>
    <w:basedOn w:val="Feature20"/>
    <w:qFormat/>
    <w:rsid w:val="00570E30"/>
  </w:style>
  <w:style w:type="paragraph" w:customStyle="1" w:styleId="Feature2ListNumber">
    <w:name w:val="Feature2 List Number"/>
    <w:basedOn w:val="Feature20"/>
    <w:qFormat/>
    <w:rsid w:val="00570E30"/>
  </w:style>
  <w:style w:type="paragraph" w:customStyle="1" w:styleId="Feature1ListHead">
    <w:name w:val="Feature1 List Head"/>
    <w:basedOn w:val="Feature1"/>
    <w:next w:val="Feature1ListBullet"/>
    <w:qFormat/>
    <w:rsid w:val="00570E30"/>
    <w:rPr>
      <w:b/>
    </w:rPr>
  </w:style>
  <w:style w:type="paragraph" w:customStyle="1" w:styleId="Feature2ListHead">
    <w:name w:val="Feature2 List Head"/>
    <w:basedOn w:val="Feature20"/>
    <w:next w:val="Feature2ListBullet"/>
    <w:qFormat/>
    <w:rsid w:val="00570E30"/>
    <w:rPr>
      <w:b/>
    </w:rPr>
  </w:style>
  <w:style w:type="paragraph" w:customStyle="1" w:styleId="FigureTitle">
    <w:name w:val="Figure Title"/>
    <w:basedOn w:val="ExhibitTitle"/>
    <w:next w:val="ExhibitSource"/>
    <w:qFormat/>
    <w:rsid w:val="0083781F"/>
    <w:pPr>
      <w:spacing w:before="240" w:after="120"/>
      <w:jc w:val="center"/>
    </w:pPr>
    <w:rPr>
      <w:rFonts w:ascii="Arial Narrow" w:hAnsi="Arial Narrow"/>
      <w:b/>
      <w:color w:val="000000" w:themeColor="text1"/>
      <w:sz w:val="24"/>
    </w:rPr>
  </w:style>
  <w:style w:type="paragraph" w:customStyle="1" w:styleId="H2">
    <w:name w:val="H2"/>
    <w:basedOn w:val="H1"/>
    <w:next w:val="Paragraph"/>
    <w:qFormat/>
    <w:rsid w:val="00D81C30"/>
    <w:pPr>
      <w:spacing w:before="240" w:after="120"/>
      <w:ind w:left="720" w:hanging="720"/>
      <w:outlineLvl w:val="2"/>
    </w:pPr>
    <w:rPr>
      <w:sz w:val="32"/>
    </w:rPr>
  </w:style>
  <w:style w:type="paragraph" w:customStyle="1" w:styleId="H3">
    <w:name w:val="H3"/>
    <w:basedOn w:val="H1"/>
    <w:next w:val="Paragraph"/>
    <w:qFormat/>
    <w:rsid w:val="0083781F"/>
    <w:pPr>
      <w:spacing w:before="240" w:after="120"/>
      <w:ind w:left="720" w:hanging="720"/>
      <w:outlineLvl w:val="3"/>
    </w:pPr>
    <w:rPr>
      <w:sz w:val="28"/>
    </w:rPr>
  </w:style>
  <w:style w:type="paragraph" w:customStyle="1" w:styleId="H4">
    <w:name w:val="H4"/>
    <w:basedOn w:val="H1"/>
    <w:next w:val="ParagraphContinued"/>
    <w:qFormat/>
    <w:rsid w:val="00FE4E10"/>
    <w:pPr>
      <w:spacing w:before="240" w:after="120"/>
      <w:ind w:left="1080" w:hanging="1080"/>
      <w:outlineLvl w:val="4"/>
    </w:pPr>
    <w:rPr>
      <w:sz w:val="26"/>
    </w:rPr>
  </w:style>
  <w:style w:type="paragraph" w:customStyle="1" w:styleId="Introduction">
    <w:name w:val="Introduction"/>
    <w:basedOn w:val="Normal"/>
    <w:qFormat/>
    <w:rsid w:val="00570E30"/>
    <w:pPr>
      <w:spacing w:after="120" w:line="320" w:lineRule="atLeast"/>
    </w:pPr>
    <w:rPr>
      <w:rFonts w:asciiTheme="majorHAnsi" w:hAnsiTheme="majorHAnsi"/>
      <w:color w:val="444D54" w:themeColor="accent3" w:themeShade="BF"/>
      <w:sz w:val="22"/>
    </w:rPr>
  </w:style>
  <w:style w:type="paragraph" w:customStyle="1" w:styleId="Notes">
    <w:name w:val="Notes"/>
    <w:basedOn w:val="Normal"/>
    <w:qFormat/>
    <w:rsid w:val="00570E30"/>
    <w:rPr>
      <w:color w:val="046B5C" w:themeColor="text2"/>
    </w:rPr>
  </w:style>
  <w:style w:type="paragraph" w:customStyle="1" w:styleId="Pubinfo">
    <w:name w:val="Pubinfo"/>
    <w:basedOn w:val="Normal"/>
    <w:qFormat/>
    <w:rsid w:val="00570E30"/>
    <w:rPr>
      <w:b/>
    </w:rPr>
  </w:style>
  <w:style w:type="paragraph" w:customStyle="1" w:styleId="PubinfoCategory">
    <w:name w:val="Pubinfo Category"/>
    <w:basedOn w:val="Pubinfo"/>
    <w:qFormat/>
    <w:rsid w:val="00570E30"/>
  </w:style>
  <w:style w:type="paragraph" w:customStyle="1" w:styleId="PubinfoDate">
    <w:name w:val="Pubinfo Date"/>
    <w:basedOn w:val="PubinfoCategory"/>
    <w:qFormat/>
    <w:rsid w:val="00570E30"/>
  </w:style>
  <w:style w:type="paragraph" w:customStyle="1" w:styleId="PubinfoHead">
    <w:name w:val="Pubinfo Head"/>
    <w:basedOn w:val="Pubinfo"/>
    <w:qFormat/>
    <w:rsid w:val="00570E30"/>
  </w:style>
  <w:style w:type="paragraph" w:customStyle="1" w:styleId="PubinfoList">
    <w:name w:val="Pubinfo List"/>
    <w:basedOn w:val="Pubinfo"/>
    <w:qFormat/>
    <w:rsid w:val="00570E30"/>
  </w:style>
  <w:style w:type="paragraph" w:customStyle="1" w:styleId="PubinfoNumber">
    <w:name w:val="Pubinfo Number"/>
    <w:basedOn w:val="Pubinfo"/>
    <w:qFormat/>
    <w:rsid w:val="00570E30"/>
  </w:style>
  <w:style w:type="paragraph" w:styleId="Quote">
    <w:name w:val="Quote"/>
    <w:basedOn w:val="Normal"/>
    <w:link w:val="QuoteChar"/>
    <w:qFormat/>
    <w:rsid w:val="00570E30"/>
    <w:pPr>
      <w:spacing w:before="40" w:after="60"/>
    </w:pPr>
    <w:rPr>
      <w:rFonts w:asciiTheme="majorHAnsi" w:hAnsiTheme="majorHAnsi"/>
      <w:iCs/>
      <w:color w:val="444D54" w:themeColor="accent3" w:themeShade="BF"/>
      <w:sz w:val="24"/>
      <w:szCs w:val="21"/>
    </w:rPr>
  </w:style>
  <w:style w:type="character" w:customStyle="1" w:styleId="QuoteChar">
    <w:name w:val="Quote Char"/>
    <w:basedOn w:val="DefaultParagraphFont"/>
    <w:link w:val="Quote"/>
    <w:rsid w:val="00570E30"/>
    <w:rPr>
      <w:rFonts w:asciiTheme="majorHAnsi" w:eastAsiaTheme="minorHAnsi" w:hAnsiTheme="majorHAnsi" w:cstheme="minorBidi"/>
      <w:iCs/>
      <w:color w:val="444D54" w:themeColor="accent3" w:themeShade="BF"/>
      <w:sz w:val="24"/>
      <w:szCs w:val="21"/>
    </w:rPr>
  </w:style>
  <w:style w:type="paragraph" w:customStyle="1" w:styleId="QuoteAttribution">
    <w:name w:val="Quote Attribution"/>
    <w:basedOn w:val="Quote"/>
    <w:qFormat/>
    <w:rsid w:val="00570E30"/>
    <w:pPr>
      <w:spacing w:before="0" w:after="160"/>
      <w:jc w:val="right"/>
    </w:pPr>
    <w:rPr>
      <w:sz w:val="20"/>
    </w:rPr>
  </w:style>
  <w:style w:type="character" w:customStyle="1" w:styleId="SubtitleChar">
    <w:name w:val="Subtitle Char"/>
    <w:basedOn w:val="DefaultParagraphFont"/>
    <w:link w:val="Subtitle"/>
    <w:rsid w:val="00570E30"/>
    <w:rPr>
      <w:rFonts w:asciiTheme="majorHAnsi" w:eastAsiaTheme="minorEastAsia" w:hAnsiTheme="majorHAnsi" w:cstheme="minorBidi"/>
      <w:color w:val="444D54" w:themeColor="accent3" w:themeShade="BF"/>
      <w:spacing w:val="15"/>
      <w:sz w:val="30"/>
      <w:szCs w:val="22"/>
    </w:rPr>
  </w:style>
  <w:style w:type="paragraph" w:customStyle="1" w:styleId="SidebarTitle">
    <w:name w:val="Sidebar Title"/>
    <w:basedOn w:val="H1"/>
    <w:next w:val="Sidebar"/>
    <w:qFormat/>
    <w:rsid w:val="00570E30"/>
    <w:pPr>
      <w:spacing w:before="0" w:after="80" w:line="260" w:lineRule="atLeast"/>
      <w:outlineLvl w:val="9"/>
    </w:pPr>
    <w:rPr>
      <w:b w:val="0"/>
      <w:color w:val="0B2949" w:themeColor="accent1"/>
      <w:sz w:val="22"/>
    </w:rPr>
  </w:style>
  <w:style w:type="paragraph" w:customStyle="1" w:styleId="SidebarHead">
    <w:name w:val="Sidebar Head"/>
    <w:basedOn w:val="SidebarTitle"/>
    <w:next w:val="Sidebar"/>
    <w:qFormat/>
    <w:rsid w:val="00570E30"/>
  </w:style>
  <w:style w:type="paragraph" w:customStyle="1" w:styleId="TableTextRight">
    <w:name w:val="Table Text Right"/>
    <w:basedOn w:val="TableTextLeft"/>
    <w:qFormat/>
    <w:rsid w:val="00570E30"/>
    <w:pPr>
      <w:jc w:val="right"/>
    </w:pPr>
  </w:style>
  <w:style w:type="paragraph" w:customStyle="1" w:styleId="TableTextDecimal">
    <w:name w:val="Table Text Decimal"/>
    <w:basedOn w:val="TableTextLeft"/>
    <w:qFormat/>
    <w:rsid w:val="00570E30"/>
    <w:pPr>
      <w:tabs>
        <w:tab w:val="decimal" w:pos="576"/>
      </w:tabs>
    </w:pPr>
  </w:style>
  <w:style w:type="paragraph" w:customStyle="1" w:styleId="TableRowHead">
    <w:name w:val="Table Row Head"/>
    <w:basedOn w:val="TableTextLeft"/>
    <w:qFormat/>
    <w:rsid w:val="00570E30"/>
    <w:pPr>
      <w:keepNext/>
    </w:pPr>
    <w:rPr>
      <w:b/>
      <w:color w:val="auto"/>
    </w:rPr>
  </w:style>
  <w:style w:type="paragraph" w:customStyle="1" w:styleId="TableListNumber">
    <w:name w:val="Table List Number"/>
    <w:basedOn w:val="TableTextLeft"/>
    <w:qFormat/>
    <w:rsid w:val="00570E30"/>
    <w:pPr>
      <w:numPr>
        <w:numId w:val="36"/>
      </w:numPr>
    </w:pPr>
  </w:style>
  <w:style w:type="paragraph" w:customStyle="1" w:styleId="TableListBullet">
    <w:name w:val="Table List Bullet"/>
    <w:basedOn w:val="TableTextLeft"/>
    <w:qFormat/>
    <w:rsid w:val="00E747B5"/>
    <w:pPr>
      <w:numPr>
        <w:numId w:val="37"/>
      </w:numPr>
    </w:pPr>
  </w:style>
  <w:style w:type="paragraph" w:customStyle="1" w:styleId="TableHeaderCenter">
    <w:name w:val="Table Header Center"/>
    <w:basedOn w:val="TableTextLeft"/>
    <w:qFormat/>
    <w:rsid w:val="00865438"/>
    <w:pPr>
      <w:keepNext/>
      <w:jc w:val="center"/>
    </w:pPr>
    <w:rPr>
      <w:color w:val="auto"/>
      <w:sz w:val="22"/>
    </w:rPr>
  </w:style>
  <w:style w:type="paragraph" w:customStyle="1" w:styleId="TableHeaderLeft">
    <w:name w:val="Table Header Left"/>
    <w:basedOn w:val="TableTextLeft"/>
    <w:qFormat/>
    <w:rsid w:val="00D428E5"/>
    <w:pPr>
      <w:keepNext/>
    </w:pPr>
    <w:rPr>
      <w:color w:val="auto"/>
      <w:sz w:val="22"/>
    </w:rPr>
  </w:style>
  <w:style w:type="paragraph" w:customStyle="1" w:styleId="TableTitle">
    <w:name w:val="Table Title"/>
    <w:basedOn w:val="FigureTitle"/>
    <w:qFormat/>
    <w:rsid w:val="00627252"/>
  </w:style>
  <w:style w:type="paragraph" w:customStyle="1" w:styleId="TableTextCentered">
    <w:name w:val="Table Text Centered"/>
    <w:basedOn w:val="TableTextLeft"/>
    <w:qFormat/>
    <w:rsid w:val="00570E30"/>
    <w:pPr>
      <w:jc w:val="center"/>
    </w:pPr>
  </w:style>
  <w:style w:type="paragraph" w:styleId="List2">
    <w:name w:val="List 2"/>
    <w:basedOn w:val="Normal"/>
    <w:qFormat/>
    <w:rsid w:val="00570E30"/>
    <w:pPr>
      <w:numPr>
        <w:ilvl w:val="1"/>
        <w:numId w:val="25"/>
      </w:numPr>
      <w:contextualSpacing/>
    </w:pPr>
  </w:style>
  <w:style w:type="paragraph" w:styleId="List3">
    <w:name w:val="List 3"/>
    <w:basedOn w:val="Normal"/>
    <w:qFormat/>
    <w:rsid w:val="00570E30"/>
    <w:pPr>
      <w:numPr>
        <w:ilvl w:val="2"/>
        <w:numId w:val="25"/>
      </w:numPr>
      <w:contextualSpacing/>
    </w:pPr>
  </w:style>
  <w:style w:type="paragraph" w:customStyle="1" w:styleId="ListAlpha">
    <w:name w:val="List Alpha"/>
    <w:basedOn w:val="List"/>
    <w:qFormat/>
    <w:rsid w:val="00570E30"/>
    <w:pPr>
      <w:numPr>
        <w:numId w:val="38"/>
      </w:numPr>
    </w:pPr>
  </w:style>
  <w:style w:type="paragraph" w:customStyle="1" w:styleId="ListAlpha2">
    <w:name w:val="List Alpha 2"/>
    <w:basedOn w:val="List2"/>
    <w:qFormat/>
    <w:rsid w:val="00570E30"/>
    <w:pPr>
      <w:numPr>
        <w:ilvl w:val="0"/>
        <w:numId w:val="39"/>
      </w:numPr>
      <w:spacing w:after="80"/>
      <w:contextualSpacing w:val="0"/>
    </w:pPr>
  </w:style>
  <w:style w:type="paragraph" w:customStyle="1" w:styleId="ListAlpha3">
    <w:name w:val="List Alpha 3"/>
    <w:basedOn w:val="List3"/>
    <w:qFormat/>
    <w:rsid w:val="00570E30"/>
    <w:pPr>
      <w:numPr>
        <w:ilvl w:val="0"/>
        <w:numId w:val="40"/>
      </w:numPr>
      <w:spacing w:after="80"/>
      <w:contextualSpacing w:val="0"/>
    </w:pPr>
  </w:style>
  <w:style w:type="paragraph" w:styleId="List4">
    <w:name w:val="List 4"/>
    <w:basedOn w:val="Normal"/>
    <w:qFormat/>
    <w:rsid w:val="00570E30"/>
    <w:pPr>
      <w:numPr>
        <w:ilvl w:val="3"/>
        <w:numId w:val="25"/>
      </w:numPr>
      <w:contextualSpacing/>
    </w:pPr>
  </w:style>
  <w:style w:type="paragraph" w:customStyle="1" w:styleId="Outline1">
    <w:name w:val="Outline 1"/>
    <w:basedOn w:val="List"/>
    <w:qFormat/>
    <w:rsid w:val="00570E30"/>
    <w:pPr>
      <w:numPr>
        <w:numId w:val="0"/>
      </w:numPr>
      <w:spacing w:after="0"/>
    </w:pPr>
  </w:style>
  <w:style w:type="paragraph" w:customStyle="1" w:styleId="Outline2">
    <w:name w:val="Outline 2"/>
    <w:basedOn w:val="List2"/>
    <w:qFormat/>
    <w:rsid w:val="00570E30"/>
    <w:pPr>
      <w:numPr>
        <w:numId w:val="41"/>
      </w:numPr>
      <w:spacing w:after="0"/>
    </w:pPr>
  </w:style>
  <w:style w:type="paragraph" w:customStyle="1" w:styleId="Outline3">
    <w:name w:val="Outline 3"/>
    <w:basedOn w:val="List3"/>
    <w:qFormat/>
    <w:rsid w:val="00570E30"/>
    <w:pPr>
      <w:numPr>
        <w:numId w:val="41"/>
      </w:numPr>
      <w:spacing w:after="0"/>
    </w:pPr>
  </w:style>
  <w:style w:type="paragraph" w:customStyle="1" w:styleId="Outline4">
    <w:name w:val="Outline 4"/>
    <w:basedOn w:val="List4"/>
    <w:qFormat/>
    <w:rsid w:val="00570E30"/>
    <w:pPr>
      <w:numPr>
        <w:ilvl w:val="0"/>
        <w:numId w:val="0"/>
      </w:numPr>
      <w:spacing w:after="0"/>
      <w:ind w:left="1440" w:hanging="360"/>
    </w:pPr>
  </w:style>
  <w:style w:type="character" w:customStyle="1" w:styleId="BoldItalic">
    <w:name w:val="Bold Italic"/>
    <w:basedOn w:val="DefaultParagraphFont"/>
    <w:qFormat/>
    <w:rsid w:val="00570E30"/>
    <w:rPr>
      <w:b/>
      <w:i/>
    </w:rPr>
  </w:style>
  <w:style w:type="character" w:customStyle="1" w:styleId="BoldUnderline">
    <w:name w:val="Bold Underline"/>
    <w:basedOn w:val="DefaultParagraphFont"/>
    <w:qFormat/>
    <w:rsid w:val="00570E30"/>
    <w:rPr>
      <w:b/>
      <w:u w:val="single"/>
    </w:rPr>
  </w:style>
  <w:style w:type="character" w:customStyle="1" w:styleId="HighlightBlue">
    <w:name w:val="Highlight Blue"/>
    <w:basedOn w:val="DefaultParagraphFont"/>
    <w:qFormat/>
    <w:rsid w:val="00570E30"/>
    <w:rPr>
      <w:bdr w:val="none" w:sz="0" w:space="0" w:color="auto"/>
      <w:shd w:val="clear" w:color="auto" w:fill="D9E8F9" w:themeFill="accent1" w:themeFillTint="1A"/>
    </w:rPr>
  </w:style>
  <w:style w:type="character" w:customStyle="1" w:styleId="HighlightYellow">
    <w:name w:val="Highlight Yellow"/>
    <w:basedOn w:val="DefaultParagraphFont"/>
    <w:qFormat/>
    <w:rsid w:val="00570E30"/>
    <w:rPr>
      <w:bdr w:val="none" w:sz="0" w:space="0" w:color="auto"/>
      <w:shd w:val="clear" w:color="auto" w:fill="FCF0D1" w:themeFill="accent4" w:themeFillTint="33"/>
    </w:rPr>
  </w:style>
  <w:style w:type="character" w:customStyle="1" w:styleId="RunIn">
    <w:name w:val="Run In"/>
    <w:basedOn w:val="DefaultParagraphFont"/>
    <w:qFormat/>
    <w:rsid w:val="00570E30"/>
    <w:rPr>
      <w:b/>
      <w:color w:val="000000" w:themeColor="text1"/>
    </w:rPr>
  </w:style>
  <w:style w:type="character" w:customStyle="1" w:styleId="TableTextTight">
    <w:name w:val="Table Text Tight"/>
    <w:basedOn w:val="DefaultParagraphFont"/>
    <w:qFormat/>
    <w:rsid w:val="00570E30"/>
    <w:rPr>
      <w:sz w:val="16"/>
    </w:rPr>
  </w:style>
  <w:style w:type="character" w:customStyle="1" w:styleId="TitleSubtitle">
    <w:name w:val="Title_Subtitle"/>
    <w:basedOn w:val="DefaultParagraphFont"/>
    <w:qFormat/>
    <w:rsid w:val="00570E30"/>
    <w:rPr>
      <w:b/>
    </w:rPr>
  </w:style>
  <w:style w:type="table" w:customStyle="1" w:styleId="AlternateTable">
    <w:name w:val="Alternate Table"/>
    <w:basedOn w:val="TableNormal"/>
    <w:rsid w:val="00570E30"/>
    <w:pPr>
      <w:spacing w:before="40" w:after="20"/>
    </w:pPr>
    <w:rPr>
      <w:rFonts w:asciiTheme="majorHAnsi" w:eastAsiaTheme="minorHAnsi" w:hAnsiTheme="majorHAnsi" w:cstheme="minorBidi"/>
      <w:sz w:val="18"/>
      <w:szCs w:val="22"/>
    </w:rPr>
    <w:tblPr>
      <w:tblBorders>
        <w:bottom w:val="single" w:sz="4" w:space="0" w:color="046B5C" w:themeColor="text2"/>
        <w:insideH w:val="single" w:sz="4" w:space="0" w:color="5B6771" w:themeColor="accent3"/>
      </w:tblBorders>
      <w:tblCellMar>
        <w:left w:w="58" w:type="dxa"/>
        <w:right w:w="58" w:type="dxa"/>
      </w:tblCellMar>
    </w:tblPr>
    <w:trPr>
      <w:cantSplit/>
    </w:trPr>
    <w:tcPr>
      <w:shd w:val="clear" w:color="auto" w:fill="FFFFFF" w:themeFill="background1"/>
      <w:tcMar>
        <w:top w:w="0" w:type="dxa"/>
        <w:bottom w:w="0" w:type="dxa"/>
      </w:tcMar>
    </w:tcPr>
    <w:tblStylePr w:type="firstRow">
      <w:pPr>
        <w:jc w:val="left"/>
      </w:pPr>
      <w:rPr>
        <w:b/>
        <w:color w:val="FFFFFF" w:themeColor="background1"/>
      </w:rPr>
      <w:tblPr/>
      <w:tcPr>
        <w:tcBorders>
          <w:top w:val="nil"/>
          <w:left w:val="nil"/>
          <w:bottom w:val="single" w:sz="4" w:space="0" w:color="046B5C" w:themeColor="text2"/>
          <w:right w:val="nil"/>
          <w:insideH w:val="nil"/>
          <w:insideV w:val="single" w:sz="4" w:space="0" w:color="FFFFFF" w:themeColor="background1"/>
          <w:tl2br w:val="nil"/>
          <w:tr2bl w:val="nil"/>
        </w:tcBorders>
        <w:shd w:val="clear" w:color="auto" w:fill="046B5C" w:themeFill="text2"/>
      </w:tcPr>
    </w:tblStylePr>
    <w:tblStylePr w:type="lastRow">
      <w:rPr>
        <w:color w:val="000000" w:themeColor="text1"/>
      </w:rPr>
      <w:tblPr/>
      <w:tcPr>
        <w:tcBorders>
          <w:bottom w:val="single" w:sz="4" w:space="0" w:color="046B5C" w:themeColor="text2"/>
        </w:tcBorders>
        <w:shd w:val="clear" w:color="auto" w:fill="FFFFFF" w:themeFill="background1"/>
      </w:tcPr>
    </w:tblStylePr>
    <w:tblStylePr w:type="firstCol">
      <w:tblPr/>
      <w:tcPr>
        <w:tcBorders>
          <w:right w:val="single" w:sz="4" w:space="0" w:color="5B6771" w:themeColor="accent3"/>
        </w:tcBorders>
        <w:shd w:val="clear" w:color="auto" w:fill="FFFFFF" w:themeFill="background1"/>
      </w:tcPr>
    </w:tblStylePr>
    <w:tblStylePr w:type="lastCol">
      <w:tblPr/>
      <w:tcPr>
        <w:tcBorders>
          <w:top w:val="nil"/>
          <w:left w:val="nil"/>
          <w:bottom w:val="single" w:sz="4" w:space="0" w:color="5B6771" w:themeColor="accent3"/>
          <w:right w:val="nil"/>
          <w:insideH w:val="nil"/>
          <w:insideV w:val="nil"/>
          <w:tl2br w:val="nil"/>
          <w:tr2bl w:val="nil"/>
        </w:tcBorders>
        <w:shd w:val="clear" w:color="auto" w:fill="FFFFFF" w:themeFill="background1"/>
      </w:tcPr>
    </w:tblStylePr>
    <w:tblStylePr w:type="neCell">
      <w:pPr>
        <w:jc w:val="left"/>
      </w:pPr>
      <w:tblPr/>
      <w:tcPr>
        <w:tcBorders>
          <w:right w:val="single" w:sz="4" w:space="0" w:color="FFFFFF" w:themeColor="background1"/>
        </w:tcBorders>
        <w:shd w:val="clear" w:color="auto" w:fill="046B5C" w:themeFill="text2"/>
      </w:tcPr>
    </w:tblStylePr>
  </w:style>
  <w:style w:type="paragraph" w:customStyle="1" w:styleId="TableTextDecimalWide">
    <w:name w:val="Table Text Decimal Wide"/>
    <w:basedOn w:val="TableTextDecimal"/>
    <w:qFormat/>
    <w:rsid w:val="00570E30"/>
    <w:pPr>
      <w:tabs>
        <w:tab w:val="clear" w:pos="576"/>
        <w:tab w:val="decimal" w:pos="864"/>
      </w:tabs>
    </w:pPr>
  </w:style>
  <w:style w:type="paragraph" w:customStyle="1" w:styleId="TableTextDecimalNarrow">
    <w:name w:val="Table Text Decimal Narrow"/>
    <w:basedOn w:val="TableTextDecimalWide"/>
    <w:qFormat/>
    <w:rsid w:val="00570E30"/>
    <w:pPr>
      <w:tabs>
        <w:tab w:val="clear" w:pos="864"/>
        <w:tab w:val="decimal" w:pos="360"/>
      </w:tabs>
    </w:pPr>
  </w:style>
  <w:style w:type="paragraph" w:styleId="ListBullet4">
    <w:name w:val="List Bullet 4"/>
    <w:basedOn w:val="Normal"/>
    <w:qFormat/>
    <w:rsid w:val="00570E30"/>
    <w:pPr>
      <w:numPr>
        <w:numId w:val="28"/>
      </w:numPr>
      <w:contextualSpacing/>
    </w:pPr>
  </w:style>
  <w:style w:type="paragraph" w:customStyle="1" w:styleId="TitleRule">
    <w:name w:val="Title Rule"/>
    <w:basedOn w:val="Normal"/>
    <w:qFormat/>
    <w:rsid w:val="00570E30"/>
    <w:pPr>
      <w:keepNext/>
      <w:spacing w:before="240" w:after="80"/>
    </w:pPr>
  </w:style>
  <w:style w:type="paragraph" w:styleId="ListBullet5">
    <w:name w:val="List Bullet 5"/>
    <w:basedOn w:val="Normal"/>
    <w:qFormat/>
    <w:rsid w:val="00570E30"/>
    <w:pPr>
      <w:numPr>
        <w:numId w:val="29"/>
      </w:numPr>
      <w:contextualSpacing/>
    </w:pPr>
  </w:style>
  <w:style w:type="paragraph" w:styleId="ListNumber5">
    <w:name w:val="List Number 5"/>
    <w:basedOn w:val="Normal"/>
    <w:qFormat/>
    <w:rsid w:val="00570E30"/>
    <w:pPr>
      <w:numPr>
        <w:numId w:val="33"/>
      </w:numPr>
      <w:spacing w:after="80"/>
    </w:pPr>
  </w:style>
  <w:style w:type="paragraph" w:customStyle="1" w:styleId="Sidebar">
    <w:name w:val="Sidebar"/>
    <w:basedOn w:val="Normal"/>
    <w:qFormat/>
    <w:rsid w:val="00570E30"/>
    <w:pPr>
      <w:tabs>
        <w:tab w:val="right" w:pos="4680"/>
      </w:tabs>
      <w:spacing w:after="60" w:line="260" w:lineRule="atLeast"/>
    </w:pPr>
    <w:rPr>
      <w:rFonts w:asciiTheme="majorHAnsi" w:hAnsiTheme="majorHAnsi"/>
      <w:color w:val="444D54" w:themeColor="accent3" w:themeShade="BF"/>
      <w:sz w:val="18"/>
    </w:rPr>
  </w:style>
  <w:style w:type="paragraph" w:customStyle="1" w:styleId="SidebarListBullet">
    <w:name w:val="Sidebar List Bullet"/>
    <w:basedOn w:val="Sidebar"/>
    <w:qFormat/>
    <w:rsid w:val="00570E30"/>
    <w:pPr>
      <w:numPr>
        <w:numId w:val="46"/>
      </w:numPr>
    </w:pPr>
  </w:style>
  <w:style w:type="paragraph" w:customStyle="1" w:styleId="SidebarListNumber">
    <w:name w:val="Sidebar List Number"/>
    <w:basedOn w:val="Sidebar"/>
    <w:qFormat/>
    <w:rsid w:val="00570E30"/>
    <w:pPr>
      <w:numPr>
        <w:numId w:val="42"/>
      </w:numPr>
      <w:tabs>
        <w:tab w:val="clear" w:pos="576"/>
        <w:tab w:val="num" w:pos="288"/>
      </w:tabs>
      <w:adjustRightInd w:val="0"/>
      <w:ind w:left="288"/>
    </w:pPr>
  </w:style>
  <w:style w:type="paragraph" w:customStyle="1" w:styleId="TableListBullet2">
    <w:name w:val="Table List Bullet 2"/>
    <w:basedOn w:val="TableListBullet"/>
    <w:qFormat/>
    <w:rsid w:val="00570E30"/>
    <w:pPr>
      <w:numPr>
        <w:numId w:val="43"/>
      </w:numPr>
    </w:pPr>
  </w:style>
  <w:style w:type="paragraph" w:customStyle="1" w:styleId="TableListNumber2">
    <w:name w:val="Table List Number 2"/>
    <w:basedOn w:val="TableListNumber"/>
    <w:qFormat/>
    <w:rsid w:val="00570E30"/>
    <w:pPr>
      <w:numPr>
        <w:numId w:val="44"/>
      </w:numPr>
    </w:pPr>
  </w:style>
  <w:style w:type="paragraph" w:styleId="ListContinue3">
    <w:name w:val="List Continue 3"/>
    <w:basedOn w:val="Normal"/>
    <w:qFormat/>
    <w:rsid w:val="00570E30"/>
    <w:pPr>
      <w:spacing w:after="80"/>
      <w:ind w:left="540"/>
    </w:pPr>
  </w:style>
  <w:style w:type="paragraph" w:styleId="List5">
    <w:name w:val="List 5"/>
    <w:basedOn w:val="Normal"/>
    <w:qFormat/>
    <w:rsid w:val="00570E30"/>
    <w:pPr>
      <w:numPr>
        <w:ilvl w:val="4"/>
        <w:numId w:val="25"/>
      </w:numPr>
      <w:contextualSpacing/>
    </w:pPr>
  </w:style>
  <w:style w:type="character" w:customStyle="1" w:styleId="H1Char">
    <w:name w:val="H1 Char"/>
    <w:basedOn w:val="DefaultParagraphFont"/>
    <w:link w:val="H1"/>
    <w:rsid w:val="00570E30"/>
    <w:rPr>
      <w:rFonts w:ascii="Arial Narrow" w:eastAsiaTheme="majorEastAsia" w:hAnsi="Arial Narrow" w:cstheme="majorBidi"/>
      <w:b/>
      <w:color w:val="000000" w:themeColor="text1"/>
      <w:sz w:val="36"/>
      <w:szCs w:val="32"/>
    </w:rPr>
  </w:style>
  <w:style w:type="paragraph" w:customStyle="1" w:styleId="ListHead">
    <w:name w:val="List Head"/>
    <w:basedOn w:val="Paragraph"/>
    <w:qFormat/>
    <w:rsid w:val="00570E30"/>
    <w:pPr>
      <w:spacing w:before="240" w:after="0"/>
    </w:pPr>
    <w:rPr>
      <w:b/>
    </w:rPr>
  </w:style>
  <w:style w:type="character" w:customStyle="1" w:styleId="Bold">
    <w:name w:val="Bold"/>
    <w:basedOn w:val="DefaultParagraphFont"/>
    <w:qFormat/>
    <w:rsid w:val="00570E30"/>
    <w:rPr>
      <w:b/>
    </w:rPr>
  </w:style>
  <w:style w:type="character" w:customStyle="1" w:styleId="Italic">
    <w:name w:val="Italic"/>
    <w:basedOn w:val="DefaultParagraphFont"/>
    <w:qFormat/>
    <w:rsid w:val="00570E30"/>
    <w:rPr>
      <w:i/>
    </w:rPr>
  </w:style>
  <w:style w:type="paragraph" w:customStyle="1" w:styleId="mathematicaorg">
    <w:name w:val="mathematica.org"/>
    <w:link w:val="mathematicaorgChar"/>
    <w:qFormat/>
    <w:rsid w:val="00570E30"/>
    <w:pPr>
      <w:jc w:val="right"/>
    </w:pPr>
    <w:rPr>
      <w:rFonts w:asciiTheme="majorHAnsi" w:hAnsiTheme="majorHAnsi"/>
      <w:noProof/>
      <w:spacing w:val="-2"/>
      <w:sz w:val="18"/>
      <w:szCs w:val="19"/>
    </w:rPr>
  </w:style>
  <w:style w:type="table" w:customStyle="1" w:styleId="CoverTable">
    <w:name w:val="Cover Table"/>
    <w:basedOn w:val="TableNormal"/>
    <w:rsid w:val="00570E30"/>
    <w:rPr>
      <w:rFonts w:asciiTheme="minorHAnsi" w:eastAsiaTheme="minorEastAsia" w:hAnsiTheme="minorHAnsi" w:cstheme="minorBidi"/>
      <w:sz w:val="22"/>
      <w:szCs w:val="24"/>
    </w:rPr>
    <w:tblPr/>
    <w:tcPr>
      <w:noWrap/>
      <w:tcMar>
        <w:left w:w="0" w:type="dxa"/>
        <w:right w:w="0" w:type="dxa"/>
      </w:tcMar>
    </w:tcPr>
  </w:style>
  <w:style w:type="paragraph" w:customStyle="1" w:styleId="CoverRFP">
    <w:name w:val="Cover RFP"/>
    <w:basedOn w:val="CoverDate"/>
    <w:qFormat/>
    <w:rsid w:val="00570E30"/>
    <w:pPr>
      <w:spacing w:before="3000" w:line="252" w:lineRule="auto"/>
    </w:pPr>
    <w:rPr>
      <w:rFonts w:eastAsia="Times New Roman" w:cs="Times New Roman"/>
      <w:bCs w:val="0"/>
      <w:spacing w:val="2"/>
      <w:szCs w:val="20"/>
    </w:rPr>
  </w:style>
  <w:style w:type="numbering" w:customStyle="1" w:styleId="Feature2">
    <w:name w:val="Feature 2"/>
    <w:semiHidden/>
    <w:rsid w:val="00570E30"/>
    <w:pPr>
      <w:numPr>
        <w:numId w:val="19"/>
      </w:numPr>
    </w:pPr>
  </w:style>
  <w:style w:type="paragraph" w:customStyle="1" w:styleId="Covertextborder">
    <w:name w:val="Cover text border"/>
    <w:qFormat/>
    <w:rsid w:val="00570E30"/>
    <w:pPr>
      <w:pBdr>
        <w:bottom w:val="single" w:sz="36" w:space="1" w:color="F1B51C" w:themeColor="accent4"/>
      </w:pBdr>
      <w:spacing w:before="120" w:after="240"/>
      <w:ind w:right="6480"/>
    </w:pPr>
    <w:rPr>
      <w:rFonts w:ascii="Arial" w:eastAsiaTheme="minorHAnsi" w:hAnsi="Arial" w:cs="Arial"/>
      <w:color w:val="0B2949" w:themeColor="accent1"/>
      <w:spacing w:val="2"/>
      <w:sz w:val="8"/>
      <w:szCs w:val="4"/>
    </w:rPr>
  </w:style>
  <w:style w:type="paragraph" w:customStyle="1" w:styleId="CoverRFPNumber">
    <w:name w:val="Cover RFP Number"/>
    <w:qFormat/>
    <w:rsid w:val="00570E30"/>
    <w:pPr>
      <w:widowControl w:val="0"/>
      <w:spacing w:before="1600" w:line="252" w:lineRule="auto"/>
    </w:pPr>
    <w:rPr>
      <w:rFonts w:ascii="Arial" w:eastAsiaTheme="minorHAnsi" w:hAnsi="Arial" w:cs="Arial"/>
      <w:b/>
      <w:color w:val="0B2949" w:themeColor="accent1"/>
      <w:spacing w:val="2"/>
      <w:sz w:val="24"/>
      <w:szCs w:val="24"/>
    </w:rPr>
  </w:style>
  <w:style w:type="paragraph" w:customStyle="1" w:styleId="CoverProposalVolume">
    <w:name w:val="Cover Proposal Volume"/>
    <w:qFormat/>
    <w:rsid w:val="00570E30"/>
    <w:pPr>
      <w:spacing w:line="252" w:lineRule="auto"/>
    </w:pPr>
    <w:rPr>
      <w:rFonts w:ascii="Arial" w:eastAsiaTheme="minorHAnsi" w:hAnsi="Arial" w:cs="Arial"/>
      <w:b/>
      <w:color w:val="0B2949" w:themeColor="accent1"/>
      <w:spacing w:val="2"/>
      <w:sz w:val="24"/>
      <w:szCs w:val="24"/>
    </w:rPr>
  </w:style>
  <w:style w:type="character" w:customStyle="1" w:styleId="Subscript">
    <w:name w:val="Subscript"/>
    <w:basedOn w:val="DefaultParagraphFont"/>
    <w:qFormat/>
    <w:rsid w:val="00570E30"/>
    <w:rPr>
      <w:vertAlign w:val="subscript"/>
    </w:rPr>
  </w:style>
  <w:style w:type="paragraph" w:styleId="Salutation">
    <w:name w:val="Salutation"/>
    <w:basedOn w:val="Normal"/>
    <w:next w:val="Paragraph"/>
    <w:link w:val="SalutationChar"/>
    <w:qFormat/>
    <w:rsid w:val="00570E30"/>
    <w:pPr>
      <w:tabs>
        <w:tab w:val="left" w:pos="1440"/>
      </w:tabs>
      <w:spacing w:line="245" w:lineRule="auto"/>
      <w:ind w:left="1440" w:hanging="1440"/>
    </w:pPr>
  </w:style>
  <w:style w:type="character" w:customStyle="1" w:styleId="SalutationChar">
    <w:name w:val="Salutation Char"/>
    <w:basedOn w:val="DefaultParagraphFont"/>
    <w:link w:val="Salutation"/>
    <w:semiHidden/>
    <w:rsid w:val="00570E30"/>
    <w:rPr>
      <w:rFonts w:asciiTheme="minorHAnsi" w:eastAsiaTheme="minorHAnsi" w:hAnsiTheme="minorHAnsi" w:cstheme="minorBidi"/>
      <w:szCs w:val="22"/>
    </w:rPr>
  </w:style>
  <w:style w:type="numbering" w:styleId="111111">
    <w:name w:val="Outline List 2"/>
    <w:basedOn w:val="NoList"/>
    <w:semiHidden/>
    <w:unhideWhenUsed/>
    <w:rsid w:val="00570E30"/>
    <w:pPr>
      <w:numPr>
        <w:numId w:val="20"/>
      </w:numPr>
    </w:pPr>
  </w:style>
  <w:style w:type="character" w:customStyle="1" w:styleId="Superscript">
    <w:name w:val="Superscript"/>
    <w:basedOn w:val="DefaultParagraphFont"/>
    <w:qFormat/>
    <w:rsid w:val="00570E30"/>
    <w:rPr>
      <w:vertAlign w:val="superscript"/>
    </w:rPr>
  </w:style>
  <w:style w:type="character" w:customStyle="1" w:styleId="Underline">
    <w:name w:val="Underline"/>
    <w:basedOn w:val="DefaultParagraphFont"/>
    <w:qFormat/>
    <w:rsid w:val="00570E30"/>
    <w:rPr>
      <w:u w:val="single"/>
    </w:rPr>
  </w:style>
  <w:style w:type="numbering" w:styleId="1ai">
    <w:name w:val="Outline List 1"/>
    <w:basedOn w:val="NoList"/>
    <w:semiHidden/>
    <w:unhideWhenUsed/>
    <w:rsid w:val="00570E30"/>
    <w:pPr>
      <w:numPr>
        <w:numId w:val="21"/>
      </w:numPr>
    </w:pPr>
  </w:style>
  <w:style w:type="numbering" w:styleId="ArticleSection">
    <w:name w:val="Outline List 3"/>
    <w:basedOn w:val="NoList"/>
    <w:semiHidden/>
    <w:unhideWhenUsed/>
    <w:rsid w:val="00570E30"/>
    <w:pPr>
      <w:numPr>
        <w:numId w:val="22"/>
      </w:numPr>
    </w:pPr>
  </w:style>
  <w:style w:type="table" w:styleId="ColorfulGrid">
    <w:name w:val="Colorful Grid"/>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B4D3F3" w:themeFill="accent1" w:themeFillTint="33"/>
    </w:tcPr>
    <w:tblStylePr w:type="firstRow">
      <w:rPr>
        <w:b/>
        <w:bCs/>
      </w:rPr>
      <w:tblPr/>
      <w:tcPr>
        <w:shd w:val="clear" w:color="auto" w:fill="6AA7E8" w:themeFill="accent1" w:themeFillTint="66"/>
      </w:tcPr>
    </w:tblStylePr>
    <w:tblStylePr w:type="lastRow">
      <w:rPr>
        <w:b/>
        <w:bCs/>
        <w:color w:val="000000" w:themeColor="text1"/>
      </w:rPr>
      <w:tblPr/>
      <w:tcPr>
        <w:shd w:val="clear" w:color="auto" w:fill="6AA7E8" w:themeFill="accent1" w:themeFillTint="66"/>
      </w:tcPr>
    </w:tblStylePr>
    <w:tblStylePr w:type="firstCol">
      <w:rPr>
        <w:color w:val="FFFFFF" w:themeColor="background1"/>
      </w:rPr>
      <w:tblPr/>
      <w:tcPr>
        <w:shd w:val="clear" w:color="auto" w:fill="081E36" w:themeFill="accent1" w:themeFillShade="BF"/>
      </w:tcPr>
    </w:tblStylePr>
    <w:tblStylePr w:type="lastCol">
      <w:rPr>
        <w:color w:val="FFFFFF" w:themeColor="background1"/>
      </w:rPr>
      <w:tblPr/>
      <w:tcPr>
        <w:shd w:val="clear" w:color="auto" w:fill="081E36" w:themeFill="accent1" w:themeFillShade="BF"/>
      </w:tcPr>
    </w:tblStylePr>
    <w:tblStylePr w:type="band1Vert">
      <w:tblPr/>
      <w:tcPr>
        <w:shd w:val="clear" w:color="auto" w:fill="4692E3" w:themeFill="accent1" w:themeFillTint="7F"/>
      </w:tcPr>
    </w:tblStylePr>
    <w:tblStylePr w:type="band1Horz">
      <w:tblPr/>
      <w:tcPr>
        <w:shd w:val="clear" w:color="auto" w:fill="4692E3" w:themeFill="accent1" w:themeFillTint="7F"/>
      </w:tcPr>
    </w:tblStylePr>
  </w:style>
  <w:style w:type="table" w:styleId="ColorfulGrid-Accent2">
    <w:name w:val="Colorful Grid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F6D3D2" w:themeFill="accent2" w:themeFillTint="33"/>
    </w:tcPr>
    <w:tblStylePr w:type="firstRow">
      <w:rPr>
        <w:b/>
        <w:bCs/>
      </w:rPr>
      <w:tblPr/>
      <w:tcPr>
        <w:shd w:val="clear" w:color="auto" w:fill="EEA7A6" w:themeFill="accent2" w:themeFillTint="66"/>
      </w:tcPr>
    </w:tblStylePr>
    <w:tblStylePr w:type="lastRow">
      <w:rPr>
        <w:b/>
        <w:bCs/>
        <w:color w:val="000000" w:themeColor="text1"/>
      </w:rPr>
      <w:tblPr/>
      <w:tcPr>
        <w:shd w:val="clear" w:color="auto" w:fill="EEA7A6" w:themeFill="accent2" w:themeFillTint="66"/>
      </w:tcPr>
    </w:tblStylePr>
    <w:tblStylePr w:type="firstCol">
      <w:rPr>
        <w:color w:val="FFFFFF" w:themeColor="background1"/>
      </w:rPr>
      <w:tblPr/>
      <w:tcPr>
        <w:shd w:val="clear" w:color="auto" w:fill="9B201D" w:themeFill="accent2" w:themeFillShade="BF"/>
      </w:tcPr>
    </w:tblStylePr>
    <w:tblStylePr w:type="lastCol">
      <w:rPr>
        <w:color w:val="FFFFFF" w:themeColor="background1"/>
      </w:rPr>
      <w:tblPr/>
      <w:tcPr>
        <w:shd w:val="clear" w:color="auto" w:fill="9B201D" w:themeFill="accent2" w:themeFillShade="BF"/>
      </w:tcPr>
    </w:tblStylePr>
    <w:tblStylePr w:type="band1Vert">
      <w:tblPr/>
      <w:tcPr>
        <w:shd w:val="clear" w:color="auto" w:fill="EA9290" w:themeFill="accent2" w:themeFillTint="7F"/>
      </w:tcPr>
    </w:tblStylePr>
    <w:tblStylePr w:type="band1Horz">
      <w:tblPr/>
      <w:tcPr>
        <w:shd w:val="clear" w:color="auto" w:fill="EA9290" w:themeFill="accent2" w:themeFillTint="7F"/>
      </w:tcPr>
    </w:tblStylePr>
  </w:style>
  <w:style w:type="table" w:styleId="ColorfulGrid-Accent3">
    <w:name w:val="Colorful Grid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DDE0E3" w:themeFill="accent3" w:themeFillTint="33"/>
    </w:tcPr>
    <w:tblStylePr w:type="firstRow">
      <w:rPr>
        <w:b/>
        <w:bCs/>
      </w:rPr>
      <w:tblPr/>
      <w:tcPr>
        <w:shd w:val="clear" w:color="auto" w:fill="BBC2C8" w:themeFill="accent3" w:themeFillTint="66"/>
      </w:tcPr>
    </w:tblStylePr>
    <w:tblStylePr w:type="lastRow">
      <w:rPr>
        <w:b/>
        <w:bCs/>
        <w:color w:val="000000" w:themeColor="text1"/>
      </w:rPr>
      <w:tblPr/>
      <w:tcPr>
        <w:shd w:val="clear" w:color="auto" w:fill="BBC2C8" w:themeFill="accent3" w:themeFillTint="66"/>
      </w:tcPr>
    </w:tblStylePr>
    <w:tblStylePr w:type="firstCol">
      <w:rPr>
        <w:color w:val="FFFFFF" w:themeColor="background1"/>
      </w:rPr>
      <w:tblPr/>
      <w:tcPr>
        <w:shd w:val="clear" w:color="auto" w:fill="444D54" w:themeFill="accent3" w:themeFillShade="BF"/>
      </w:tcPr>
    </w:tblStylePr>
    <w:tblStylePr w:type="lastCol">
      <w:rPr>
        <w:color w:val="FFFFFF" w:themeColor="background1"/>
      </w:rPr>
      <w:tblPr/>
      <w:tcPr>
        <w:shd w:val="clear" w:color="auto" w:fill="444D54" w:themeFill="accent3" w:themeFillShade="BF"/>
      </w:tcPr>
    </w:tblStylePr>
    <w:tblStylePr w:type="band1Vert">
      <w:tblPr/>
      <w:tcPr>
        <w:shd w:val="clear" w:color="auto" w:fill="AAB3BB" w:themeFill="accent3" w:themeFillTint="7F"/>
      </w:tcPr>
    </w:tblStylePr>
    <w:tblStylePr w:type="band1Horz">
      <w:tblPr/>
      <w:tcPr>
        <w:shd w:val="clear" w:color="auto" w:fill="AAB3BB" w:themeFill="accent3" w:themeFillTint="7F"/>
      </w:tcPr>
    </w:tblStylePr>
  </w:style>
  <w:style w:type="table" w:styleId="ColorfulGrid-Accent4">
    <w:name w:val="Colorful Grid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FCF0D1" w:themeFill="accent4" w:themeFillTint="33"/>
    </w:tcPr>
    <w:tblStylePr w:type="firstRow">
      <w:rPr>
        <w:b/>
        <w:bCs/>
      </w:rPr>
      <w:tblPr/>
      <w:tcPr>
        <w:shd w:val="clear" w:color="auto" w:fill="F9E1A3" w:themeFill="accent4" w:themeFillTint="66"/>
      </w:tcPr>
    </w:tblStylePr>
    <w:tblStylePr w:type="lastRow">
      <w:rPr>
        <w:b/>
        <w:bCs/>
        <w:color w:val="000000" w:themeColor="text1"/>
      </w:rPr>
      <w:tblPr/>
      <w:tcPr>
        <w:shd w:val="clear" w:color="auto" w:fill="F9E1A3" w:themeFill="accent4" w:themeFillTint="66"/>
      </w:tcPr>
    </w:tblStylePr>
    <w:tblStylePr w:type="firstCol">
      <w:rPr>
        <w:color w:val="FFFFFF" w:themeColor="background1"/>
      </w:rPr>
      <w:tblPr/>
      <w:tcPr>
        <w:shd w:val="clear" w:color="auto" w:fill="BD8B0B" w:themeFill="accent4" w:themeFillShade="BF"/>
      </w:tcPr>
    </w:tblStylePr>
    <w:tblStylePr w:type="lastCol">
      <w:rPr>
        <w:color w:val="FFFFFF" w:themeColor="background1"/>
      </w:rPr>
      <w:tblPr/>
      <w:tcPr>
        <w:shd w:val="clear" w:color="auto" w:fill="BD8B0B" w:themeFill="accent4" w:themeFillShade="BF"/>
      </w:tcPr>
    </w:tblStylePr>
    <w:tblStylePr w:type="band1Vert">
      <w:tblPr/>
      <w:tcPr>
        <w:shd w:val="clear" w:color="auto" w:fill="F8DA8D" w:themeFill="accent4" w:themeFillTint="7F"/>
      </w:tcPr>
    </w:tblStylePr>
    <w:tblStylePr w:type="band1Horz">
      <w:tblPr/>
      <w:tcPr>
        <w:shd w:val="clear" w:color="auto" w:fill="F8DA8D" w:themeFill="accent4" w:themeFillTint="7F"/>
      </w:tcPr>
    </w:tblStylePr>
  </w:style>
  <w:style w:type="table" w:styleId="ColorfulGrid-Accent5">
    <w:name w:val="Colorful Grid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C4F5F5" w:themeFill="accent5" w:themeFillTint="33"/>
    </w:tcPr>
    <w:tblStylePr w:type="firstRow">
      <w:rPr>
        <w:b/>
        <w:bCs/>
      </w:rPr>
      <w:tblPr/>
      <w:tcPr>
        <w:shd w:val="clear" w:color="auto" w:fill="8AEBEC" w:themeFill="accent5" w:themeFillTint="66"/>
      </w:tcPr>
    </w:tblStylePr>
    <w:tblStylePr w:type="lastRow">
      <w:rPr>
        <w:b/>
        <w:bCs/>
        <w:color w:val="000000" w:themeColor="text1"/>
      </w:rPr>
      <w:tblPr/>
      <w:tcPr>
        <w:shd w:val="clear" w:color="auto" w:fill="8AEBEC" w:themeFill="accent5" w:themeFillTint="66"/>
      </w:tcPr>
    </w:tblStylePr>
    <w:tblStylePr w:type="firstCol">
      <w:rPr>
        <w:color w:val="FFFFFF" w:themeColor="background1"/>
      </w:rPr>
      <w:tblPr/>
      <w:tcPr>
        <w:shd w:val="clear" w:color="auto" w:fill="126D6E" w:themeFill="accent5" w:themeFillShade="BF"/>
      </w:tcPr>
    </w:tblStylePr>
    <w:tblStylePr w:type="lastCol">
      <w:rPr>
        <w:color w:val="FFFFFF" w:themeColor="background1"/>
      </w:rPr>
      <w:tblPr/>
      <w:tcPr>
        <w:shd w:val="clear" w:color="auto" w:fill="126D6E" w:themeFill="accent5" w:themeFillShade="BF"/>
      </w:tcPr>
    </w:tblStylePr>
    <w:tblStylePr w:type="band1Vert">
      <w:tblPr/>
      <w:tcPr>
        <w:shd w:val="clear" w:color="auto" w:fill="6DE6E7" w:themeFill="accent5" w:themeFillTint="7F"/>
      </w:tcPr>
    </w:tblStylePr>
    <w:tblStylePr w:type="band1Horz">
      <w:tblPr/>
      <w:tcPr>
        <w:shd w:val="clear" w:color="auto" w:fill="6DE6E7" w:themeFill="accent5" w:themeFillTint="7F"/>
      </w:tcPr>
    </w:tblStylePr>
  </w:style>
  <w:style w:type="table" w:styleId="ColorfulGrid-Accent6">
    <w:name w:val="Colorful Grid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insideH w:val="single" w:sz="4" w:space="0" w:color="FFFFFF" w:themeColor="background1"/>
      </w:tblBorders>
    </w:tblPr>
    <w:tcPr>
      <w:shd w:val="clear" w:color="auto" w:fill="C6F7E5" w:themeFill="accent6" w:themeFillTint="33"/>
    </w:tcPr>
    <w:tblStylePr w:type="firstRow">
      <w:rPr>
        <w:b/>
        <w:bCs/>
      </w:rPr>
      <w:tblPr/>
      <w:tcPr>
        <w:shd w:val="clear" w:color="auto" w:fill="8EEFCC" w:themeFill="accent6" w:themeFillTint="66"/>
      </w:tcPr>
    </w:tblStylePr>
    <w:tblStylePr w:type="lastRow">
      <w:rPr>
        <w:b/>
        <w:bCs/>
        <w:color w:val="000000" w:themeColor="text1"/>
      </w:rPr>
      <w:tblPr/>
      <w:tcPr>
        <w:shd w:val="clear" w:color="auto" w:fill="8EEFCC" w:themeFill="accent6" w:themeFillTint="66"/>
      </w:tcPr>
    </w:tblStylePr>
    <w:tblStylePr w:type="firstCol">
      <w:rPr>
        <w:color w:val="FFFFFF" w:themeColor="background1"/>
      </w:rPr>
      <w:tblPr/>
      <w:tcPr>
        <w:shd w:val="clear" w:color="auto" w:fill="117C55" w:themeFill="accent6" w:themeFillShade="BF"/>
      </w:tcPr>
    </w:tblStylePr>
    <w:tblStylePr w:type="lastCol">
      <w:rPr>
        <w:color w:val="FFFFFF" w:themeColor="background1"/>
      </w:rPr>
      <w:tblPr/>
      <w:tcPr>
        <w:shd w:val="clear" w:color="auto" w:fill="117C55" w:themeFill="accent6" w:themeFillShade="BF"/>
      </w:tcPr>
    </w:tblStylePr>
    <w:tblStylePr w:type="band1Vert">
      <w:tblPr/>
      <w:tcPr>
        <w:shd w:val="clear" w:color="auto" w:fill="72EBC0" w:themeFill="accent6" w:themeFillTint="7F"/>
      </w:tcPr>
    </w:tblStylePr>
    <w:tblStylePr w:type="band1Horz">
      <w:tblPr/>
      <w:tcPr>
        <w:shd w:val="clear" w:color="auto" w:fill="72EBC0" w:themeFill="accent6" w:themeFillTint="7F"/>
      </w:tcPr>
    </w:tblStylePr>
  </w:style>
  <w:style w:type="table" w:styleId="ColorfulList">
    <w:name w:val="Colorful List"/>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A6221F" w:themeFill="accent2" w:themeFillShade="CC"/>
      </w:tcPr>
    </w:tblStylePr>
    <w:tblStylePr w:type="lastRow">
      <w:rPr>
        <w:b/>
        <w:bCs/>
        <w:color w:val="A6221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DAE9F9" w:themeFill="accent1" w:themeFillTint="19"/>
    </w:tcPr>
    <w:tblStylePr w:type="firstRow">
      <w:rPr>
        <w:b/>
        <w:bCs/>
        <w:color w:val="FFFFFF" w:themeColor="background1"/>
      </w:rPr>
      <w:tblPr/>
      <w:tcPr>
        <w:tcBorders>
          <w:bottom w:val="single" w:sz="12" w:space="0" w:color="FFFFFF" w:themeColor="background1"/>
        </w:tcBorders>
        <w:shd w:val="clear" w:color="auto" w:fill="A6221F" w:themeFill="accent2" w:themeFillShade="CC"/>
      </w:tcPr>
    </w:tblStylePr>
    <w:tblStylePr w:type="lastRow">
      <w:rPr>
        <w:b/>
        <w:bCs/>
        <w:color w:val="A6221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A3C8F1" w:themeFill="accent1" w:themeFillTint="3F"/>
      </w:tcPr>
    </w:tblStylePr>
    <w:tblStylePr w:type="band1Horz">
      <w:tblPr/>
      <w:tcPr>
        <w:shd w:val="clear" w:color="auto" w:fill="B4D3F3" w:themeFill="accent1" w:themeFillTint="33"/>
      </w:tcPr>
    </w:tblStylePr>
  </w:style>
  <w:style w:type="table" w:styleId="ColorfulList-Accent2">
    <w:name w:val="Colorful List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FBE9E9" w:themeFill="accent2" w:themeFillTint="19"/>
    </w:tcPr>
    <w:tblStylePr w:type="firstRow">
      <w:rPr>
        <w:b/>
        <w:bCs/>
        <w:color w:val="FFFFFF" w:themeColor="background1"/>
      </w:rPr>
      <w:tblPr/>
      <w:tcPr>
        <w:tcBorders>
          <w:bottom w:val="single" w:sz="12" w:space="0" w:color="FFFFFF" w:themeColor="background1"/>
        </w:tcBorders>
        <w:shd w:val="clear" w:color="auto" w:fill="A6221F" w:themeFill="accent2" w:themeFillShade="CC"/>
      </w:tcPr>
    </w:tblStylePr>
    <w:tblStylePr w:type="lastRow">
      <w:rPr>
        <w:b/>
        <w:bCs/>
        <w:color w:val="A6221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4C9C8" w:themeFill="accent2" w:themeFillTint="3F"/>
      </w:tcPr>
    </w:tblStylePr>
    <w:tblStylePr w:type="band1Horz">
      <w:tblPr/>
      <w:tcPr>
        <w:shd w:val="clear" w:color="auto" w:fill="F6D3D2" w:themeFill="accent2" w:themeFillTint="33"/>
      </w:tcPr>
    </w:tblStylePr>
  </w:style>
  <w:style w:type="table" w:styleId="ColorfulList-Accent3">
    <w:name w:val="Colorful List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EF0F1" w:themeFill="accent3" w:themeFillTint="19"/>
    </w:tcPr>
    <w:tblStylePr w:type="firstRow">
      <w:rPr>
        <w:b/>
        <w:bCs/>
        <w:color w:val="FFFFFF" w:themeColor="background1"/>
      </w:rPr>
      <w:tblPr/>
      <w:tcPr>
        <w:tcBorders>
          <w:bottom w:val="single" w:sz="12" w:space="0" w:color="FFFFFF" w:themeColor="background1"/>
        </w:tcBorders>
        <w:shd w:val="clear" w:color="auto" w:fill="CA940C" w:themeFill="accent4" w:themeFillShade="CC"/>
      </w:tcPr>
    </w:tblStylePr>
    <w:tblStylePr w:type="lastRow">
      <w:rPr>
        <w:b/>
        <w:bCs/>
        <w:color w:val="CA940C"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5D9DD" w:themeFill="accent3" w:themeFillTint="3F"/>
      </w:tcPr>
    </w:tblStylePr>
    <w:tblStylePr w:type="band1Horz">
      <w:tblPr/>
      <w:tcPr>
        <w:shd w:val="clear" w:color="auto" w:fill="DDE0E3" w:themeFill="accent3" w:themeFillTint="33"/>
      </w:tcPr>
    </w:tblStylePr>
  </w:style>
  <w:style w:type="table" w:styleId="ColorfulList-Accent4">
    <w:name w:val="Colorful List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FDF7E8" w:themeFill="accent4" w:themeFillTint="19"/>
    </w:tcPr>
    <w:tblStylePr w:type="firstRow">
      <w:rPr>
        <w:b/>
        <w:bCs/>
        <w:color w:val="FFFFFF" w:themeColor="background1"/>
      </w:rPr>
      <w:tblPr/>
      <w:tcPr>
        <w:tcBorders>
          <w:bottom w:val="single" w:sz="12" w:space="0" w:color="FFFFFF" w:themeColor="background1"/>
        </w:tcBorders>
        <w:shd w:val="clear" w:color="auto" w:fill="48525A" w:themeFill="accent3" w:themeFillShade="CC"/>
      </w:tcPr>
    </w:tblStylePr>
    <w:tblStylePr w:type="lastRow">
      <w:rPr>
        <w:b/>
        <w:bCs/>
        <w:color w:val="48525A"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BECC6" w:themeFill="accent4" w:themeFillTint="3F"/>
      </w:tcPr>
    </w:tblStylePr>
    <w:tblStylePr w:type="band1Horz">
      <w:tblPr/>
      <w:tcPr>
        <w:shd w:val="clear" w:color="auto" w:fill="FCF0D1" w:themeFill="accent4" w:themeFillTint="33"/>
      </w:tcPr>
    </w:tblStylePr>
  </w:style>
  <w:style w:type="table" w:styleId="ColorfulList-Accent5">
    <w:name w:val="Colorful List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2FAFA" w:themeFill="accent5" w:themeFillTint="19"/>
    </w:tcPr>
    <w:tblStylePr w:type="firstRow">
      <w:rPr>
        <w:b/>
        <w:bCs/>
        <w:color w:val="FFFFFF" w:themeColor="background1"/>
      </w:rPr>
      <w:tblPr/>
      <w:tcPr>
        <w:tcBorders>
          <w:bottom w:val="single" w:sz="12" w:space="0" w:color="FFFFFF" w:themeColor="background1"/>
        </w:tcBorders>
        <w:shd w:val="clear" w:color="auto" w:fill="12845B" w:themeFill="accent6" w:themeFillShade="CC"/>
      </w:tcPr>
    </w:tblStylePr>
    <w:tblStylePr w:type="lastRow">
      <w:rPr>
        <w:b/>
        <w:bCs/>
        <w:color w:val="12845B"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7F2F3" w:themeFill="accent5" w:themeFillTint="3F"/>
      </w:tcPr>
    </w:tblStylePr>
    <w:tblStylePr w:type="band1Horz">
      <w:tblPr/>
      <w:tcPr>
        <w:shd w:val="clear" w:color="auto" w:fill="C4F5F5" w:themeFill="accent5" w:themeFillTint="33"/>
      </w:tcPr>
    </w:tblStylePr>
  </w:style>
  <w:style w:type="table" w:styleId="ColorfulList-Accent6">
    <w:name w:val="Colorful List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Pr>
    <w:tcPr>
      <w:shd w:val="clear" w:color="auto" w:fill="E3FBF2" w:themeFill="accent6" w:themeFillTint="19"/>
    </w:tcPr>
    <w:tblStylePr w:type="firstRow">
      <w:rPr>
        <w:b/>
        <w:bCs/>
        <w:color w:val="FFFFFF" w:themeColor="background1"/>
      </w:rPr>
      <w:tblPr/>
      <w:tcPr>
        <w:tcBorders>
          <w:bottom w:val="single" w:sz="12" w:space="0" w:color="FFFFFF" w:themeColor="background1"/>
        </w:tcBorders>
        <w:shd w:val="clear" w:color="auto" w:fill="137576" w:themeFill="accent5" w:themeFillShade="CC"/>
      </w:tcPr>
    </w:tblStylePr>
    <w:tblStylePr w:type="lastRow">
      <w:rPr>
        <w:b/>
        <w:bCs/>
        <w:color w:val="137576"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9F5DF" w:themeFill="accent6" w:themeFillTint="3F"/>
      </w:tcPr>
    </w:tblStylePr>
    <w:tblStylePr w:type="band1Horz">
      <w:tblPr/>
      <w:tcPr>
        <w:shd w:val="clear" w:color="auto" w:fill="C6F7E5" w:themeFill="accent6" w:themeFillTint="33"/>
      </w:tcPr>
    </w:tblStylePr>
  </w:style>
  <w:style w:type="table" w:styleId="ColorfulShading">
    <w:name w:val="Colorful Shading"/>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D02B27"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D02B27" w:themeColor="accent2"/>
        <w:left w:val="single" w:sz="4" w:space="0" w:color="0B2949" w:themeColor="accent1"/>
        <w:bottom w:val="single" w:sz="4" w:space="0" w:color="0B2949" w:themeColor="accent1"/>
        <w:right w:val="single" w:sz="4" w:space="0" w:color="0B2949" w:themeColor="accent1"/>
        <w:insideH w:val="single" w:sz="4" w:space="0" w:color="FFFFFF" w:themeColor="background1"/>
        <w:insideV w:val="single" w:sz="4" w:space="0" w:color="FFFFFF" w:themeColor="background1"/>
      </w:tblBorders>
    </w:tblPr>
    <w:tcPr>
      <w:shd w:val="clear" w:color="auto" w:fill="DAE9F9" w:themeFill="accent1" w:themeFillTint="19"/>
    </w:tcPr>
    <w:tblStylePr w:type="firstRow">
      <w:rPr>
        <w:b/>
        <w:bCs/>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6182B" w:themeFill="accent1" w:themeFillShade="99"/>
      </w:tcPr>
    </w:tblStylePr>
    <w:tblStylePr w:type="firstCol">
      <w:rPr>
        <w:color w:val="FFFFFF" w:themeColor="background1"/>
      </w:rPr>
      <w:tblPr/>
      <w:tcPr>
        <w:tcBorders>
          <w:top w:val="nil"/>
          <w:left w:val="nil"/>
          <w:bottom w:val="nil"/>
          <w:right w:val="nil"/>
          <w:insideH w:val="single" w:sz="4" w:space="0" w:color="06182B" w:themeColor="accent1" w:themeShade="99"/>
          <w:insideV w:val="nil"/>
        </w:tcBorders>
        <w:shd w:val="clear" w:color="auto" w:fill="06182B"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6182B" w:themeFill="accent1" w:themeFillShade="99"/>
      </w:tcPr>
    </w:tblStylePr>
    <w:tblStylePr w:type="band1Vert">
      <w:tblPr/>
      <w:tcPr>
        <w:shd w:val="clear" w:color="auto" w:fill="6AA7E8" w:themeFill="accent1" w:themeFillTint="66"/>
      </w:tcPr>
    </w:tblStylePr>
    <w:tblStylePr w:type="band1Horz">
      <w:tblPr/>
      <w:tcPr>
        <w:shd w:val="clear" w:color="auto" w:fill="4692E3"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D02B27" w:themeColor="accent2"/>
        <w:left w:val="single" w:sz="4" w:space="0" w:color="D02B27" w:themeColor="accent2"/>
        <w:bottom w:val="single" w:sz="4" w:space="0" w:color="D02B27" w:themeColor="accent2"/>
        <w:right w:val="single" w:sz="4" w:space="0" w:color="D02B27" w:themeColor="accent2"/>
        <w:insideH w:val="single" w:sz="4" w:space="0" w:color="FFFFFF" w:themeColor="background1"/>
        <w:insideV w:val="single" w:sz="4" w:space="0" w:color="FFFFFF" w:themeColor="background1"/>
      </w:tblBorders>
    </w:tblPr>
    <w:tcPr>
      <w:shd w:val="clear" w:color="auto" w:fill="FBE9E9" w:themeFill="accent2" w:themeFillTint="19"/>
    </w:tcPr>
    <w:tblStylePr w:type="firstRow">
      <w:rPr>
        <w:b/>
        <w:bCs/>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C1917" w:themeFill="accent2" w:themeFillShade="99"/>
      </w:tcPr>
    </w:tblStylePr>
    <w:tblStylePr w:type="firstCol">
      <w:rPr>
        <w:color w:val="FFFFFF" w:themeColor="background1"/>
      </w:rPr>
      <w:tblPr/>
      <w:tcPr>
        <w:tcBorders>
          <w:top w:val="nil"/>
          <w:left w:val="nil"/>
          <w:bottom w:val="nil"/>
          <w:right w:val="nil"/>
          <w:insideH w:val="single" w:sz="4" w:space="0" w:color="7C1917" w:themeColor="accent2" w:themeShade="99"/>
          <w:insideV w:val="nil"/>
        </w:tcBorders>
        <w:shd w:val="clear" w:color="auto" w:fill="7C1917"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C1917" w:themeFill="accent2" w:themeFillShade="99"/>
      </w:tcPr>
    </w:tblStylePr>
    <w:tblStylePr w:type="band1Vert">
      <w:tblPr/>
      <w:tcPr>
        <w:shd w:val="clear" w:color="auto" w:fill="EEA7A6" w:themeFill="accent2" w:themeFillTint="66"/>
      </w:tcPr>
    </w:tblStylePr>
    <w:tblStylePr w:type="band1Horz">
      <w:tblPr/>
      <w:tcPr>
        <w:shd w:val="clear" w:color="auto" w:fill="EA9290"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F1B51C" w:themeColor="accent4"/>
        <w:left w:val="single" w:sz="4" w:space="0" w:color="5B6771" w:themeColor="accent3"/>
        <w:bottom w:val="single" w:sz="4" w:space="0" w:color="5B6771" w:themeColor="accent3"/>
        <w:right w:val="single" w:sz="4" w:space="0" w:color="5B6771" w:themeColor="accent3"/>
        <w:insideH w:val="single" w:sz="4" w:space="0" w:color="FFFFFF" w:themeColor="background1"/>
        <w:insideV w:val="single" w:sz="4" w:space="0" w:color="FFFFFF" w:themeColor="background1"/>
      </w:tblBorders>
    </w:tblPr>
    <w:tcPr>
      <w:shd w:val="clear" w:color="auto" w:fill="EEF0F1" w:themeFill="accent3" w:themeFillTint="19"/>
    </w:tcPr>
    <w:tblStylePr w:type="firstRow">
      <w:rPr>
        <w:b/>
        <w:bCs/>
      </w:rPr>
      <w:tblPr/>
      <w:tcPr>
        <w:tcBorders>
          <w:top w:val="nil"/>
          <w:left w:val="nil"/>
          <w:bottom w:val="single" w:sz="24" w:space="0" w:color="F1B51C"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363D43" w:themeFill="accent3" w:themeFillShade="99"/>
      </w:tcPr>
    </w:tblStylePr>
    <w:tblStylePr w:type="firstCol">
      <w:rPr>
        <w:color w:val="FFFFFF" w:themeColor="background1"/>
      </w:rPr>
      <w:tblPr/>
      <w:tcPr>
        <w:tcBorders>
          <w:top w:val="nil"/>
          <w:left w:val="nil"/>
          <w:bottom w:val="nil"/>
          <w:right w:val="nil"/>
          <w:insideH w:val="single" w:sz="4" w:space="0" w:color="363D43" w:themeColor="accent3" w:themeShade="99"/>
          <w:insideV w:val="nil"/>
        </w:tcBorders>
        <w:shd w:val="clear" w:color="auto" w:fill="363D4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363D43" w:themeFill="accent3" w:themeFillShade="99"/>
      </w:tcPr>
    </w:tblStylePr>
    <w:tblStylePr w:type="band1Vert">
      <w:tblPr/>
      <w:tcPr>
        <w:shd w:val="clear" w:color="auto" w:fill="BBC2C8" w:themeFill="accent3" w:themeFillTint="66"/>
      </w:tcPr>
    </w:tblStylePr>
    <w:tblStylePr w:type="band1Horz">
      <w:tblPr/>
      <w:tcPr>
        <w:shd w:val="clear" w:color="auto" w:fill="AAB3BB" w:themeFill="accent3" w:themeFillTint="7F"/>
      </w:tcPr>
    </w:tblStylePr>
  </w:style>
  <w:style w:type="table" w:styleId="ColorfulShading-Accent4">
    <w:name w:val="Colorful Shading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5B6771" w:themeColor="accent3"/>
        <w:left w:val="single" w:sz="4" w:space="0" w:color="F1B51C" w:themeColor="accent4"/>
        <w:bottom w:val="single" w:sz="4" w:space="0" w:color="F1B51C" w:themeColor="accent4"/>
        <w:right w:val="single" w:sz="4" w:space="0" w:color="F1B51C" w:themeColor="accent4"/>
        <w:insideH w:val="single" w:sz="4" w:space="0" w:color="FFFFFF" w:themeColor="background1"/>
        <w:insideV w:val="single" w:sz="4" w:space="0" w:color="FFFFFF" w:themeColor="background1"/>
      </w:tblBorders>
    </w:tblPr>
    <w:tcPr>
      <w:shd w:val="clear" w:color="auto" w:fill="FDF7E8" w:themeFill="accent4" w:themeFillTint="19"/>
    </w:tcPr>
    <w:tblStylePr w:type="firstRow">
      <w:rPr>
        <w:b/>
        <w:bCs/>
      </w:rPr>
      <w:tblPr/>
      <w:tcPr>
        <w:tcBorders>
          <w:top w:val="nil"/>
          <w:left w:val="nil"/>
          <w:bottom w:val="single" w:sz="24" w:space="0" w:color="5B6771"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76F09" w:themeFill="accent4" w:themeFillShade="99"/>
      </w:tcPr>
    </w:tblStylePr>
    <w:tblStylePr w:type="firstCol">
      <w:rPr>
        <w:color w:val="FFFFFF" w:themeColor="background1"/>
      </w:rPr>
      <w:tblPr/>
      <w:tcPr>
        <w:tcBorders>
          <w:top w:val="nil"/>
          <w:left w:val="nil"/>
          <w:bottom w:val="nil"/>
          <w:right w:val="nil"/>
          <w:insideH w:val="single" w:sz="4" w:space="0" w:color="976F09" w:themeColor="accent4" w:themeShade="99"/>
          <w:insideV w:val="nil"/>
        </w:tcBorders>
        <w:shd w:val="clear" w:color="auto" w:fill="976F09"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76F09" w:themeFill="accent4" w:themeFillShade="99"/>
      </w:tcPr>
    </w:tblStylePr>
    <w:tblStylePr w:type="band1Vert">
      <w:tblPr/>
      <w:tcPr>
        <w:shd w:val="clear" w:color="auto" w:fill="F9E1A3" w:themeFill="accent4" w:themeFillTint="66"/>
      </w:tcPr>
    </w:tblStylePr>
    <w:tblStylePr w:type="band1Horz">
      <w:tblPr/>
      <w:tcPr>
        <w:shd w:val="clear" w:color="auto" w:fill="F8DA8D"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17A673" w:themeColor="accent6"/>
        <w:left w:val="single" w:sz="4" w:space="0" w:color="189394" w:themeColor="accent5"/>
        <w:bottom w:val="single" w:sz="4" w:space="0" w:color="189394" w:themeColor="accent5"/>
        <w:right w:val="single" w:sz="4" w:space="0" w:color="189394" w:themeColor="accent5"/>
        <w:insideH w:val="single" w:sz="4" w:space="0" w:color="FFFFFF" w:themeColor="background1"/>
        <w:insideV w:val="single" w:sz="4" w:space="0" w:color="FFFFFF" w:themeColor="background1"/>
      </w:tblBorders>
    </w:tblPr>
    <w:tcPr>
      <w:shd w:val="clear" w:color="auto" w:fill="E2FAFA" w:themeFill="accent5" w:themeFillTint="19"/>
    </w:tcPr>
    <w:tblStylePr w:type="firstRow">
      <w:rPr>
        <w:b/>
        <w:bCs/>
      </w:rPr>
      <w:tblPr/>
      <w:tcPr>
        <w:tcBorders>
          <w:top w:val="nil"/>
          <w:left w:val="nil"/>
          <w:bottom w:val="single" w:sz="24" w:space="0" w:color="17A673"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E5758" w:themeFill="accent5" w:themeFillShade="99"/>
      </w:tcPr>
    </w:tblStylePr>
    <w:tblStylePr w:type="firstCol">
      <w:rPr>
        <w:color w:val="FFFFFF" w:themeColor="background1"/>
      </w:rPr>
      <w:tblPr/>
      <w:tcPr>
        <w:tcBorders>
          <w:top w:val="nil"/>
          <w:left w:val="nil"/>
          <w:bottom w:val="nil"/>
          <w:right w:val="nil"/>
          <w:insideH w:val="single" w:sz="4" w:space="0" w:color="0E5758" w:themeColor="accent5" w:themeShade="99"/>
          <w:insideV w:val="nil"/>
        </w:tcBorders>
        <w:shd w:val="clear" w:color="auto" w:fill="0E575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0E5758" w:themeFill="accent5" w:themeFillShade="99"/>
      </w:tcPr>
    </w:tblStylePr>
    <w:tblStylePr w:type="band1Vert">
      <w:tblPr/>
      <w:tcPr>
        <w:shd w:val="clear" w:color="auto" w:fill="8AEBEC" w:themeFill="accent5" w:themeFillTint="66"/>
      </w:tcPr>
    </w:tblStylePr>
    <w:tblStylePr w:type="band1Horz">
      <w:tblPr/>
      <w:tcPr>
        <w:shd w:val="clear" w:color="auto" w:fill="6DE6E7"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24" w:space="0" w:color="189394" w:themeColor="accent5"/>
        <w:left w:val="single" w:sz="4" w:space="0" w:color="17A673" w:themeColor="accent6"/>
        <w:bottom w:val="single" w:sz="4" w:space="0" w:color="17A673" w:themeColor="accent6"/>
        <w:right w:val="single" w:sz="4" w:space="0" w:color="17A673" w:themeColor="accent6"/>
        <w:insideH w:val="single" w:sz="4" w:space="0" w:color="FFFFFF" w:themeColor="background1"/>
        <w:insideV w:val="single" w:sz="4" w:space="0" w:color="FFFFFF" w:themeColor="background1"/>
      </w:tblBorders>
    </w:tblPr>
    <w:tcPr>
      <w:shd w:val="clear" w:color="auto" w:fill="E3FBF2" w:themeFill="accent6" w:themeFillTint="19"/>
    </w:tcPr>
    <w:tblStylePr w:type="firstRow">
      <w:rPr>
        <w:b/>
        <w:bCs/>
      </w:rPr>
      <w:tblPr/>
      <w:tcPr>
        <w:tcBorders>
          <w:top w:val="nil"/>
          <w:left w:val="nil"/>
          <w:bottom w:val="single" w:sz="24" w:space="0" w:color="18939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D6344" w:themeFill="accent6" w:themeFillShade="99"/>
      </w:tcPr>
    </w:tblStylePr>
    <w:tblStylePr w:type="firstCol">
      <w:rPr>
        <w:color w:val="FFFFFF" w:themeColor="background1"/>
      </w:rPr>
      <w:tblPr/>
      <w:tcPr>
        <w:tcBorders>
          <w:top w:val="nil"/>
          <w:left w:val="nil"/>
          <w:bottom w:val="nil"/>
          <w:right w:val="nil"/>
          <w:insideH w:val="single" w:sz="4" w:space="0" w:color="0D6344" w:themeColor="accent6" w:themeShade="99"/>
          <w:insideV w:val="nil"/>
        </w:tcBorders>
        <w:shd w:val="clear" w:color="auto" w:fill="0D6344"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D6344" w:themeFill="accent6" w:themeFillShade="99"/>
      </w:tcPr>
    </w:tblStylePr>
    <w:tblStylePr w:type="band1Vert">
      <w:tblPr/>
      <w:tcPr>
        <w:shd w:val="clear" w:color="auto" w:fill="8EEFCC" w:themeFill="accent6" w:themeFillTint="66"/>
      </w:tcPr>
    </w:tblStylePr>
    <w:tblStylePr w:type="band1Horz">
      <w:tblPr/>
      <w:tcPr>
        <w:shd w:val="clear" w:color="auto" w:fill="72EBC0"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0B2949"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51424"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81E36"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81E36" w:themeFill="accent1" w:themeFillShade="BF"/>
      </w:tcPr>
    </w:tblStylePr>
    <w:tblStylePr w:type="band1Vert">
      <w:tblPr/>
      <w:tcPr>
        <w:tcBorders>
          <w:top w:val="nil"/>
          <w:left w:val="nil"/>
          <w:bottom w:val="nil"/>
          <w:right w:val="nil"/>
          <w:insideH w:val="nil"/>
          <w:insideV w:val="nil"/>
        </w:tcBorders>
        <w:shd w:val="clear" w:color="auto" w:fill="081E36" w:themeFill="accent1" w:themeFillShade="BF"/>
      </w:tcPr>
    </w:tblStylePr>
    <w:tblStylePr w:type="band1Horz">
      <w:tblPr/>
      <w:tcPr>
        <w:tcBorders>
          <w:top w:val="nil"/>
          <w:left w:val="nil"/>
          <w:bottom w:val="nil"/>
          <w:right w:val="nil"/>
          <w:insideH w:val="nil"/>
          <w:insideV w:val="nil"/>
        </w:tcBorders>
        <w:shd w:val="clear" w:color="auto" w:fill="081E36" w:themeFill="accent1" w:themeFillShade="BF"/>
      </w:tcPr>
    </w:tblStylePr>
  </w:style>
  <w:style w:type="table" w:styleId="DarkList-Accent2">
    <w:name w:val="Dark List Accent 2"/>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D02B27"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7151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B201D"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B201D" w:themeFill="accent2" w:themeFillShade="BF"/>
      </w:tcPr>
    </w:tblStylePr>
    <w:tblStylePr w:type="band1Vert">
      <w:tblPr/>
      <w:tcPr>
        <w:tcBorders>
          <w:top w:val="nil"/>
          <w:left w:val="nil"/>
          <w:bottom w:val="nil"/>
          <w:right w:val="nil"/>
          <w:insideH w:val="nil"/>
          <w:insideV w:val="nil"/>
        </w:tcBorders>
        <w:shd w:val="clear" w:color="auto" w:fill="9B201D" w:themeFill="accent2" w:themeFillShade="BF"/>
      </w:tcPr>
    </w:tblStylePr>
    <w:tblStylePr w:type="band1Horz">
      <w:tblPr/>
      <w:tcPr>
        <w:tcBorders>
          <w:top w:val="nil"/>
          <w:left w:val="nil"/>
          <w:bottom w:val="nil"/>
          <w:right w:val="nil"/>
          <w:insideH w:val="nil"/>
          <w:insideV w:val="nil"/>
        </w:tcBorders>
        <w:shd w:val="clear" w:color="auto" w:fill="9B201D" w:themeFill="accent2" w:themeFillShade="BF"/>
      </w:tcPr>
    </w:tblStylePr>
  </w:style>
  <w:style w:type="table" w:styleId="DarkList-Accent3">
    <w:name w:val="Dark List Accent 3"/>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5B6771"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D333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444D54"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444D54" w:themeFill="accent3" w:themeFillShade="BF"/>
      </w:tcPr>
    </w:tblStylePr>
    <w:tblStylePr w:type="band1Vert">
      <w:tblPr/>
      <w:tcPr>
        <w:tcBorders>
          <w:top w:val="nil"/>
          <w:left w:val="nil"/>
          <w:bottom w:val="nil"/>
          <w:right w:val="nil"/>
          <w:insideH w:val="nil"/>
          <w:insideV w:val="nil"/>
        </w:tcBorders>
        <w:shd w:val="clear" w:color="auto" w:fill="444D54" w:themeFill="accent3" w:themeFillShade="BF"/>
      </w:tcPr>
    </w:tblStylePr>
    <w:tblStylePr w:type="band1Horz">
      <w:tblPr/>
      <w:tcPr>
        <w:tcBorders>
          <w:top w:val="nil"/>
          <w:left w:val="nil"/>
          <w:bottom w:val="nil"/>
          <w:right w:val="nil"/>
          <w:insideH w:val="nil"/>
          <w:insideV w:val="nil"/>
        </w:tcBorders>
        <w:shd w:val="clear" w:color="auto" w:fill="444D54" w:themeFill="accent3" w:themeFillShade="BF"/>
      </w:tcPr>
    </w:tblStylePr>
  </w:style>
  <w:style w:type="table" w:styleId="DarkList-Accent4">
    <w:name w:val="Dark List Accent 4"/>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F1B51C"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D5C07"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D8B0B"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D8B0B" w:themeFill="accent4" w:themeFillShade="BF"/>
      </w:tcPr>
    </w:tblStylePr>
    <w:tblStylePr w:type="band1Vert">
      <w:tblPr/>
      <w:tcPr>
        <w:tcBorders>
          <w:top w:val="nil"/>
          <w:left w:val="nil"/>
          <w:bottom w:val="nil"/>
          <w:right w:val="nil"/>
          <w:insideH w:val="nil"/>
          <w:insideV w:val="nil"/>
        </w:tcBorders>
        <w:shd w:val="clear" w:color="auto" w:fill="BD8B0B" w:themeFill="accent4" w:themeFillShade="BF"/>
      </w:tcPr>
    </w:tblStylePr>
    <w:tblStylePr w:type="band1Horz">
      <w:tblPr/>
      <w:tcPr>
        <w:tcBorders>
          <w:top w:val="nil"/>
          <w:left w:val="nil"/>
          <w:bottom w:val="nil"/>
          <w:right w:val="nil"/>
          <w:insideH w:val="nil"/>
          <w:insideV w:val="nil"/>
        </w:tcBorders>
        <w:shd w:val="clear" w:color="auto" w:fill="BD8B0B" w:themeFill="accent4" w:themeFillShade="BF"/>
      </w:tcPr>
    </w:tblStylePr>
  </w:style>
  <w:style w:type="table" w:styleId="DarkList-Accent5">
    <w:name w:val="Dark List Accent 5"/>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18939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4849"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126D6E"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126D6E" w:themeFill="accent5" w:themeFillShade="BF"/>
      </w:tcPr>
    </w:tblStylePr>
    <w:tblStylePr w:type="band1Vert">
      <w:tblPr/>
      <w:tcPr>
        <w:tcBorders>
          <w:top w:val="nil"/>
          <w:left w:val="nil"/>
          <w:bottom w:val="nil"/>
          <w:right w:val="nil"/>
          <w:insideH w:val="nil"/>
          <w:insideV w:val="nil"/>
        </w:tcBorders>
        <w:shd w:val="clear" w:color="auto" w:fill="126D6E" w:themeFill="accent5" w:themeFillShade="BF"/>
      </w:tcPr>
    </w:tblStylePr>
    <w:tblStylePr w:type="band1Horz">
      <w:tblPr/>
      <w:tcPr>
        <w:tcBorders>
          <w:top w:val="nil"/>
          <w:left w:val="nil"/>
          <w:bottom w:val="nil"/>
          <w:right w:val="nil"/>
          <w:insideH w:val="nil"/>
          <w:insideV w:val="nil"/>
        </w:tcBorders>
        <w:shd w:val="clear" w:color="auto" w:fill="126D6E" w:themeFill="accent5" w:themeFillShade="BF"/>
      </w:tcPr>
    </w:tblStylePr>
  </w:style>
  <w:style w:type="table" w:styleId="DarkList-Accent6">
    <w:name w:val="Dark List Accent 6"/>
    <w:basedOn w:val="TableNormal"/>
    <w:unhideWhenUsed/>
    <w:rsid w:val="00570E30"/>
    <w:rPr>
      <w:rFonts w:asciiTheme="minorHAnsi" w:eastAsiaTheme="minorHAnsi" w:hAnsiTheme="minorHAnsi" w:cstheme="minorBidi"/>
      <w:color w:val="FFFFFF" w:themeColor="background1"/>
      <w:sz w:val="22"/>
      <w:szCs w:val="22"/>
    </w:rPr>
    <w:tblPr>
      <w:tblStyleRowBandSize w:val="1"/>
      <w:tblStyleColBandSize w:val="1"/>
    </w:tblPr>
    <w:tcPr>
      <w:shd w:val="clear" w:color="auto" w:fill="17A673"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B5239"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117C5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117C55" w:themeFill="accent6" w:themeFillShade="BF"/>
      </w:tcPr>
    </w:tblStylePr>
    <w:tblStylePr w:type="band1Vert">
      <w:tblPr/>
      <w:tcPr>
        <w:tcBorders>
          <w:top w:val="nil"/>
          <w:left w:val="nil"/>
          <w:bottom w:val="nil"/>
          <w:right w:val="nil"/>
          <w:insideH w:val="nil"/>
          <w:insideV w:val="nil"/>
        </w:tcBorders>
        <w:shd w:val="clear" w:color="auto" w:fill="117C55" w:themeFill="accent6" w:themeFillShade="BF"/>
      </w:tcPr>
    </w:tblStylePr>
    <w:tblStylePr w:type="band1Horz">
      <w:tblPr/>
      <w:tcPr>
        <w:tcBorders>
          <w:top w:val="nil"/>
          <w:left w:val="nil"/>
          <w:bottom w:val="nil"/>
          <w:right w:val="nil"/>
          <w:insideH w:val="nil"/>
          <w:insideV w:val="nil"/>
        </w:tcBorders>
        <w:shd w:val="clear" w:color="auto" w:fill="117C55" w:themeFill="accent6" w:themeFillShade="BF"/>
      </w:tcPr>
    </w:tblStylePr>
  </w:style>
  <w:style w:type="paragraph" w:styleId="E-mailSignature">
    <w:name w:val="E-mail Signature"/>
    <w:basedOn w:val="Normal"/>
    <w:link w:val="E-mailSignatureChar"/>
    <w:qFormat/>
    <w:rsid w:val="00570E30"/>
    <w:pPr>
      <w:spacing w:after="0" w:line="240" w:lineRule="auto"/>
    </w:pPr>
  </w:style>
  <w:style w:type="character" w:customStyle="1" w:styleId="E-mailSignatureChar">
    <w:name w:val="E-mail Signature Char"/>
    <w:basedOn w:val="DefaultParagraphFont"/>
    <w:link w:val="E-mailSignature"/>
    <w:semiHidden/>
    <w:rsid w:val="00570E30"/>
    <w:rPr>
      <w:rFonts w:asciiTheme="minorHAnsi" w:eastAsiaTheme="minorHAnsi" w:hAnsiTheme="minorHAnsi" w:cstheme="minorBidi"/>
      <w:szCs w:val="22"/>
    </w:rPr>
  </w:style>
  <w:style w:type="paragraph" w:styleId="EnvelopeAddress">
    <w:name w:val="envelope address"/>
    <w:basedOn w:val="Normal"/>
    <w:qFormat/>
    <w:rsid w:val="00570E30"/>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qFormat/>
    <w:rsid w:val="00570E30"/>
    <w:pPr>
      <w:spacing w:after="0" w:line="240" w:lineRule="auto"/>
    </w:pPr>
    <w:rPr>
      <w:rFonts w:asciiTheme="majorHAnsi" w:eastAsiaTheme="majorEastAsia" w:hAnsiTheme="majorHAnsi" w:cstheme="majorBidi"/>
      <w:szCs w:val="20"/>
    </w:rPr>
  </w:style>
  <w:style w:type="table" w:styleId="GridTable1Light">
    <w:name w:val="Grid Table 1 Light"/>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AA7E8" w:themeColor="accent1" w:themeTint="66"/>
        <w:left w:val="single" w:sz="4" w:space="0" w:color="6AA7E8" w:themeColor="accent1" w:themeTint="66"/>
        <w:bottom w:val="single" w:sz="4" w:space="0" w:color="6AA7E8" w:themeColor="accent1" w:themeTint="66"/>
        <w:right w:val="single" w:sz="4" w:space="0" w:color="6AA7E8" w:themeColor="accent1" w:themeTint="66"/>
        <w:insideH w:val="single" w:sz="4" w:space="0" w:color="6AA7E8" w:themeColor="accent1" w:themeTint="66"/>
        <w:insideV w:val="single" w:sz="4" w:space="0" w:color="6AA7E8" w:themeColor="accent1" w:themeTint="66"/>
      </w:tblBorders>
    </w:tblPr>
    <w:tblStylePr w:type="firstRow">
      <w:rPr>
        <w:b/>
        <w:bCs/>
      </w:rPr>
      <w:tblPr/>
      <w:tcPr>
        <w:tcBorders>
          <w:bottom w:val="single" w:sz="12" w:space="0" w:color="217BDD" w:themeColor="accent1" w:themeTint="99"/>
        </w:tcBorders>
      </w:tcPr>
    </w:tblStylePr>
    <w:tblStylePr w:type="lastRow">
      <w:rPr>
        <w:b/>
        <w:bCs/>
      </w:rPr>
      <w:tblPr/>
      <w:tcPr>
        <w:tcBorders>
          <w:top w:val="double" w:sz="2" w:space="0" w:color="217BDD"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EA7A6" w:themeColor="accent2" w:themeTint="66"/>
        <w:left w:val="single" w:sz="4" w:space="0" w:color="EEA7A6" w:themeColor="accent2" w:themeTint="66"/>
        <w:bottom w:val="single" w:sz="4" w:space="0" w:color="EEA7A6" w:themeColor="accent2" w:themeTint="66"/>
        <w:right w:val="single" w:sz="4" w:space="0" w:color="EEA7A6" w:themeColor="accent2" w:themeTint="66"/>
        <w:insideH w:val="single" w:sz="4" w:space="0" w:color="EEA7A6" w:themeColor="accent2" w:themeTint="66"/>
        <w:insideV w:val="single" w:sz="4" w:space="0" w:color="EEA7A6" w:themeColor="accent2" w:themeTint="66"/>
      </w:tblBorders>
    </w:tblPr>
    <w:tblStylePr w:type="firstRow">
      <w:rPr>
        <w:b/>
        <w:bCs/>
      </w:rPr>
      <w:tblPr/>
      <w:tcPr>
        <w:tcBorders>
          <w:bottom w:val="single" w:sz="12" w:space="0" w:color="E67C79" w:themeColor="accent2" w:themeTint="99"/>
        </w:tcBorders>
      </w:tcPr>
    </w:tblStylePr>
    <w:tblStylePr w:type="lastRow">
      <w:rPr>
        <w:b/>
        <w:bCs/>
      </w:rPr>
      <w:tblPr/>
      <w:tcPr>
        <w:tcBorders>
          <w:top w:val="double" w:sz="2" w:space="0" w:color="E67C79"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BBC2C8" w:themeColor="accent3" w:themeTint="66"/>
        <w:left w:val="single" w:sz="4" w:space="0" w:color="BBC2C8" w:themeColor="accent3" w:themeTint="66"/>
        <w:bottom w:val="single" w:sz="4" w:space="0" w:color="BBC2C8" w:themeColor="accent3" w:themeTint="66"/>
        <w:right w:val="single" w:sz="4" w:space="0" w:color="BBC2C8" w:themeColor="accent3" w:themeTint="66"/>
        <w:insideH w:val="single" w:sz="4" w:space="0" w:color="BBC2C8" w:themeColor="accent3" w:themeTint="66"/>
        <w:insideV w:val="single" w:sz="4" w:space="0" w:color="BBC2C8" w:themeColor="accent3" w:themeTint="66"/>
      </w:tblBorders>
    </w:tblPr>
    <w:tblStylePr w:type="firstRow">
      <w:rPr>
        <w:b/>
        <w:bCs/>
      </w:rPr>
      <w:tblPr/>
      <w:tcPr>
        <w:tcBorders>
          <w:bottom w:val="single" w:sz="12" w:space="0" w:color="99A4AD" w:themeColor="accent3" w:themeTint="99"/>
        </w:tcBorders>
      </w:tcPr>
    </w:tblStylePr>
    <w:tblStylePr w:type="lastRow">
      <w:rPr>
        <w:b/>
        <w:bCs/>
      </w:rPr>
      <w:tblPr/>
      <w:tcPr>
        <w:tcBorders>
          <w:top w:val="double" w:sz="2" w:space="0" w:color="99A4AD"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9E1A3" w:themeColor="accent4" w:themeTint="66"/>
        <w:left w:val="single" w:sz="4" w:space="0" w:color="F9E1A3" w:themeColor="accent4" w:themeTint="66"/>
        <w:bottom w:val="single" w:sz="4" w:space="0" w:color="F9E1A3" w:themeColor="accent4" w:themeTint="66"/>
        <w:right w:val="single" w:sz="4" w:space="0" w:color="F9E1A3" w:themeColor="accent4" w:themeTint="66"/>
        <w:insideH w:val="single" w:sz="4" w:space="0" w:color="F9E1A3" w:themeColor="accent4" w:themeTint="66"/>
        <w:insideV w:val="single" w:sz="4" w:space="0" w:color="F9E1A3" w:themeColor="accent4" w:themeTint="66"/>
      </w:tblBorders>
    </w:tblPr>
    <w:tblStylePr w:type="firstRow">
      <w:rPr>
        <w:b/>
        <w:bCs/>
      </w:rPr>
      <w:tblPr/>
      <w:tcPr>
        <w:tcBorders>
          <w:bottom w:val="single" w:sz="12" w:space="0" w:color="F6D276" w:themeColor="accent4" w:themeTint="99"/>
        </w:tcBorders>
      </w:tcPr>
    </w:tblStylePr>
    <w:tblStylePr w:type="lastRow">
      <w:rPr>
        <w:b/>
        <w:bCs/>
      </w:rPr>
      <w:tblPr/>
      <w:tcPr>
        <w:tcBorders>
          <w:top w:val="double" w:sz="2" w:space="0" w:color="F6D276"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8AEBEC" w:themeColor="accent5" w:themeTint="66"/>
        <w:left w:val="single" w:sz="4" w:space="0" w:color="8AEBEC" w:themeColor="accent5" w:themeTint="66"/>
        <w:bottom w:val="single" w:sz="4" w:space="0" w:color="8AEBEC" w:themeColor="accent5" w:themeTint="66"/>
        <w:right w:val="single" w:sz="4" w:space="0" w:color="8AEBEC" w:themeColor="accent5" w:themeTint="66"/>
        <w:insideH w:val="single" w:sz="4" w:space="0" w:color="8AEBEC" w:themeColor="accent5" w:themeTint="66"/>
        <w:insideV w:val="single" w:sz="4" w:space="0" w:color="8AEBEC" w:themeColor="accent5" w:themeTint="66"/>
      </w:tblBorders>
    </w:tblPr>
    <w:tblStylePr w:type="firstRow">
      <w:rPr>
        <w:b/>
        <w:bCs/>
      </w:rPr>
      <w:tblPr/>
      <w:tcPr>
        <w:tcBorders>
          <w:bottom w:val="single" w:sz="12" w:space="0" w:color="50E1E2" w:themeColor="accent5" w:themeTint="99"/>
        </w:tcBorders>
      </w:tcPr>
    </w:tblStylePr>
    <w:tblStylePr w:type="lastRow">
      <w:rPr>
        <w:b/>
        <w:bCs/>
      </w:rPr>
      <w:tblPr/>
      <w:tcPr>
        <w:tcBorders>
          <w:top w:val="double" w:sz="2" w:space="0" w:color="50E1E2"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8EEFCC" w:themeColor="accent6" w:themeTint="66"/>
        <w:left w:val="single" w:sz="4" w:space="0" w:color="8EEFCC" w:themeColor="accent6" w:themeTint="66"/>
        <w:bottom w:val="single" w:sz="4" w:space="0" w:color="8EEFCC" w:themeColor="accent6" w:themeTint="66"/>
        <w:right w:val="single" w:sz="4" w:space="0" w:color="8EEFCC" w:themeColor="accent6" w:themeTint="66"/>
        <w:insideH w:val="single" w:sz="4" w:space="0" w:color="8EEFCC" w:themeColor="accent6" w:themeTint="66"/>
        <w:insideV w:val="single" w:sz="4" w:space="0" w:color="8EEFCC" w:themeColor="accent6" w:themeTint="66"/>
      </w:tblBorders>
    </w:tblPr>
    <w:tblStylePr w:type="firstRow">
      <w:rPr>
        <w:b/>
        <w:bCs/>
      </w:rPr>
      <w:tblPr/>
      <w:tcPr>
        <w:tcBorders>
          <w:bottom w:val="single" w:sz="12" w:space="0" w:color="55E7B3" w:themeColor="accent6" w:themeTint="99"/>
        </w:tcBorders>
      </w:tcPr>
    </w:tblStylePr>
    <w:tblStylePr w:type="lastRow">
      <w:rPr>
        <w:b/>
        <w:bCs/>
      </w:rPr>
      <w:tblPr/>
      <w:tcPr>
        <w:tcBorders>
          <w:top w:val="double" w:sz="2" w:space="0" w:color="55E7B3" w:themeColor="accent6" w:themeTint="99"/>
        </w:tcBorders>
      </w:tcPr>
    </w:tblStylePr>
    <w:tblStylePr w:type="firstCol">
      <w:rPr>
        <w:b/>
        <w:bCs/>
      </w:rPr>
    </w:tblStylePr>
    <w:tblStylePr w:type="lastCol">
      <w:rPr>
        <w:b/>
        <w:bCs/>
      </w:rPr>
    </w:tblStylePr>
  </w:style>
  <w:style w:type="table" w:styleId="GridTable2">
    <w:name w:val="Grid Table 2"/>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2">
    <w:name w:val="Grid Table 2 Accent 2"/>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E67C79" w:themeColor="accent2" w:themeTint="99"/>
        <w:bottom w:val="single" w:sz="2" w:space="0" w:color="E67C79" w:themeColor="accent2" w:themeTint="99"/>
        <w:insideH w:val="single" w:sz="2" w:space="0" w:color="E67C79" w:themeColor="accent2" w:themeTint="99"/>
        <w:insideV w:val="single" w:sz="2" w:space="0" w:color="E67C79" w:themeColor="accent2" w:themeTint="99"/>
      </w:tblBorders>
    </w:tblPr>
    <w:tblStylePr w:type="firstRow">
      <w:rPr>
        <w:b/>
        <w:bCs/>
      </w:rPr>
      <w:tblPr/>
      <w:tcPr>
        <w:tcBorders>
          <w:top w:val="nil"/>
          <w:bottom w:val="single" w:sz="12" w:space="0" w:color="E67C79" w:themeColor="accent2" w:themeTint="99"/>
          <w:insideH w:val="nil"/>
          <w:insideV w:val="nil"/>
        </w:tcBorders>
        <w:shd w:val="clear" w:color="auto" w:fill="FFFFFF" w:themeFill="background1"/>
      </w:tcPr>
    </w:tblStylePr>
    <w:tblStylePr w:type="lastRow">
      <w:rPr>
        <w:b/>
        <w:bCs/>
      </w:rPr>
      <w:tblPr/>
      <w:tcPr>
        <w:tcBorders>
          <w:top w:val="double" w:sz="2" w:space="0" w:color="E67C79"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GridTable2-Accent3">
    <w:name w:val="Grid Table 2 Accent 3"/>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99A4AD" w:themeColor="accent3" w:themeTint="99"/>
        <w:bottom w:val="single" w:sz="2" w:space="0" w:color="99A4AD" w:themeColor="accent3" w:themeTint="99"/>
        <w:insideH w:val="single" w:sz="2" w:space="0" w:color="99A4AD" w:themeColor="accent3" w:themeTint="99"/>
        <w:insideV w:val="single" w:sz="2" w:space="0" w:color="99A4AD" w:themeColor="accent3" w:themeTint="99"/>
      </w:tblBorders>
    </w:tblPr>
    <w:tblStylePr w:type="firstRow">
      <w:rPr>
        <w:b/>
        <w:bCs/>
      </w:rPr>
      <w:tblPr/>
      <w:tcPr>
        <w:tcBorders>
          <w:top w:val="nil"/>
          <w:bottom w:val="single" w:sz="12" w:space="0" w:color="99A4AD" w:themeColor="accent3" w:themeTint="99"/>
          <w:insideH w:val="nil"/>
          <w:insideV w:val="nil"/>
        </w:tcBorders>
        <w:shd w:val="clear" w:color="auto" w:fill="FFFFFF" w:themeFill="background1"/>
      </w:tcPr>
    </w:tblStylePr>
    <w:tblStylePr w:type="lastRow">
      <w:rPr>
        <w:b/>
        <w:bCs/>
      </w:rPr>
      <w:tblPr/>
      <w:tcPr>
        <w:tcBorders>
          <w:top w:val="double" w:sz="2" w:space="0" w:color="99A4AD"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GridTable2-Accent4">
    <w:name w:val="Grid Table 2 Accent 4"/>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F6D276" w:themeColor="accent4" w:themeTint="99"/>
        <w:bottom w:val="single" w:sz="2" w:space="0" w:color="F6D276" w:themeColor="accent4" w:themeTint="99"/>
        <w:insideH w:val="single" w:sz="2" w:space="0" w:color="F6D276" w:themeColor="accent4" w:themeTint="99"/>
        <w:insideV w:val="single" w:sz="2" w:space="0" w:color="F6D276" w:themeColor="accent4" w:themeTint="99"/>
      </w:tblBorders>
    </w:tblPr>
    <w:tblStylePr w:type="firstRow">
      <w:rPr>
        <w:b/>
        <w:bCs/>
      </w:rPr>
      <w:tblPr/>
      <w:tcPr>
        <w:tcBorders>
          <w:top w:val="nil"/>
          <w:bottom w:val="single" w:sz="12" w:space="0" w:color="F6D276" w:themeColor="accent4" w:themeTint="99"/>
          <w:insideH w:val="nil"/>
          <w:insideV w:val="nil"/>
        </w:tcBorders>
        <w:shd w:val="clear" w:color="auto" w:fill="FFFFFF" w:themeFill="background1"/>
      </w:tcPr>
    </w:tblStylePr>
    <w:tblStylePr w:type="lastRow">
      <w:rPr>
        <w:b/>
        <w:bCs/>
      </w:rPr>
      <w:tblPr/>
      <w:tcPr>
        <w:tcBorders>
          <w:top w:val="double" w:sz="2" w:space="0" w:color="F6D27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GridTable2-Accent5">
    <w:name w:val="Grid Table 2 Accent 5"/>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50E1E2" w:themeColor="accent5" w:themeTint="99"/>
        <w:bottom w:val="single" w:sz="2" w:space="0" w:color="50E1E2" w:themeColor="accent5" w:themeTint="99"/>
        <w:insideH w:val="single" w:sz="2" w:space="0" w:color="50E1E2" w:themeColor="accent5" w:themeTint="99"/>
        <w:insideV w:val="single" w:sz="2" w:space="0" w:color="50E1E2" w:themeColor="accent5" w:themeTint="99"/>
      </w:tblBorders>
    </w:tblPr>
    <w:tblStylePr w:type="firstRow">
      <w:rPr>
        <w:b/>
        <w:bCs/>
      </w:rPr>
      <w:tblPr/>
      <w:tcPr>
        <w:tcBorders>
          <w:top w:val="nil"/>
          <w:bottom w:val="single" w:sz="12" w:space="0" w:color="50E1E2" w:themeColor="accent5" w:themeTint="99"/>
          <w:insideH w:val="nil"/>
          <w:insideV w:val="nil"/>
        </w:tcBorders>
        <w:shd w:val="clear" w:color="auto" w:fill="FFFFFF" w:themeFill="background1"/>
      </w:tcPr>
    </w:tblStylePr>
    <w:tblStylePr w:type="lastRow">
      <w:rPr>
        <w:b/>
        <w:bCs/>
      </w:rPr>
      <w:tblPr/>
      <w:tcPr>
        <w:tcBorders>
          <w:top w:val="double" w:sz="2" w:space="0" w:color="50E1E2"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GridTable2-Accent6">
    <w:name w:val="Grid Table 2 Accent 6"/>
    <w:basedOn w:val="TableNormal"/>
    <w:rsid w:val="00570E30"/>
    <w:rPr>
      <w:rFonts w:asciiTheme="minorHAnsi" w:eastAsiaTheme="minorHAnsi" w:hAnsiTheme="minorHAnsi" w:cstheme="minorBidi"/>
      <w:sz w:val="22"/>
      <w:szCs w:val="22"/>
    </w:rPr>
    <w:tblPr>
      <w:tblStyleRowBandSize w:val="1"/>
      <w:tblStyleColBandSize w:val="1"/>
      <w:tblBorders>
        <w:top w:val="single" w:sz="2" w:space="0" w:color="55E7B3" w:themeColor="accent6" w:themeTint="99"/>
        <w:bottom w:val="single" w:sz="2" w:space="0" w:color="55E7B3" w:themeColor="accent6" w:themeTint="99"/>
        <w:insideH w:val="single" w:sz="2" w:space="0" w:color="55E7B3" w:themeColor="accent6" w:themeTint="99"/>
        <w:insideV w:val="single" w:sz="2" w:space="0" w:color="55E7B3" w:themeColor="accent6" w:themeTint="99"/>
      </w:tblBorders>
    </w:tblPr>
    <w:tblStylePr w:type="firstRow">
      <w:rPr>
        <w:b/>
        <w:bCs/>
      </w:rPr>
      <w:tblPr/>
      <w:tcPr>
        <w:tcBorders>
          <w:top w:val="nil"/>
          <w:bottom w:val="single" w:sz="12" w:space="0" w:color="55E7B3" w:themeColor="accent6" w:themeTint="99"/>
          <w:insideH w:val="nil"/>
          <w:insideV w:val="nil"/>
        </w:tcBorders>
        <w:shd w:val="clear" w:color="auto" w:fill="FFFFFF" w:themeFill="background1"/>
      </w:tcPr>
    </w:tblStylePr>
    <w:tblStylePr w:type="lastRow">
      <w:rPr>
        <w:b/>
        <w:bCs/>
      </w:rPr>
      <w:tblPr/>
      <w:tcPr>
        <w:tcBorders>
          <w:top w:val="double" w:sz="2" w:space="0" w:color="55E7B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GridTable3">
    <w:name w:val="Grid Table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4D3F3" w:themeFill="accent1" w:themeFillTint="33"/>
      </w:tcPr>
    </w:tblStylePr>
    <w:tblStylePr w:type="band1Horz">
      <w:tblPr/>
      <w:tcPr>
        <w:shd w:val="clear" w:color="auto" w:fill="B4D3F3" w:themeFill="accent1" w:themeFillTint="33"/>
      </w:tcPr>
    </w:tblStylePr>
    <w:tblStylePr w:type="neCell">
      <w:tblPr/>
      <w:tcPr>
        <w:tcBorders>
          <w:bottom w:val="single" w:sz="4" w:space="0" w:color="217BDD" w:themeColor="accent1" w:themeTint="99"/>
        </w:tcBorders>
      </w:tcPr>
    </w:tblStylePr>
    <w:tblStylePr w:type="nwCell">
      <w:tblPr/>
      <w:tcPr>
        <w:tcBorders>
          <w:bottom w:val="single" w:sz="4" w:space="0" w:color="217BDD" w:themeColor="accent1" w:themeTint="99"/>
        </w:tcBorders>
      </w:tcPr>
    </w:tblStylePr>
    <w:tblStylePr w:type="seCell">
      <w:tblPr/>
      <w:tcPr>
        <w:tcBorders>
          <w:top w:val="single" w:sz="4" w:space="0" w:color="217BDD" w:themeColor="accent1" w:themeTint="99"/>
        </w:tcBorders>
      </w:tcPr>
    </w:tblStylePr>
    <w:tblStylePr w:type="swCell">
      <w:tblPr/>
      <w:tcPr>
        <w:tcBorders>
          <w:top w:val="single" w:sz="4" w:space="0" w:color="217BDD" w:themeColor="accent1" w:themeTint="99"/>
        </w:tcBorders>
      </w:tcPr>
    </w:tblStylePr>
  </w:style>
  <w:style w:type="table" w:styleId="GridTable3-Accent2">
    <w:name w:val="Grid Table 3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6D3D2" w:themeFill="accent2" w:themeFillTint="33"/>
      </w:tcPr>
    </w:tblStylePr>
    <w:tblStylePr w:type="band1Horz">
      <w:tblPr/>
      <w:tcPr>
        <w:shd w:val="clear" w:color="auto" w:fill="F6D3D2" w:themeFill="accent2" w:themeFillTint="33"/>
      </w:tcPr>
    </w:tblStylePr>
    <w:tblStylePr w:type="neCell">
      <w:tblPr/>
      <w:tcPr>
        <w:tcBorders>
          <w:bottom w:val="single" w:sz="4" w:space="0" w:color="E67C79" w:themeColor="accent2" w:themeTint="99"/>
        </w:tcBorders>
      </w:tcPr>
    </w:tblStylePr>
    <w:tblStylePr w:type="nwCell">
      <w:tblPr/>
      <w:tcPr>
        <w:tcBorders>
          <w:bottom w:val="single" w:sz="4" w:space="0" w:color="E67C79" w:themeColor="accent2" w:themeTint="99"/>
        </w:tcBorders>
      </w:tcPr>
    </w:tblStylePr>
    <w:tblStylePr w:type="seCell">
      <w:tblPr/>
      <w:tcPr>
        <w:tcBorders>
          <w:top w:val="single" w:sz="4" w:space="0" w:color="E67C79" w:themeColor="accent2" w:themeTint="99"/>
        </w:tcBorders>
      </w:tcPr>
    </w:tblStylePr>
    <w:tblStylePr w:type="swCell">
      <w:tblPr/>
      <w:tcPr>
        <w:tcBorders>
          <w:top w:val="single" w:sz="4" w:space="0" w:color="E67C79" w:themeColor="accent2" w:themeTint="99"/>
        </w:tcBorders>
      </w:tcPr>
    </w:tblStylePr>
  </w:style>
  <w:style w:type="table" w:styleId="GridTable3-Accent3">
    <w:name w:val="Grid Table 3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DE0E3" w:themeFill="accent3" w:themeFillTint="33"/>
      </w:tcPr>
    </w:tblStylePr>
    <w:tblStylePr w:type="band1Horz">
      <w:tblPr/>
      <w:tcPr>
        <w:shd w:val="clear" w:color="auto" w:fill="DDE0E3" w:themeFill="accent3" w:themeFillTint="33"/>
      </w:tcPr>
    </w:tblStylePr>
    <w:tblStylePr w:type="neCell">
      <w:tblPr/>
      <w:tcPr>
        <w:tcBorders>
          <w:bottom w:val="single" w:sz="4" w:space="0" w:color="99A4AD" w:themeColor="accent3" w:themeTint="99"/>
        </w:tcBorders>
      </w:tcPr>
    </w:tblStylePr>
    <w:tblStylePr w:type="nwCell">
      <w:tblPr/>
      <w:tcPr>
        <w:tcBorders>
          <w:bottom w:val="single" w:sz="4" w:space="0" w:color="99A4AD" w:themeColor="accent3" w:themeTint="99"/>
        </w:tcBorders>
      </w:tcPr>
    </w:tblStylePr>
    <w:tblStylePr w:type="seCell">
      <w:tblPr/>
      <w:tcPr>
        <w:tcBorders>
          <w:top w:val="single" w:sz="4" w:space="0" w:color="99A4AD" w:themeColor="accent3" w:themeTint="99"/>
        </w:tcBorders>
      </w:tcPr>
    </w:tblStylePr>
    <w:tblStylePr w:type="swCell">
      <w:tblPr/>
      <w:tcPr>
        <w:tcBorders>
          <w:top w:val="single" w:sz="4" w:space="0" w:color="99A4AD" w:themeColor="accent3" w:themeTint="99"/>
        </w:tcBorders>
      </w:tcPr>
    </w:tblStylePr>
  </w:style>
  <w:style w:type="table" w:styleId="GridTable3-Accent4">
    <w:name w:val="Grid Table 3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F0D1" w:themeFill="accent4" w:themeFillTint="33"/>
      </w:tcPr>
    </w:tblStylePr>
    <w:tblStylePr w:type="band1Horz">
      <w:tblPr/>
      <w:tcPr>
        <w:shd w:val="clear" w:color="auto" w:fill="FCF0D1" w:themeFill="accent4" w:themeFillTint="33"/>
      </w:tcPr>
    </w:tblStylePr>
    <w:tblStylePr w:type="neCell">
      <w:tblPr/>
      <w:tcPr>
        <w:tcBorders>
          <w:bottom w:val="single" w:sz="4" w:space="0" w:color="F6D276" w:themeColor="accent4" w:themeTint="99"/>
        </w:tcBorders>
      </w:tcPr>
    </w:tblStylePr>
    <w:tblStylePr w:type="nwCell">
      <w:tblPr/>
      <w:tcPr>
        <w:tcBorders>
          <w:bottom w:val="single" w:sz="4" w:space="0" w:color="F6D276" w:themeColor="accent4" w:themeTint="99"/>
        </w:tcBorders>
      </w:tcPr>
    </w:tblStylePr>
    <w:tblStylePr w:type="seCell">
      <w:tblPr/>
      <w:tcPr>
        <w:tcBorders>
          <w:top w:val="single" w:sz="4" w:space="0" w:color="F6D276" w:themeColor="accent4" w:themeTint="99"/>
        </w:tcBorders>
      </w:tcPr>
    </w:tblStylePr>
    <w:tblStylePr w:type="swCell">
      <w:tblPr/>
      <w:tcPr>
        <w:tcBorders>
          <w:top w:val="single" w:sz="4" w:space="0" w:color="F6D276" w:themeColor="accent4" w:themeTint="99"/>
        </w:tcBorders>
      </w:tcPr>
    </w:tblStylePr>
  </w:style>
  <w:style w:type="table" w:styleId="GridTable3-Accent5">
    <w:name w:val="Grid Table 3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4F5F5" w:themeFill="accent5" w:themeFillTint="33"/>
      </w:tcPr>
    </w:tblStylePr>
    <w:tblStylePr w:type="band1Horz">
      <w:tblPr/>
      <w:tcPr>
        <w:shd w:val="clear" w:color="auto" w:fill="C4F5F5" w:themeFill="accent5" w:themeFillTint="33"/>
      </w:tcPr>
    </w:tblStylePr>
    <w:tblStylePr w:type="neCell">
      <w:tblPr/>
      <w:tcPr>
        <w:tcBorders>
          <w:bottom w:val="single" w:sz="4" w:space="0" w:color="50E1E2" w:themeColor="accent5" w:themeTint="99"/>
        </w:tcBorders>
      </w:tcPr>
    </w:tblStylePr>
    <w:tblStylePr w:type="nwCell">
      <w:tblPr/>
      <w:tcPr>
        <w:tcBorders>
          <w:bottom w:val="single" w:sz="4" w:space="0" w:color="50E1E2" w:themeColor="accent5" w:themeTint="99"/>
        </w:tcBorders>
      </w:tcPr>
    </w:tblStylePr>
    <w:tblStylePr w:type="seCell">
      <w:tblPr/>
      <w:tcPr>
        <w:tcBorders>
          <w:top w:val="single" w:sz="4" w:space="0" w:color="50E1E2" w:themeColor="accent5" w:themeTint="99"/>
        </w:tcBorders>
      </w:tcPr>
    </w:tblStylePr>
    <w:tblStylePr w:type="swCell">
      <w:tblPr/>
      <w:tcPr>
        <w:tcBorders>
          <w:top w:val="single" w:sz="4" w:space="0" w:color="50E1E2" w:themeColor="accent5" w:themeTint="99"/>
        </w:tcBorders>
      </w:tcPr>
    </w:tblStylePr>
  </w:style>
  <w:style w:type="table" w:styleId="GridTable3-Accent6">
    <w:name w:val="Grid Table 3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7E5" w:themeFill="accent6" w:themeFillTint="33"/>
      </w:tcPr>
    </w:tblStylePr>
    <w:tblStylePr w:type="band1Horz">
      <w:tblPr/>
      <w:tcPr>
        <w:shd w:val="clear" w:color="auto" w:fill="C6F7E5" w:themeFill="accent6" w:themeFillTint="33"/>
      </w:tcPr>
    </w:tblStylePr>
    <w:tblStylePr w:type="neCell">
      <w:tblPr/>
      <w:tcPr>
        <w:tcBorders>
          <w:bottom w:val="single" w:sz="4" w:space="0" w:color="55E7B3" w:themeColor="accent6" w:themeTint="99"/>
        </w:tcBorders>
      </w:tcPr>
    </w:tblStylePr>
    <w:tblStylePr w:type="nwCell">
      <w:tblPr/>
      <w:tcPr>
        <w:tcBorders>
          <w:bottom w:val="single" w:sz="4" w:space="0" w:color="55E7B3" w:themeColor="accent6" w:themeTint="99"/>
        </w:tcBorders>
      </w:tcPr>
    </w:tblStylePr>
    <w:tblStylePr w:type="seCell">
      <w:tblPr/>
      <w:tcPr>
        <w:tcBorders>
          <w:top w:val="single" w:sz="4" w:space="0" w:color="55E7B3" w:themeColor="accent6" w:themeTint="99"/>
        </w:tcBorders>
      </w:tcPr>
    </w:tblStylePr>
    <w:tblStylePr w:type="swCell">
      <w:tblPr/>
      <w:tcPr>
        <w:tcBorders>
          <w:top w:val="single" w:sz="4" w:space="0" w:color="55E7B3" w:themeColor="accent6" w:themeTint="99"/>
        </w:tcBorders>
      </w:tcPr>
    </w:tblStylePr>
  </w:style>
  <w:style w:type="table" w:styleId="GridTable4">
    <w:name w:val="Grid Table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2">
    <w:name w:val="Grid Table 4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color w:val="FFFFFF" w:themeColor="background1"/>
      </w:rPr>
      <w:tblPr/>
      <w:tcPr>
        <w:tcBorders>
          <w:top w:val="single" w:sz="4" w:space="0" w:color="D02B27" w:themeColor="accent2"/>
          <w:left w:val="single" w:sz="4" w:space="0" w:color="D02B27" w:themeColor="accent2"/>
          <w:bottom w:val="single" w:sz="4" w:space="0" w:color="D02B27" w:themeColor="accent2"/>
          <w:right w:val="single" w:sz="4" w:space="0" w:color="D02B27" w:themeColor="accent2"/>
          <w:insideH w:val="nil"/>
          <w:insideV w:val="nil"/>
        </w:tcBorders>
        <w:shd w:val="clear" w:color="auto" w:fill="D02B27" w:themeFill="accent2"/>
      </w:tcPr>
    </w:tblStylePr>
    <w:tblStylePr w:type="lastRow">
      <w:rPr>
        <w:b/>
        <w:bCs/>
      </w:rPr>
      <w:tblPr/>
      <w:tcPr>
        <w:tcBorders>
          <w:top w:val="double" w:sz="4" w:space="0" w:color="D02B27" w:themeColor="accent2"/>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GridTable4-Accent3">
    <w:name w:val="Grid Table 4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color w:val="FFFFFF" w:themeColor="background1"/>
      </w:rPr>
      <w:tblPr/>
      <w:tcPr>
        <w:tcBorders>
          <w:top w:val="single" w:sz="4" w:space="0" w:color="5B6771" w:themeColor="accent3"/>
          <w:left w:val="single" w:sz="4" w:space="0" w:color="5B6771" w:themeColor="accent3"/>
          <w:bottom w:val="single" w:sz="4" w:space="0" w:color="5B6771" w:themeColor="accent3"/>
          <w:right w:val="single" w:sz="4" w:space="0" w:color="5B6771" w:themeColor="accent3"/>
          <w:insideH w:val="nil"/>
          <w:insideV w:val="nil"/>
        </w:tcBorders>
        <w:shd w:val="clear" w:color="auto" w:fill="5B6771" w:themeFill="accent3"/>
      </w:tcPr>
    </w:tblStylePr>
    <w:tblStylePr w:type="lastRow">
      <w:rPr>
        <w:b/>
        <w:bCs/>
      </w:rPr>
      <w:tblPr/>
      <w:tcPr>
        <w:tcBorders>
          <w:top w:val="double" w:sz="4" w:space="0" w:color="5B6771" w:themeColor="accent3"/>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GridTable4-Accent4">
    <w:name w:val="Grid Table 4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color w:val="FFFFFF" w:themeColor="background1"/>
      </w:rPr>
      <w:tblPr/>
      <w:tcPr>
        <w:tcBorders>
          <w:top w:val="single" w:sz="4" w:space="0" w:color="F1B51C" w:themeColor="accent4"/>
          <w:left w:val="single" w:sz="4" w:space="0" w:color="F1B51C" w:themeColor="accent4"/>
          <w:bottom w:val="single" w:sz="4" w:space="0" w:color="F1B51C" w:themeColor="accent4"/>
          <w:right w:val="single" w:sz="4" w:space="0" w:color="F1B51C" w:themeColor="accent4"/>
          <w:insideH w:val="nil"/>
          <w:insideV w:val="nil"/>
        </w:tcBorders>
        <w:shd w:val="clear" w:color="auto" w:fill="F1B51C" w:themeFill="accent4"/>
      </w:tcPr>
    </w:tblStylePr>
    <w:tblStylePr w:type="lastRow">
      <w:rPr>
        <w:b/>
        <w:bCs/>
      </w:rPr>
      <w:tblPr/>
      <w:tcPr>
        <w:tcBorders>
          <w:top w:val="double" w:sz="4" w:space="0" w:color="F1B51C" w:themeColor="accent4"/>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GridTable4-Accent5">
    <w:name w:val="Grid Table 4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color w:val="FFFFFF" w:themeColor="background1"/>
      </w:rPr>
      <w:tblPr/>
      <w:tcPr>
        <w:tcBorders>
          <w:top w:val="single" w:sz="4" w:space="0" w:color="189394" w:themeColor="accent5"/>
          <w:left w:val="single" w:sz="4" w:space="0" w:color="189394" w:themeColor="accent5"/>
          <w:bottom w:val="single" w:sz="4" w:space="0" w:color="189394" w:themeColor="accent5"/>
          <w:right w:val="single" w:sz="4" w:space="0" w:color="189394" w:themeColor="accent5"/>
          <w:insideH w:val="nil"/>
          <w:insideV w:val="nil"/>
        </w:tcBorders>
        <w:shd w:val="clear" w:color="auto" w:fill="189394" w:themeFill="accent5"/>
      </w:tcPr>
    </w:tblStylePr>
    <w:tblStylePr w:type="lastRow">
      <w:rPr>
        <w:b/>
        <w:bCs/>
      </w:rPr>
      <w:tblPr/>
      <w:tcPr>
        <w:tcBorders>
          <w:top w:val="double" w:sz="4" w:space="0" w:color="189394" w:themeColor="accent5"/>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GridTable4-Accent6">
    <w:name w:val="Grid Table 4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color w:val="FFFFFF" w:themeColor="background1"/>
      </w:rPr>
      <w:tblPr/>
      <w:tcPr>
        <w:tcBorders>
          <w:top w:val="single" w:sz="4" w:space="0" w:color="17A673" w:themeColor="accent6"/>
          <w:left w:val="single" w:sz="4" w:space="0" w:color="17A673" w:themeColor="accent6"/>
          <w:bottom w:val="single" w:sz="4" w:space="0" w:color="17A673" w:themeColor="accent6"/>
          <w:right w:val="single" w:sz="4" w:space="0" w:color="17A673" w:themeColor="accent6"/>
          <w:insideH w:val="nil"/>
          <w:insideV w:val="nil"/>
        </w:tcBorders>
        <w:shd w:val="clear" w:color="auto" w:fill="17A673" w:themeFill="accent6"/>
      </w:tcPr>
    </w:tblStylePr>
    <w:tblStylePr w:type="lastRow">
      <w:rPr>
        <w:b/>
        <w:bCs/>
      </w:rPr>
      <w:tblPr/>
      <w:tcPr>
        <w:tcBorders>
          <w:top w:val="double" w:sz="4" w:space="0" w:color="17A673" w:themeColor="accent6"/>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GridTable5Dark">
    <w:name w:val="Grid Table 5 Dark"/>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4D3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B2949"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B2949"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B2949"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B2949" w:themeFill="accent1"/>
      </w:tcPr>
    </w:tblStylePr>
    <w:tblStylePr w:type="band1Vert">
      <w:tblPr/>
      <w:tcPr>
        <w:shd w:val="clear" w:color="auto" w:fill="6AA7E8" w:themeFill="accent1" w:themeFillTint="66"/>
      </w:tcPr>
    </w:tblStylePr>
    <w:tblStylePr w:type="band1Horz">
      <w:tblPr/>
      <w:tcPr>
        <w:shd w:val="clear" w:color="auto" w:fill="6AA7E8" w:themeFill="accent1" w:themeFillTint="66"/>
      </w:tcPr>
    </w:tblStylePr>
  </w:style>
  <w:style w:type="table" w:styleId="GridTable5Dark-Accent2">
    <w:name w:val="Grid Table 5 Dark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6D3D2"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02B27"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02B27"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02B27"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02B27" w:themeFill="accent2"/>
      </w:tcPr>
    </w:tblStylePr>
    <w:tblStylePr w:type="band1Vert">
      <w:tblPr/>
      <w:tcPr>
        <w:shd w:val="clear" w:color="auto" w:fill="EEA7A6" w:themeFill="accent2" w:themeFillTint="66"/>
      </w:tcPr>
    </w:tblStylePr>
    <w:tblStylePr w:type="band1Horz">
      <w:tblPr/>
      <w:tcPr>
        <w:shd w:val="clear" w:color="auto" w:fill="EEA7A6" w:themeFill="accent2" w:themeFillTint="66"/>
      </w:tcPr>
    </w:tblStylePr>
  </w:style>
  <w:style w:type="table" w:styleId="GridTable5Dark-Accent3">
    <w:name w:val="Grid Table 5 Dark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DE0E3"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6771"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6771"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6771"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6771" w:themeFill="accent3"/>
      </w:tcPr>
    </w:tblStylePr>
    <w:tblStylePr w:type="band1Vert">
      <w:tblPr/>
      <w:tcPr>
        <w:shd w:val="clear" w:color="auto" w:fill="BBC2C8" w:themeFill="accent3" w:themeFillTint="66"/>
      </w:tcPr>
    </w:tblStylePr>
    <w:tblStylePr w:type="band1Horz">
      <w:tblPr/>
      <w:tcPr>
        <w:shd w:val="clear" w:color="auto" w:fill="BBC2C8" w:themeFill="accent3" w:themeFillTint="66"/>
      </w:tcPr>
    </w:tblStylePr>
  </w:style>
  <w:style w:type="table" w:styleId="GridTable5Dark-Accent4">
    <w:name w:val="Grid Table 5 Dark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CF0D1"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1B51C"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1B51C"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1B51C"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1B51C" w:themeFill="accent4"/>
      </w:tcPr>
    </w:tblStylePr>
    <w:tblStylePr w:type="band1Vert">
      <w:tblPr/>
      <w:tcPr>
        <w:shd w:val="clear" w:color="auto" w:fill="F9E1A3" w:themeFill="accent4" w:themeFillTint="66"/>
      </w:tcPr>
    </w:tblStylePr>
    <w:tblStylePr w:type="band1Horz">
      <w:tblPr/>
      <w:tcPr>
        <w:shd w:val="clear" w:color="auto" w:fill="F9E1A3" w:themeFill="accent4" w:themeFillTint="66"/>
      </w:tcPr>
    </w:tblStylePr>
  </w:style>
  <w:style w:type="table" w:styleId="GridTable5Dark-Accent5">
    <w:name w:val="Grid Table 5 Dark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4F5F5"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89394"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89394"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89394"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89394" w:themeFill="accent5"/>
      </w:tcPr>
    </w:tblStylePr>
    <w:tblStylePr w:type="band1Vert">
      <w:tblPr/>
      <w:tcPr>
        <w:shd w:val="clear" w:color="auto" w:fill="8AEBEC" w:themeFill="accent5" w:themeFillTint="66"/>
      </w:tcPr>
    </w:tblStylePr>
    <w:tblStylePr w:type="band1Horz">
      <w:tblPr/>
      <w:tcPr>
        <w:shd w:val="clear" w:color="auto" w:fill="8AEBEC" w:themeFill="accent5" w:themeFillTint="66"/>
      </w:tcPr>
    </w:tblStylePr>
  </w:style>
  <w:style w:type="table" w:styleId="GridTable5Dark-Accent6">
    <w:name w:val="Grid Table 5 Dark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6F7E5"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7A673"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7A673"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7A673"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7A673" w:themeFill="accent6"/>
      </w:tcPr>
    </w:tblStylePr>
    <w:tblStylePr w:type="band1Vert">
      <w:tblPr/>
      <w:tcPr>
        <w:shd w:val="clear" w:color="auto" w:fill="8EEFCC" w:themeFill="accent6" w:themeFillTint="66"/>
      </w:tcPr>
    </w:tblStylePr>
    <w:tblStylePr w:type="band1Horz">
      <w:tblPr/>
      <w:tcPr>
        <w:shd w:val="clear" w:color="auto" w:fill="8EEFCC" w:themeFill="accent6" w:themeFillTint="66"/>
      </w:tcPr>
    </w:tblStylePr>
  </w:style>
  <w:style w:type="table" w:styleId="GridTable6Colorful">
    <w:name w:val="Grid Table 6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rPr>
      <w:tblPr/>
      <w:tcPr>
        <w:tcBorders>
          <w:bottom w:val="single" w:sz="12" w:space="0" w:color="217BDD" w:themeColor="accent1" w:themeTint="99"/>
        </w:tcBorders>
      </w:tcPr>
    </w:tblStylePr>
    <w:tblStylePr w:type="lastRow">
      <w:rPr>
        <w:b/>
        <w:bCs/>
      </w:rPr>
      <w:tblPr/>
      <w:tcPr>
        <w:tcBorders>
          <w:top w:val="double" w:sz="4" w:space="0" w:color="217BDD" w:themeColor="accent1" w:themeTint="99"/>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GridTable6Colorful-Accent2">
    <w:name w:val="Grid Table 6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rPr>
      <w:tblPr/>
      <w:tcPr>
        <w:tcBorders>
          <w:bottom w:val="single" w:sz="12" w:space="0" w:color="E67C79" w:themeColor="accent2" w:themeTint="99"/>
        </w:tcBorders>
      </w:tcPr>
    </w:tblStylePr>
    <w:tblStylePr w:type="lastRow">
      <w:rPr>
        <w:b/>
        <w:bCs/>
      </w:rPr>
      <w:tblPr/>
      <w:tcPr>
        <w:tcBorders>
          <w:top w:val="double" w:sz="4" w:space="0" w:color="E67C79" w:themeColor="accent2" w:themeTint="99"/>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GridTable6Colorful-Accent3">
    <w:name w:val="Grid Table 6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rPr>
      <w:tblPr/>
      <w:tcPr>
        <w:tcBorders>
          <w:bottom w:val="single" w:sz="12" w:space="0" w:color="99A4AD" w:themeColor="accent3" w:themeTint="99"/>
        </w:tcBorders>
      </w:tcPr>
    </w:tblStylePr>
    <w:tblStylePr w:type="lastRow">
      <w:rPr>
        <w:b/>
        <w:bCs/>
      </w:rPr>
      <w:tblPr/>
      <w:tcPr>
        <w:tcBorders>
          <w:top w:val="double" w:sz="4" w:space="0" w:color="99A4AD" w:themeColor="accent3" w:themeTint="99"/>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GridTable6Colorful-Accent4">
    <w:name w:val="Grid Table 6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rPr>
      <w:tblPr/>
      <w:tcPr>
        <w:tcBorders>
          <w:bottom w:val="single" w:sz="12" w:space="0" w:color="F6D276" w:themeColor="accent4" w:themeTint="99"/>
        </w:tcBorders>
      </w:tcPr>
    </w:tblStylePr>
    <w:tblStylePr w:type="lastRow">
      <w:rPr>
        <w:b/>
        <w:bCs/>
      </w:rPr>
      <w:tblPr/>
      <w:tcPr>
        <w:tcBorders>
          <w:top w:val="double" w:sz="4" w:space="0" w:color="F6D276" w:themeColor="accent4" w:themeTint="99"/>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GridTable6Colorful-Accent5">
    <w:name w:val="Grid Table 6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rPr>
      <w:tblPr/>
      <w:tcPr>
        <w:tcBorders>
          <w:bottom w:val="single" w:sz="12" w:space="0" w:color="50E1E2" w:themeColor="accent5" w:themeTint="99"/>
        </w:tcBorders>
      </w:tcPr>
    </w:tblStylePr>
    <w:tblStylePr w:type="lastRow">
      <w:rPr>
        <w:b/>
        <w:bCs/>
      </w:rPr>
      <w:tblPr/>
      <w:tcPr>
        <w:tcBorders>
          <w:top w:val="double" w:sz="4" w:space="0" w:color="50E1E2" w:themeColor="accent5" w:themeTint="99"/>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GridTable6Colorful-Accent6">
    <w:name w:val="Grid Table 6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rPr>
      <w:tblPr/>
      <w:tcPr>
        <w:tcBorders>
          <w:bottom w:val="single" w:sz="12" w:space="0" w:color="55E7B3" w:themeColor="accent6" w:themeTint="99"/>
        </w:tcBorders>
      </w:tcPr>
    </w:tblStylePr>
    <w:tblStylePr w:type="lastRow">
      <w:rPr>
        <w:b/>
        <w:bCs/>
      </w:rPr>
      <w:tblPr/>
      <w:tcPr>
        <w:tcBorders>
          <w:top w:val="double" w:sz="4" w:space="0" w:color="55E7B3" w:themeColor="accent6" w:themeTint="99"/>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GridTable7Colorful">
    <w:name w:val="Grid Table 7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insideV w:val="single" w:sz="4" w:space="0" w:color="217BDD"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B4D3F3" w:themeFill="accent1" w:themeFillTint="33"/>
      </w:tcPr>
    </w:tblStylePr>
    <w:tblStylePr w:type="band1Horz">
      <w:tblPr/>
      <w:tcPr>
        <w:shd w:val="clear" w:color="auto" w:fill="B4D3F3" w:themeFill="accent1" w:themeFillTint="33"/>
      </w:tcPr>
    </w:tblStylePr>
    <w:tblStylePr w:type="neCell">
      <w:tblPr/>
      <w:tcPr>
        <w:tcBorders>
          <w:bottom w:val="single" w:sz="4" w:space="0" w:color="217BDD" w:themeColor="accent1" w:themeTint="99"/>
        </w:tcBorders>
      </w:tcPr>
    </w:tblStylePr>
    <w:tblStylePr w:type="nwCell">
      <w:tblPr/>
      <w:tcPr>
        <w:tcBorders>
          <w:bottom w:val="single" w:sz="4" w:space="0" w:color="217BDD" w:themeColor="accent1" w:themeTint="99"/>
        </w:tcBorders>
      </w:tcPr>
    </w:tblStylePr>
    <w:tblStylePr w:type="seCell">
      <w:tblPr/>
      <w:tcPr>
        <w:tcBorders>
          <w:top w:val="single" w:sz="4" w:space="0" w:color="217BDD" w:themeColor="accent1" w:themeTint="99"/>
        </w:tcBorders>
      </w:tcPr>
    </w:tblStylePr>
    <w:tblStylePr w:type="swCell">
      <w:tblPr/>
      <w:tcPr>
        <w:tcBorders>
          <w:top w:val="single" w:sz="4" w:space="0" w:color="217BDD" w:themeColor="accent1" w:themeTint="99"/>
        </w:tcBorders>
      </w:tcPr>
    </w:tblStylePr>
  </w:style>
  <w:style w:type="table" w:styleId="GridTable7Colorful-Accent2">
    <w:name w:val="Grid Table 7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insideV w:val="single" w:sz="4" w:space="0" w:color="E67C79"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6D3D2" w:themeFill="accent2" w:themeFillTint="33"/>
      </w:tcPr>
    </w:tblStylePr>
    <w:tblStylePr w:type="band1Horz">
      <w:tblPr/>
      <w:tcPr>
        <w:shd w:val="clear" w:color="auto" w:fill="F6D3D2" w:themeFill="accent2" w:themeFillTint="33"/>
      </w:tcPr>
    </w:tblStylePr>
    <w:tblStylePr w:type="neCell">
      <w:tblPr/>
      <w:tcPr>
        <w:tcBorders>
          <w:bottom w:val="single" w:sz="4" w:space="0" w:color="E67C79" w:themeColor="accent2" w:themeTint="99"/>
        </w:tcBorders>
      </w:tcPr>
    </w:tblStylePr>
    <w:tblStylePr w:type="nwCell">
      <w:tblPr/>
      <w:tcPr>
        <w:tcBorders>
          <w:bottom w:val="single" w:sz="4" w:space="0" w:color="E67C79" w:themeColor="accent2" w:themeTint="99"/>
        </w:tcBorders>
      </w:tcPr>
    </w:tblStylePr>
    <w:tblStylePr w:type="seCell">
      <w:tblPr/>
      <w:tcPr>
        <w:tcBorders>
          <w:top w:val="single" w:sz="4" w:space="0" w:color="E67C79" w:themeColor="accent2" w:themeTint="99"/>
        </w:tcBorders>
      </w:tcPr>
    </w:tblStylePr>
    <w:tblStylePr w:type="swCell">
      <w:tblPr/>
      <w:tcPr>
        <w:tcBorders>
          <w:top w:val="single" w:sz="4" w:space="0" w:color="E67C79" w:themeColor="accent2" w:themeTint="99"/>
        </w:tcBorders>
      </w:tcPr>
    </w:tblStylePr>
  </w:style>
  <w:style w:type="table" w:styleId="GridTable7Colorful-Accent3">
    <w:name w:val="Grid Table 7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insideV w:val="single" w:sz="4" w:space="0" w:color="99A4AD"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DE0E3" w:themeFill="accent3" w:themeFillTint="33"/>
      </w:tcPr>
    </w:tblStylePr>
    <w:tblStylePr w:type="band1Horz">
      <w:tblPr/>
      <w:tcPr>
        <w:shd w:val="clear" w:color="auto" w:fill="DDE0E3" w:themeFill="accent3" w:themeFillTint="33"/>
      </w:tcPr>
    </w:tblStylePr>
    <w:tblStylePr w:type="neCell">
      <w:tblPr/>
      <w:tcPr>
        <w:tcBorders>
          <w:bottom w:val="single" w:sz="4" w:space="0" w:color="99A4AD" w:themeColor="accent3" w:themeTint="99"/>
        </w:tcBorders>
      </w:tcPr>
    </w:tblStylePr>
    <w:tblStylePr w:type="nwCell">
      <w:tblPr/>
      <w:tcPr>
        <w:tcBorders>
          <w:bottom w:val="single" w:sz="4" w:space="0" w:color="99A4AD" w:themeColor="accent3" w:themeTint="99"/>
        </w:tcBorders>
      </w:tcPr>
    </w:tblStylePr>
    <w:tblStylePr w:type="seCell">
      <w:tblPr/>
      <w:tcPr>
        <w:tcBorders>
          <w:top w:val="single" w:sz="4" w:space="0" w:color="99A4AD" w:themeColor="accent3" w:themeTint="99"/>
        </w:tcBorders>
      </w:tcPr>
    </w:tblStylePr>
    <w:tblStylePr w:type="swCell">
      <w:tblPr/>
      <w:tcPr>
        <w:tcBorders>
          <w:top w:val="single" w:sz="4" w:space="0" w:color="99A4AD" w:themeColor="accent3" w:themeTint="99"/>
        </w:tcBorders>
      </w:tcPr>
    </w:tblStylePr>
  </w:style>
  <w:style w:type="table" w:styleId="GridTable7Colorful-Accent4">
    <w:name w:val="Grid Table 7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insideV w:val="single" w:sz="4" w:space="0" w:color="F6D27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CF0D1" w:themeFill="accent4" w:themeFillTint="33"/>
      </w:tcPr>
    </w:tblStylePr>
    <w:tblStylePr w:type="band1Horz">
      <w:tblPr/>
      <w:tcPr>
        <w:shd w:val="clear" w:color="auto" w:fill="FCF0D1" w:themeFill="accent4" w:themeFillTint="33"/>
      </w:tcPr>
    </w:tblStylePr>
    <w:tblStylePr w:type="neCell">
      <w:tblPr/>
      <w:tcPr>
        <w:tcBorders>
          <w:bottom w:val="single" w:sz="4" w:space="0" w:color="F6D276" w:themeColor="accent4" w:themeTint="99"/>
        </w:tcBorders>
      </w:tcPr>
    </w:tblStylePr>
    <w:tblStylePr w:type="nwCell">
      <w:tblPr/>
      <w:tcPr>
        <w:tcBorders>
          <w:bottom w:val="single" w:sz="4" w:space="0" w:color="F6D276" w:themeColor="accent4" w:themeTint="99"/>
        </w:tcBorders>
      </w:tcPr>
    </w:tblStylePr>
    <w:tblStylePr w:type="seCell">
      <w:tblPr/>
      <w:tcPr>
        <w:tcBorders>
          <w:top w:val="single" w:sz="4" w:space="0" w:color="F6D276" w:themeColor="accent4" w:themeTint="99"/>
        </w:tcBorders>
      </w:tcPr>
    </w:tblStylePr>
    <w:tblStylePr w:type="swCell">
      <w:tblPr/>
      <w:tcPr>
        <w:tcBorders>
          <w:top w:val="single" w:sz="4" w:space="0" w:color="F6D276" w:themeColor="accent4" w:themeTint="99"/>
        </w:tcBorders>
      </w:tcPr>
    </w:tblStylePr>
  </w:style>
  <w:style w:type="table" w:styleId="GridTable7Colorful-Accent5">
    <w:name w:val="Grid Table 7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insideV w:val="single" w:sz="4" w:space="0" w:color="50E1E2"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4F5F5" w:themeFill="accent5" w:themeFillTint="33"/>
      </w:tcPr>
    </w:tblStylePr>
    <w:tblStylePr w:type="band1Horz">
      <w:tblPr/>
      <w:tcPr>
        <w:shd w:val="clear" w:color="auto" w:fill="C4F5F5" w:themeFill="accent5" w:themeFillTint="33"/>
      </w:tcPr>
    </w:tblStylePr>
    <w:tblStylePr w:type="neCell">
      <w:tblPr/>
      <w:tcPr>
        <w:tcBorders>
          <w:bottom w:val="single" w:sz="4" w:space="0" w:color="50E1E2" w:themeColor="accent5" w:themeTint="99"/>
        </w:tcBorders>
      </w:tcPr>
    </w:tblStylePr>
    <w:tblStylePr w:type="nwCell">
      <w:tblPr/>
      <w:tcPr>
        <w:tcBorders>
          <w:bottom w:val="single" w:sz="4" w:space="0" w:color="50E1E2" w:themeColor="accent5" w:themeTint="99"/>
        </w:tcBorders>
      </w:tcPr>
    </w:tblStylePr>
    <w:tblStylePr w:type="seCell">
      <w:tblPr/>
      <w:tcPr>
        <w:tcBorders>
          <w:top w:val="single" w:sz="4" w:space="0" w:color="50E1E2" w:themeColor="accent5" w:themeTint="99"/>
        </w:tcBorders>
      </w:tcPr>
    </w:tblStylePr>
    <w:tblStylePr w:type="swCell">
      <w:tblPr/>
      <w:tcPr>
        <w:tcBorders>
          <w:top w:val="single" w:sz="4" w:space="0" w:color="50E1E2" w:themeColor="accent5" w:themeTint="99"/>
        </w:tcBorders>
      </w:tcPr>
    </w:tblStylePr>
  </w:style>
  <w:style w:type="table" w:styleId="GridTable7Colorful-Accent6">
    <w:name w:val="Grid Table 7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insideV w:val="single" w:sz="4" w:space="0" w:color="55E7B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6F7E5" w:themeFill="accent6" w:themeFillTint="33"/>
      </w:tcPr>
    </w:tblStylePr>
    <w:tblStylePr w:type="band1Horz">
      <w:tblPr/>
      <w:tcPr>
        <w:shd w:val="clear" w:color="auto" w:fill="C6F7E5" w:themeFill="accent6" w:themeFillTint="33"/>
      </w:tcPr>
    </w:tblStylePr>
    <w:tblStylePr w:type="neCell">
      <w:tblPr/>
      <w:tcPr>
        <w:tcBorders>
          <w:bottom w:val="single" w:sz="4" w:space="0" w:color="55E7B3" w:themeColor="accent6" w:themeTint="99"/>
        </w:tcBorders>
      </w:tcPr>
    </w:tblStylePr>
    <w:tblStylePr w:type="nwCell">
      <w:tblPr/>
      <w:tcPr>
        <w:tcBorders>
          <w:bottom w:val="single" w:sz="4" w:space="0" w:color="55E7B3" w:themeColor="accent6" w:themeTint="99"/>
        </w:tcBorders>
      </w:tcPr>
    </w:tblStylePr>
    <w:tblStylePr w:type="seCell">
      <w:tblPr/>
      <w:tcPr>
        <w:tcBorders>
          <w:top w:val="single" w:sz="4" w:space="0" w:color="55E7B3" w:themeColor="accent6" w:themeTint="99"/>
        </w:tcBorders>
      </w:tcPr>
    </w:tblStylePr>
    <w:tblStylePr w:type="swCell">
      <w:tblPr/>
      <w:tcPr>
        <w:tcBorders>
          <w:top w:val="single" w:sz="4" w:space="0" w:color="55E7B3" w:themeColor="accent6" w:themeTint="99"/>
        </w:tcBorders>
      </w:tcPr>
    </w:tblStylePr>
  </w:style>
  <w:style w:type="character" w:styleId="Hashtag">
    <w:name w:val="Hashtag"/>
    <w:basedOn w:val="DefaultParagraphFont"/>
    <w:qFormat/>
    <w:rsid w:val="00570E30"/>
    <w:rPr>
      <w:color w:val="2B579A"/>
      <w:shd w:val="clear" w:color="auto" w:fill="E1DFDD"/>
    </w:rPr>
  </w:style>
  <w:style w:type="character" w:styleId="HTMLAcronym">
    <w:name w:val="HTML Acronym"/>
    <w:basedOn w:val="DefaultParagraphFont"/>
    <w:qFormat/>
    <w:rsid w:val="00570E30"/>
  </w:style>
  <w:style w:type="paragraph" w:styleId="HTMLAddress">
    <w:name w:val="HTML Address"/>
    <w:basedOn w:val="Normal"/>
    <w:link w:val="HTMLAddressChar"/>
    <w:qFormat/>
    <w:rsid w:val="00570E30"/>
    <w:pPr>
      <w:spacing w:after="0" w:line="240" w:lineRule="auto"/>
    </w:pPr>
    <w:rPr>
      <w:i/>
      <w:iCs/>
    </w:rPr>
  </w:style>
  <w:style w:type="character" w:customStyle="1" w:styleId="HTMLAddressChar">
    <w:name w:val="HTML Address Char"/>
    <w:basedOn w:val="DefaultParagraphFont"/>
    <w:link w:val="HTMLAddress"/>
    <w:semiHidden/>
    <w:rsid w:val="00570E30"/>
    <w:rPr>
      <w:rFonts w:asciiTheme="minorHAnsi" w:eastAsiaTheme="minorHAnsi" w:hAnsiTheme="minorHAnsi" w:cstheme="minorBidi"/>
      <w:i/>
      <w:iCs/>
      <w:szCs w:val="22"/>
    </w:rPr>
  </w:style>
  <w:style w:type="character" w:styleId="HTMLCite">
    <w:name w:val="HTML Cite"/>
    <w:basedOn w:val="DefaultParagraphFont"/>
    <w:qFormat/>
    <w:rsid w:val="00570E30"/>
    <w:rPr>
      <w:i/>
      <w:iCs/>
    </w:rPr>
  </w:style>
  <w:style w:type="character" w:styleId="HTMLCode">
    <w:name w:val="HTML Code"/>
    <w:basedOn w:val="DefaultParagraphFont"/>
    <w:qFormat/>
    <w:rsid w:val="00570E30"/>
    <w:rPr>
      <w:rFonts w:ascii="Consolas" w:hAnsi="Consolas"/>
      <w:sz w:val="20"/>
      <w:szCs w:val="20"/>
    </w:rPr>
  </w:style>
  <w:style w:type="character" w:styleId="HTMLDefinition">
    <w:name w:val="HTML Definition"/>
    <w:basedOn w:val="DefaultParagraphFont"/>
    <w:qFormat/>
    <w:rsid w:val="00570E30"/>
    <w:rPr>
      <w:i/>
      <w:iCs/>
    </w:rPr>
  </w:style>
  <w:style w:type="character" w:styleId="HTMLKeyboard">
    <w:name w:val="HTML Keyboard"/>
    <w:basedOn w:val="DefaultParagraphFont"/>
    <w:qFormat/>
    <w:rsid w:val="00570E30"/>
    <w:rPr>
      <w:rFonts w:ascii="Consolas" w:hAnsi="Consolas"/>
      <w:sz w:val="20"/>
      <w:szCs w:val="20"/>
    </w:rPr>
  </w:style>
  <w:style w:type="character" w:styleId="HTMLSample">
    <w:name w:val="HTML Sample"/>
    <w:basedOn w:val="DefaultParagraphFont"/>
    <w:qFormat/>
    <w:rsid w:val="00570E30"/>
    <w:rPr>
      <w:rFonts w:ascii="Consolas" w:hAnsi="Consolas"/>
      <w:sz w:val="24"/>
      <w:szCs w:val="24"/>
    </w:rPr>
  </w:style>
  <w:style w:type="character" w:styleId="HTMLTypewriter">
    <w:name w:val="HTML Typewriter"/>
    <w:basedOn w:val="DefaultParagraphFont"/>
    <w:unhideWhenUsed/>
    <w:qFormat/>
    <w:rsid w:val="00570E30"/>
    <w:rPr>
      <w:rFonts w:ascii="Consolas" w:hAnsi="Consolas"/>
      <w:sz w:val="20"/>
      <w:szCs w:val="20"/>
    </w:rPr>
  </w:style>
  <w:style w:type="character" w:styleId="HTMLVariable">
    <w:name w:val="HTML Variable"/>
    <w:basedOn w:val="DefaultParagraphFont"/>
    <w:unhideWhenUsed/>
    <w:qFormat/>
    <w:rsid w:val="00570E30"/>
    <w:rPr>
      <w:i/>
      <w:iCs/>
    </w:rPr>
  </w:style>
  <w:style w:type="character" w:styleId="IntenseEmphasis">
    <w:name w:val="Intense Emphasis"/>
    <w:basedOn w:val="DefaultParagraphFont"/>
    <w:qFormat/>
    <w:rsid w:val="00570E30"/>
    <w:rPr>
      <w:i/>
      <w:iCs/>
      <w:color w:val="0B2949" w:themeColor="accent1"/>
    </w:rPr>
  </w:style>
  <w:style w:type="paragraph" w:styleId="IntenseQuote">
    <w:name w:val="Intense Quote"/>
    <w:basedOn w:val="Normal"/>
    <w:next w:val="Normal"/>
    <w:link w:val="IntenseQuoteChar"/>
    <w:qFormat/>
    <w:rsid w:val="00570E30"/>
    <w:pPr>
      <w:pBdr>
        <w:top w:val="single" w:sz="4" w:space="10" w:color="0B2949" w:themeColor="accent1"/>
        <w:bottom w:val="single" w:sz="4" w:space="10" w:color="0B2949" w:themeColor="accent1"/>
      </w:pBdr>
      <w:spacing w:before="360" w:after="360"/>
      <w:ind w:left="864" w:right="864"/>
      <w:jc w:val="center"/>
    </w:pPr>
    <w:rPr>
      <w:i/>
      <w:iCs/>
      <w:color w:val="0B2949" w:themeColor="accent1"/>
    </w:rPr>
  </w:style>
  <w:style w:type="character" w:customStyle="1" w:styleId="IntenseQuoteChar">
    <w:name w:val="Intense Quote Char"/>
    <w:basedOn w:val="DefaultParagraphFont"/>
    <w:link w:val="IntenseQuote"/>
    <w:rsid w:val="00570E30"/>
    <w:rPr>
      <w:rFonts w:asciiTheme="minorHAnsi" w:eastAsiaTheme="minorHAnsi" w:hAnsiTheme="minorHAnsi" w:cstheme="minorBidi"/>
      <w:i/>
      <w:iCs/>
      <w:color w:val="0B2949" w:themeColor="accent1"/>
      <w:szCs w:val="22"/>
    </w:rPr>
  </w:style>
  <w:style w:type="character" w:styleId="IntenseReference">
    <w:name w:val="Intense Reference"/>
    <w:basedOn w:val="DefaultParagraphFont"/>
    <w:qFormat/>
    <w:rsid w:val="00570E30"/>
    <w:rPr>
      <w:b/>
      <w:bCs/>
      <w:smallCaps/>
      <w:color w:val="0B2949" w:themeColor="accent1"/>
      <w:spacing w:val="5"/>
    </w:rPr>
  </w:style>
  <w:style w:type="table" w:styleId="LightGrid">
    <w:name w:val="Light Grid"/>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insideH w:val="single" w:sz="8" w:space="0" w:color="0B2949" w:themeColor="accent1"/>
        <w:insideV w:val="single" w:sz="8" w:space="0" w:color="0B2949"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B2949" w:themeColor="accent1"/>
          <w:left w:val="single" w:sz="8" w:space="0" w:color="0B2949" w:themeColor="accent1"/>
          <w:bottom w:val="single" w:sz="18" w:space="0" w:color="0B2949" w:themeColor="accent1"/>
          <w:right w:val="single" w:sz="8" w:space="0" w:color="0B2949" w:themeColor="accent1"/>
          <w:insideH w:val="nil"/>
          <w:insideV w:val="single" w:sz="8" w:space="0" w:color="0B2949"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B2949" w:themeColor="accent1"/>
          <w:left w:val="single" w:sz="8" w:space="0" w:color="0B2949" w:themeColor="accent1"/>
          <w:bottom w:val="single" w:sz="8" w:space="0" w:color="0B2949" w:themeColor="accent1"/>
          <w:right w:val="single" w:sz="8" w:space="0" w:color="0B2949" w:themeColor="accent1"/>
          <w:insideH w:val="nil"/>
          <w:insideV w:val="single" w:sz="8" w:space="0" w:color="0B2949"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tcPr>
    </w:tblStylePr>
    <w:tblStylePr w:type="band1Vert">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shd w:val="clear" w:color="auto" w:fill="A3C8F1" w:themeFill="accent1" w:themeFillTint="3F"/>
      </w:tcPr>
    </w:tblStylePr>
    <w:tblStylePr w:type="band1Horz">
      <w:tblPr/>
      <w:tcPr>
        <w:tcBorders>
          <w:top w:val="single" w:sz="8" w:space="0" w:color="0B2949" w:themeColor="accent1"/>
          <w:left w:val="single" w:sz="8" w:space="0" w:color="0B2949" w:themeColor="accent1"/>
          <w:bottom w:val="single" w:sz="8" w:space="0" w:color="0B2949" w:themeColor="accent1"/>
          <w:right w:val="single" w:sz="8" w:space="0" w:color="0B2949" w:themeColor="accent1"/>
          <w:insideV w:val="single" w:sz="8" w:space="0" w:color="0B2949" w:themeColor="accent1"/>
        </w:tcBorders>
        <w:shd w:val="clear" w:color="auto" w:fill="A3C8F1" w:themeFill="accent1" w:themeFillTint="3F"/>
      </w:tcPr>
    </w:tblStylePr>
    <w:tblStylePr w:type="band2Horz">
      <w:tblPr/>
      <w:tcPr>
        <w:tcBorders>
          <w:top w:val="single" w:sz="8" w:space="0" w:color="0B2949" w:themeColor="accent1"/>
          <w:left w:val="single" w:sz="8" w:space="0" w:color="0B2949" w:themeColor="accent1"/>
          <w:bottom w:val="single" w:sz="8" w:space="0" w:color="0B2949" w:themeColor="accent1"/>
          <w:right w:val="single" w:sz="8" w:space="0" w:color="0B2949" w:themeColor="accent1"/>
          <w:insideV w:val="single" w:sz="8" w:space="0" w:color="0B2949" w:themeColor="accent1"/>
        </w:tcBorders>
      </w:tcPr>
    </w:tblStylePr>
  </w:style>
  <w:style w:type="table" w:styleId="LightGrid-Accent2">
    <w:name w:val="Light Grid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insideH w:val="single" w:sz="8" w:space="0" w:color="D02B27" w:themeColor="accent2"/>
        <w:insideV w:val="single" w:sz="8" w:space="0" w:color="D02B27"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D02B27" w:themeColor="accent2"/>
          <w:left w:val="single" w:sz="8" w:space="0" w:color="D02B27" w:themeColor="accent2"/>
          <w:bottom w:val="single" w:sz="18" w:space="0" w:color="D02B27" w:themeColor="accent2"/>
          <w:right w:val="single" w:sz="8" w:space="0" w:color="D02B27" w:themeColor="accent2"/>
          <w:insideH w:val="nil"/>
          <w:insideV w:val="single" w:sz="8" w:space="0" w:color="D02B27"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D02B27" w:themeColor="accent2"/>
          <w:left w:val="single" w:sz="8" w:space="0" w:color="D02B27" w:themeColor="accent2"/>
          <w:bottom w:val="single" w:sz="8" w:space="0" w:color="D02B27" w:themeColor="accent2"/>
          <w:right w:val="single" w:sz="8" w:space="0" w:color="D02B27" w:themeColor="accent2"/>
          <w:insideH w:val="nil"/>
          <w:insideV w:val="single" w:sz="8" w:space="0" w:color="D02B27"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tcPr>
    </w:tblStylePr>
    <w:tblStylePr w:type="band1Vert">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shd w:val="clear" w:color="auto" w:fill="F4C9C8" w:themeFill="accent2" w:themeFillTint="3F"/>
      </w:tcPr>
    </w:tblStylePr>
    <w:tblStylePr w:type="band1Horz">
      <w:tblPr/>
      <w:tcPr>
        <w:tcBorders>
          <w:top w:val="single" w:sz="8" w:space="0" w:color="D02B27" w:themeColor="accent2"/>
          <w:left w:val="single" w:sz="8" w:space="0" w:color="D02B27" w:themeColor="accent2"/>
          <w:bottom w:val="single" w:sz="8" w:space="0" w:color="D02B27" w:themeColor="accent2"/>
          <w:right w:val="single" w:sz="8" w:space="0" w:color="D02B27" w:themeColor="accent2"/>
          <w:insideV w:val="single" w:sz="8" w:space="0" w:color="D02B27" w:themeColor="accent2"/>
        </w:tcBorders>
        <w:shd w:val="clear" w:color="auto" w:fill="F4C9C8" w:themeFill="accent2" w:themeFillTint="3F"/>
      </w:tcPr>
    </w:tblStylePr>
    <w:tblStylePr w:type="band2Horz">
      <w:tblPr/>
      <w:tcPr>
        <w:tcBorders>
          <w:top w:val="single" w:sz="8" w:space="0" w:color="D02B27" w:themeColor="accent2"/>
          <w:left w:val="single" w:sz="8" w:space="0" w:color="D02B27" w:themeColor="accent2"/>
          <w:bottom w:val="single" w:sz="8" w:space="0" w:color="D02B27" w:themeColor="accent2"/>
          <w:right w:val="single" w:sz="8" w:space="0" w:color="D02B27" w:themeColor="accent2"/>
          <w:insideV w:val="single" w:sz="8" w:space="0" w:color="D02B27" w:themeColor="accent2"/>
        </w:tcBorders>
      </w:tcPr>
    </w:tblStylePr>
  </w:style>
  <w:style w:type="table" w:styleId="LightGrid-Accent3">
    <w:name w:val="Light Grid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insideH w:val="single" w:sz="8" w:space="0" w:color="5B6771" w:themeColor="accent3"/>
        <w:insideV w:val="single" w:sz="8" w:space="0" w:color="5B6771"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6771" w:themeColor="accent3"/>
          <w:left w:val="single" w:sz="8" w:space="0" w:color="5B6771" w:themeColor="accent3"/>
          <w:bottom w:val="single" w:sz="18" w:space="0" w:color="5B6771" w:themeColor="accent3"/>
          <w:right w:val="single" w:sz="8" w:space="0" w:color="5B6771" w:themeColor="accent3"/>
          <w:insideH w:val="nil"/>
          <w:insideV w:val="single" w:sz="8" w:space="0" w:color="5B6771"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6771" w:themeColor="accent3"/>
          <w:left w:val="single" w:sz="8" w:space="0" w:color="5B6771" w:themeColor="accent3"/>
          <w:bottom w:val="single" w:sz="8" w:space="0" w:color="5B6771" w:themeColor="accent3"/>
          <w:right w:val="single" w:sz="8" w:space="0" w:color="5B6771" w:themeColor="accent3"/>
          <w:insideH w:val="nil"/>
          <w:insideV w:val="single" w:sz="8" w:space="0" w:color="5B6771"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tcPr>
    </w:tblStylePr>
    <w:tblStylePr w:type="band1Vert">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shd w:val="clear" w:color="auto" w:fill="D5D9DD" w:themeFill="accent3" w:themeFillTint="3F"/>
      </w:tcPr>
    </w:tblStylePr>
    <w:tblStylePr w:type="band1Horz">
      <w:tblPr/>
      <w:tcPr>
        <w:tcBorders>
          <w:top w:val="single" w:sz="8" w:space="0" w:color="5B6771" w:themeColor="accent3"/>
          <w:left w:val="single" w:sz="8" w:space="0" w:color="5B6771" w:themeColor="accent3"/>
          <w:bottom w:val="single" w:sz="8" w:space="0" w:color="5B6771" w:themeColor="accent3"/>
          <w:right w:val="single" w:sz="8" w:space="0" w:color="5B6771" w:themeColor="accent3"/>
          <w:insideV w:val="single" w:sz="8" w:space="0" w:color="5B6771" w:themeColor="accent3"/>
        </w:tcBorders>
        <w:shd w:val="clear" w:color="auto" w:fill="D5D9DD" w:themeFill="accent3" w:themeFillTint="3F"/>
      </w:tcPr>
    </w:tblStylePr>
    <w:tblStylePr w:type="band2Horz">
      <w:tblPr/>
      <w:tcPr>
        <w:tcBorders>
          <w:top w:val="single" w:sz="8" w:space="0" w:color="5B6771" w:themeColor="accent3"/>
          <w:left w:val="single" w:sz="8" w:space="0" w:color="5B6771" w:themeColor="accent3"/>
          <w:bottom w:val="single" w:sz="8" w:space="0" w:color="5B6771" w:themeColor="accent3"/>
          <w:right w:val="single" w:sz="8" w:space="0" w:color="5B6771" w:themeColor="accent3"/>
          <w:insideV w:val="single" w:sz="8" w:space="0" w:color="5B6771" w:themeColor="accent3"/>
        </w:tcBorders>
      </w:tcPr>
    </w:tblStylePr>
  </w:style>
  <w:style w:type="table" w:styleId="LightGrid-Accent4">
    <w:name w:val="Light Grid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insideH w:val="single" w:sz="8" w:space="0" w:color="F1B51C" w:themeColor="accent4"/>
        <w:insideV w:val="single" w:sz="8" w:space="0" w:color="F1B51C"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1B51C" w:themeColor="accent4"/>
          <w:left w:val="single" w:sz="8" w:space="0" w:color="F1B51C" w:themeColor="accent4"/>
          <w:bottom w:val="single" w:sz="18" w:space="0" w:color="F1B51C" w:themeColor="accent4"/>
          <w:right w:val="single" w:sz="8" w:space="0" w:color="F1B51C" w:themeColor="accent4"/>
          <w:insideH w:val="nil"/>
          <w:insideV w:val="single" w:sz="8" w:space="0" w:color="F1B51C"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1B51C" w:themeColor="accent4"/>
          <w:left w:val="single" w:sz="8" w:space="0" w:color="F1B51C" w:themeColor="accent4"/>
          <w:bottom w:val="single" w:sz="8" w:space="0" w:color="F1B51C" w:themeColor="accent4"/>
          <w:right w:val="single" w:sz="8" w:space="0" w:color="F1B51C" w:themeColor="accent4"/>
          <w:insideH w:val="nil"/>
          <w:insideV w:val="single" w:sz="8" w:space="0" w:color="F1B51C"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tcPr>
    </w:tblStylePr>
    <w:tblStylePr w:type="band1Vert">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shd w:val="clear" w:color="auto" w:fill="FBECC6" w:themeFill="accent4" w:themeFillTint="3F"/>
      </w:tcPr>
    </w:tblStylePr>
    <w:tblStylePr w:type="band1Horz">
      <w:tblPr/>
      <w:tcPr>
        <w:tcBorders>
          <w:top w:val="single" w:sz="8" w:space="0" w:color="F1B51C" w:themeColor="accent4"/>
          <w:left w:val="single" w:sz="8" w:space="0" w:color="F1B51C" w:themeColor="accent4"/>
          <w:bottom w:val="single" w:sz="8" w:space="0" w:color="F1B51C" w:themeColor="accent4"/>
          <w:right w:val="single" w:sz="8" w:space="0" w:color="F1B51C" w:themeColor="accent4"/>
          <w:insideV w:val="single" w:sz="8" w:space="0" w:color="F1B51C" w:themeColor="accent4"/>
        </w:tcBorders>
        <w:shd w:val="clear" w:color="auto" w:fill="FBECC6" w:themeFill="accent4" w:themeFillTint="3F"/>
      </w:tcPr>
    </w:tblStylePr>
    <w:tblStylePr w:type="band2Horz">
      <w:tblPr/>
      <w:tcPr>
        <w:tcBorders>
          <w:top w:val="single" w:sz="8" w:space="0" w:color="F1B51C" w:themeColor="accent4"/>
          <w:left w:val="single" w:sz="8" w:space="0" w:color="F1B51C" w:themeColor="accent4"/>
          <w:bottom w:val="single" w:sz="8" w:space="0" w:color="F1B51C" w:themeColor="accent4"/>
          <w:right w:val="single" w:sz="8" w:space="0" w:color="F1B51C" w:themeColor="accent4"/>
          <w:insideV w:val="single" w:sz="8" w:space="0" w:color="F1B51C" w:themeColor="accent4"/>
        </w:tcBorders>
      </w:tcPr>
    </w:tblStylePr>
  </w:style>
  <w:style w:type="table" w:styleId="LightGrid-Accent5">
    <w:name w:val="Light Grid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insideH w:val="single" w:sz="8" w:space="0" w:color="189394" w:themeColor="accent5"/>
        <w:insideV w:val="single" w:sz="8" w:space="0" w:color="18939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89394" w:themeColor="accent5"/>
          <w:left w:val="single" w:sz="8" w:space="0" w:color="189394" w:themeColor="accent5"/>
          <w:bottom w:val="single" w:sz="18" w:space="0" w:color="189394" w:themeColor="accent5"/>
          <w:right w:val="single" w:sz="8" w:space="0" w:color="189394" w:themeColor="accent5"/>
          <w:insideH w:val="nil"/>
          <w:insideV w:val="single" w:sz="8" w:space="0" w:color="18939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89394" w:themeColor="accent5"/>
          <w:left w:val="single" w:sz="8" w:space="0" w:color="189394" w:themeColor="accent5"/>
          <w:bottom w:val="single" w:sz="8" w:space="0" w:color="189394" w:themeColor="accent5"/>
          <w:right w:val="single" w:sz="8" w:space="0" w:color="189394" w:themeColor="accent5"/>
          <w:insideH w:val="nil"/>
          <w:insideV w:val="single" w:sz="8" w:space="0" w:color="18939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tcPr>
    </w:tblStylePr>
    <w:tblStylePr w:type="band1Vert">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shd w:val="clear" w:color="auto" w:fill="B7F2F3" w:themeFill="accent5" w:themeFillTint="3F"/>
      </w:tcPr>
    </w:tblStylePr>
    <w:tblStylePr w:type="band1Horz">
      <w:tblPr/>
      <w:tcPr>
        <w:tcBorders>
          <w:top w:val="single" w:sz="8" w:space="0" w:color="189394" w:themeColor="accent5"/>
          <w:left w:val="single" w:sz="8" w:space="0" w:color="189394" w:themeColor="accent5"/>
          <w:bottom w:val="single" w:sz="8" w:space="0" w:color="189394" w:themeColor="accent5"/>
          <w:right w:val="single" w:sz="8" w:space="0" w:color="189394" w:themeColor="accent5"/>
          <w:insideV w:val="single" w:sz="8" w:space="0" w:color="189394" w:themeColor="accent5"/>
        </w:tcBorders>
        <w:shd w:val="clear" w:color="auto" w:fill="B7F2F3" w:themeFill="accent5" w:themeFillTint="3F"/>
      </w:tcPr>
    </w:tblStylePr>
    <w:tblStylePr w:type="band2Horz">
      <w:tblPr/>
      <w:tcPr>
        <w:tcBorders>
          <w:top w:val="single" w:sz="8" w:space="0" w:color="189394" w:themeColor="accent5"/>
          <w:left w:val="single" w:sz="8" w:space="0" w:color="189394" w:themeColor="accent5"/>
          <w:bottom w:val="single" w:sz="8" w:space="0" w:color="189394" w:themeColor="accent5"/>
          <w:right w:val="single" w:sz="8" w:space="0" w:color="189394" w:themeColor="accent5"/>
          <w:insideV w:val="single" w:sz="8" w:space="0" w:color="189394" w:themeColor="accent5"/>
        </w:tcBorders>
      </w:tcPr>
    </w:tblStylePr>
  </w:style>
  <w:style w:type="table" w:styleId="LightGrid-Accent6">
    <w:name w:val="Light Grid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insideH w:val="single" w:sz="8" w:space="0" w:color="17A673" w:themeColor="accent6"/>
        <w:insideV w:val="single" w:sz="8" w:space="0" w:color="17A673"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7A673" w:themeColor="accent6"/>
          <w:left w:val="single" w:sz="8" w:space="0" w:color="17A673" w:themeColor="accent6"/>
          <w:bottom w:val="single" w:sz="18" w:space="0" w:color="17A673" w:themeColor="accent6"/>
          <w:right w:val="single" w:sz="8" w:space="0" w:color="17A673" w:themeColor="accent6"/>
          <w:insideH w:val="nil"/>
          <w:insideV w:val="single" w:sz="8" w:space="0" w:color="17A673"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7A673" w:themeColor="accent6"/>
          <w:left w:val="single" w:sz="8" w:space="0" w:color="17A673" w:themeColor="accent6"/>
          <w:bottom w:val="single" w:sz="8" w:space="0" w:color="17A673" w:themeColor="accent6"/>
          <w:right w:val="single" w:sz="8" w:space="0" w:color="17A673" w:themeColor="accent6"/>
          <w:insideH w:val="nil"/>
          <w:insideV w:val="single" w:sz="8" w:space="0" w:color="17A673"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tcPr>
    </w:tblStylePr>
    <w:tblStylePr w:type="band1Vert">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shd w:val="clear" w:color="auto" w:fill="B9F5DF" w:themeFill="accent6" w:themeFillTint="3F"/>
      </w:tcPr>
    </w:tblStylePr>
    <w:tblStylePr w:type="band1Horz">
      <w:tblPr/>
      <w:tcPr>
        <w:tcBorders>
          <w:top w:val="single" w:sz="8" w:space="0" w:color="17A673" w:themeColor="accent6"/>
          <w:left w:val="single" w:sz="8" w:space="0" w:color="17A673" w:themeColor="accent6"/>
          <w:bottom w:val="single" w:sz="8" w:space="0" w:color="17A673" w:themeColor="accent6"/>
          <w:right w:val="single" w:sz="8" w:space="0" w:color="17A673" w:themeColor="accent6"/>
          <w:insideV w:val="single" w:sz="8" w:space="0" w:color="17A673" w:themeColor="accent6"/>
        </w:tcBorders>
        <w:shd w:val="clear" w:color="auto" w:fill="B9F5DF" w:themeFill="accent6" w:themeFillTint="3F"/>
      </w:tcPr>
    </w:tblStylePr>
    <w:tblStylePr w:type="band2Horz">
      <w:tblPr/>
      <w:tcPr>
        <w:tcBorders>
          <w:top w:val="single" w:sz="8" w:space="0" w:color="17A673" w:themeColor="accent6"/>
          <w:left w:val="single" w:sz="8" w:space="0" w:color="17A673" w:themeColor="accent6"/>
          <w:bottom w:val="single" w:sz="8" w:space="0" w:color="17A673" w:themeColor="accent6"/>
          <w:right w:val="single" w:sz="8" w:space="0" w:color="17A673" w:themeColor="accent6"/>
          <w:insideV w:val="single" w:sz="8" w:space="0" w:color="17A673" w:themeColor="accent6"/>
        </w:tcBorders>
      </w:tcPr>
    </w:tblStylePr>
  </w:style>
  <w:style w:type="table" w:styleId="LightList">
    <w:name w:val="Light List"/>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tblBorders>
    </w:tblPr>
    <w:tblStylePr w:type="firstRow">
      <w:pPr>
        <w:spacing w:before="0" w:after="0" w:line="240" w:lineRule="auto"/>
      </w:pPr>
      <w:rPr>
        <w:b/>
        <w:bCs/>
        <w:color w:val="FFFFFF" w:themeColor="background1"/>
      </w:rPr>
      <w:tblPr/>
      <w:tcPr>
        <w:shd w:val="clear" w:color="auto" w:fill="0B2949" w:themeFill="accent1"/>
      </w:tcPr>
    </w:tblStylePr>
    <w:tblStylePr w:type="lastRow">
      <w:pPr>
        <w:spacing w:before="0" w:after="0" w:line="240" w:lineRule="auto"/>
      </w:pPr>
      <w:rPr>
        <w:b/>
        <w:bCs/>
      </w:rPr>
      <w:tblPr/>
      <w:tcPr>
        <w:tcBorders>
          <w:top w:val="double" w:sz="6" w:space="0" w:color="0B2949" w:themeColor="accent1"/>
          <w:left w:val="single" w:sz="8" w:space="0" w:color="0B2949" w:themeColor="accent1"/>
          <w:bottom w:val="single" w:sz="8" w:space="0" w:color="0B2949" w:themeColor="accent1"/>
          <w:right w:val="single" w:sz="8" w:space="0" w:color="0B2949" w:themeColor="accent1"/>
        </w:tcBorders>
      </w:tcPr>
    </w:tblStylePr>
    <w:tblStylePr w:type="firstCol">
      <w:rPr>
        <w:b/>
        <w:bCs/>
      </w:rPr>
    </w:tblStylePr>
    <w:tblStylePr w:type="lastCol">
      <w:rPr>
        <w:b/>
        <w:bCs/>
      </w:rPr>
    </w:tblStylePr>
    <w:tblStylePr w:type="band1Vert">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tcPr>
    </w:tblStylePr>
    <w:tblStylePr w:type="band1Horz">
      <w:tblPr/>
      <w:tcPr>
        <w:tcBorders>
          <w:top w:val="single" w:sz="8" w:space="0" w:color="0B2949" w:themeColor="accent1"/>
          <w:left w:val="single" w:sz="8" w:space="0" w:color="0B2949" w:themeColor="accent1"/>
          <w:bottom w:val="single" w:sz="8" w:space="0" w:color="0B2949" w:themeColor="accent1"/>
          <w:right w:val="single" w:sz="8" w:space="0" w:color="0B2949" w:themeColor="accent1"/>
        </w:tcBorders>
      </w:tcPr>
    </w:tblStylePr>
  </w:style>
  <w:style w:type="table" w:styleId="LightList-Accent2">
    <w:name w:val="Light List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tblBorders>
    </w:tblPr>
    <w:tblStylePr w:type="firstRow">
      <w:pPr>
        <w:spacing w:before="0" w:after="0" w:line="240" w:lineRule="auto"/>
      </w:pPr>
      <w:rPr>
        <w:b/>
        <w:bCs/>
        <w:color w:val="FFFFFF" w:themeColor="background1"/>
      </w:rPr>
      <w:tblPr/>
      <w:tcPr>
        <w:shd w:val="clear" w:color="auto" w:fill="D02B27" w:themeFill="accent2"/>
      </w:tcPr>
    </w:tblStylePr>
    <w:tblStylePr w:type="lastRow">
      <w:pPr>
        <w:spacing w:before="0" w:after="0" w:line="240" w:lineRule="auto"/>
      </w:pPr>
      <w:rPr>
        <w:b/>
        <w:bCs/>
      </w:rPr>
      <w:tblPr/>
      <w:tcPr>
        <w:tcBorders>
          <w:top w:val="double" w:sz="6" w:space="0" w:color="D02B27" w:themeColor="accent2"/>
          <w:left w:val="single" w:sz="8" w:space="0" w:color="D02B27" w:themeColor="accent2"/>
          <w:bottom w:val="single" w:sz="8" w:space="0" w:color="D02B27" w:themeColor="accent2"/>
          <w:right w:val="single" w:sz="8" w:space="0" w:color="D02B27" w:themeColor="accent2"/>
        </w:tcBorders>
      </w:tcPr>
    </w:tblStylePr>
    <w:tblStylePr w:type="firstCol">
      <w:rPr>
        <w:b/>
        <w:bCs/>
      </w:rPr>
    </w:tblStylePr>
    <w:tblStylePr w:type="lastCol">
      <w:rPr>
        <w:b/>
        <w:bCs/>
      </w:rPr>
    </w:tblStylePr>
    <w:tblStylePr w:type="band1Vert">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tcPr>
    </w:tblStylePr>
    <w:tblStylePr w:type="band1Horz">
      <w:tblPr/>
      <w:tcPr>
        <w:tcBorders>
          <w:top w:val="single" w:sz="8" w:space="0" w:color="D02B27" w:themeColor="accent2"/>
          <w:left w:val="single" w:sz="8" w:space="0" w:color="D02B27" w:themeColor="accent2"/>
          <w:bottom w:val="single" w:sz="8" w:space="0" w:color="D02B27" w:themeColor="accent2"/>
          <w:right w:val="single" w:sz="8" w:space="0" w:color="D02B27" w:themeColor="accent2"/>
        </w:tcBorders>
      </w:tcPr>
    </w:tblStylePr>
  </w:style>
  <w:style w:type="table" w:styleId="LightList-Accent3">
    <w:name w:val="Light List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tblBorders>
    </w:tblPr>
    <w:tblStylePr w:type="firstRow">
      <w:pPr>
        <w:spacing w:before="0" w:after="0" w:line="240" w:lineRule="auto"/>
      </w:pPr>
      <w:rPr>
        <w:b/>
        <w:bCs/>
        <w:color w:val="FFFFFF" w:themeColor="background1"/>
      </w:rPr>
      <w:tblPr/>
      <w:tcPr>
        <w:shd w:val="clear" w:color="auto" w:fill="5B6771" w:themeFill="accent3"/>
      </w:tcPr>
    </w:tblStylePr>
    <w:tblStylePr w:type="lastRow">
      <w:pPr>
        <w:spacing w:before="0" w:after="0" w:line="240" w:lineRule="auto"/>
      </w:pPr>
      <w:rPr>
        <w:b/>
        <w:bCs/>
      </w:rPr>
      <w:tblPr/>
      <w:tcPr>
        <w:tcBorders>
          <w:top w:val="double" w:sz="6" w:space="0" w:color="5B6771" w:themeColor="accent3"/>
          <w:left w:val="single" w:sz="8" w:space="0" w:color="5B6771" w:themeColor="accent3"/>
          <w:bottom w:val="single" w:sz="8" w:space="0" w:color="5B6771" w:themeColor="accent3"/>
          <w:right w:val="single" w:sz="8" w:space="0" w:color="5B6771" w:themeColor="accent3"/>
        </w:tcBorders>
      </w:tcPr>
    </w:tblStylePr>
    <w:tblStylePr w:type="firstCol">
      <w:rPr>
        <w:b/>
        <w:bCs/>
      </w:rPr>
    </w:tblStylePr>
    <w:tblStylePr w:type="lastCol">
      <w:rPr>
        <w:b/>
        <w:bCs/>
      </w:rPr>
    </w:tblStylePr>
    <w:tblStylePr w:type="band1Vert">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tcPr>
    </w:tblStylePr>
    <w:tblStylePr w:type="band1Horz">
      <w:tblPr/>
      <w:tcPr>
        <w:tcBorders>
          <w:top w:val="single" w:sz="8" w:space="0" w:color="5B6771" w:themeColor="accent3"/>
          <w:left w:val="single" w:sz="8" w:space="0" w:color="5B6771" w:themeColor="accent3"/>
          <w:bottom w:val="single" w:sz="8" w:space="0" w:color="5B6771" w:themeColor="accent3"/>
          <w:right w:val="single" w:sz="8" w:space="0" w:color="5B6771" w:themeColor="accent3"/>
        </w:tcBorders>
      </w:tcPr>
    </w:tblStylePr>
  </w:style>
  <w:style w:type="table" w:styleId="LightList-Accent4">
    <w:name w:val="Light List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tblBorders>
    </w:tblPr>
    <w:tblStylePr w:type="firstRow">
      <w:pPr>
        <w:spacing w:before="0" w:after="0" w:line="240" w:lineRule="auto"/>
      </w:pPr>
      <w:rPr>
        <w:b/>
        <w:bCs/>
        <w:color w:val="FFFFFF" w:themeColor="background1"/>
      </w:rPr>
      <w:tblPr/>
      <w:tcPr>
        <w:shd w:val="clear" w:color="auto" w:fill="F1B51C" w:themeFill="accent4"/>
      </w:tcPr>
    </w:tblStylePr>
    <w:tblStylePr w:type="lastRow">
      <w:pPr>
        <w:spacing w:before="0" w:after="0" w:line="240" w:lineRule="auto"/>
      </w:pPr>
      <w:rPr>
        <w:b/>
        <w:bCs/>
      </w:rPr>
      <w:tblPr/>
      <w:tcPr>
        <w:tcBorders>
          <w:top w:val="double" w:sz="6" w:space="0" w:color="F1B51C" w:themeColor="accent4"/>
          <w:left w:val="single" w:sz="8" w:space="0" w:color="F1B51C" w:themeColor="accent4"/>
          <w:bottom w:val="single" w:sz="8" w:space="0" w:color="F1B51C" w:themeColor="accent4"/>
          <w:right w:val="single" w:sz="8" w:space="0" w:color="F1B51C" w:themeColor="accent4"/>
        </w:tcBorders>
      </w:tcPr>
    </w:tblStylePr>
    <w:tblStylePr w:type="firstCol">
      <w:rPr>
        <w:b/>
        <w:bCs/>
      </w:rPr>
    </w:tblStylePr>
    <w:tblStylePr w:type="lastCol">
      <w:rPr>
        <w:b/>
        <w:bCs/>
      </w:rPr>
    </w:tblStylePr>
    <w:tblStylePr w:type="band1Vert">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tcPr>
    </w:tblStylePr>
    <w:tblStylePr w:type="band1Horz">
      <w:tblPr/>
      <w:tcPr>
        <w:tcBorders>
          <w:top w:val="single" w:sz="8" w:space="0" w:color="F1B51C" w:themeColor="accent4"/>
          <w:left w:val="single" w:sz="8" w:space="0" w:color="F1B51C" w:themeColor="accent4"/>
          <w:bottom w:val="single" w:sz="8" w:space="0" w:color="F1B51C" w:themeColor="accent4"/>
          <w:right w:val="single" w:sz="8" w:space="0" w:color="F1B51C" w:themeColor="accent4"/>
        </w:tcBorders>
      </w:tcPr>
    </w:tblStylePr>
  </w:style>
  <w:style w:type="table" w:styleId="LightList-Accent5">
    <w:name w:val="Light List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tblBorders>
    </w:tblPr>
    <w:tblStylePr w:type="firstRow">
      <w:pPr>
        <w:spacing w:before="0" w:after="0" w:line="240" w:lineRule="auto"/>
      </w:pPr>
      <w:rPr>
        <w:b/>
        <w:bCs/>
        <w:color w:val="FFFFFF" w:themeColor="background1"/>
      </w:rPr>
      <w:tblPr/>
      <w:tcPr>
        <w:shd w:val="clear" w:color="auto" w:fill="189394" w:themeFill="accent5"/>
      </w:tcPr>
    </w:tblStylePr>
    <w:tblStylePr w:type="lastRow">
      <w:pPr>
        <w:spacing w:before="0" w:after="0" w:line="240" w:lineRule="auto"/>
      </w:pPr>
      <w:rPr>
        <w:b/>
        <w:bCs/>
      </w:rPr>
      <w:tblPr/>
      <w:tcPr>
        <w:tcBorders>
          <w:top w:val="double" w:sz="6" w:space="0" w:color="189394" w:themeColor="accent5"/>
          <w:left w:val="single" w:sz="8" w:space="0" w:color="189394" w:themeColor="accent5"/>
          <w:bottom w:val="single" w:sz="8" w:space="0" w:color="189394" w:themeColor="accent5"/>
          <w:right w:val="single" w:sz="8" w:space="0" w:color="189394" w:themeColor="accent5"/>
        </w:tcBorders>
      </w:tcPr>
    </w:tblStylePr>
    <w:tblStylePr w:type="firstCol">
      <w:rPr>
        <w:b/>
        <w:bCs/>
      </w:rPr>
    </w:tblStylePr>
    <w:tblStylePr w:type="lastCol">
      <w:rPr>
        <w:b/>
        <w:bCs/>
      </w:rPr>
    </w:tblStylePr>
    <w:tblStylePr w:type="band1Vert">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tcPr>
    </w:tblStylePr>
    <w:tblStylePr w:type="band1Horz">
      <w:tblPr/>
      <w:tcPr>
        <w:tcBorders>
          <w:top w:val="single" w:sz="8" w:space="0" w:color="189394" w:themeColor="accent5"/>
          <w:left w:val="single" w:sz="8" w:space="0" w:color="189394" w:themeColor="accent5"/>
          <w:bottom w:val="single" w:sz="8" w:space="0" w:color="189394" w:themeColor="accent5"/>
          <w:right w:val="single" w:sz="8" w:space="0" w:color="189394" w:themeColor="accent5"/>
        </w:tcBorders>
      </w:tcPr>
    </w:tblStylePr>
  </w:style>
  <w:style w:type="table" w:styleId="LightList-Accent6">
    <w:name w:val="Light List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tblBorders>
    </w:tblPr>
    <w:tblStylePr w:type="firstRow">
      <w:pPr>
        <w:spacing w:before="0" w:after="0" w:line="240" w:lineRule="auto"/>
      </w:pPr>
      <w:rPr>
        <w:b/>
        <w:bCs/>
        <w:color w:val="FFFFFF" w:themeColor="background1"/>
      </w:rPr>
      <w:tblPr/>
      <w:tcPr>
        <w:shd w:val="clear" w:color="auto" w:fill="17A673" w:themeFill="accent6"/>
      </w:tcPr>
    </w:tblStylePr>
    <w:tblStylePr w:type="lastRow">
      <w:pPr>
        <w:spacing w:before="0" w:after="0" w:line="240" w:lineRule="auto"/>
      </w:pPr>
      <w:rPr>
        <w:b/>
        <w:bCs/>
      </w:rPr>
      <w:tblPr/>
      <w:tcPr>
        <w:tcBorders>
          <w:top w:val="double" w:sz="6" w:space="0" w:color="17A673" w:themeColor="accent6"/>
          <w:left w:val="single" w:sz="8" w:space="0" w:color="17A673" w:themeColor="accent6"/>
          <w:bottom w:val="single" w:sz="8" w:space="0" w:color="17A673" w:themeColor="accent6"/>
          <w:right w:val="single" w:sz="8" w:space="0" w:color="17A673" w:themeColor="accent6"/>
        </w:tcBorders>
      </w:tcPr>
    </w:tblStylePr>
    <w:tblStylePr w:type="firstCol">
      <w:rPr>
        <w:b/>
        <w:bCs/>
      </w:rPr>
    </w:tblStylePr>
    <w:tblStylePr w:type="lastCol">
      <w:rPr>
        <w:b/>
        <w:bCs/>
      </w:rPr>
    </w:tblStylePr>
    <w:tblStylePr w:type="band1Vert">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tcPr>
    </w:tblStylePr>
    <w:tblStylePr w:type="band1Horz">
      <w:tblPr/>
      <w:tcPr>
        <w:tcBorders>
          <w:top w:val="single" w:sz="8" w:space="0" w:color="17A673" w:themeColor="accent6"/>
          <w:left w:val="single" w:sz="8" w:space="0" w:color="17A673" w:themeColor="accent6"/>
          <w:bottom w:val="single" w:sz="8" w:space="0" w:color="17A673" w:themeColor="accent6"/>
          <w:right w:val="single" w:sz="8" w:space="0" w:color="17A673" w:themeColor="accent6"/>
        </w:tcBorders>
      </w:tcPr>
    </w:tblStylePr>
  </w:style>
  <w:style w:type="table" w:styleId="LightShading">
    <w:name w:val="Light Shading"/>
    <w:basedOn w:val="TableNormal"/>
    <w:unhideWhenUsed/>
    <w:rsid w:val="00570E30"/>
    <w:rPr>
      <w:rFonts w:asciiTheme="minorHAnsi" w:eastAsiaTheme="minorHAnsi" w:hAnsiTheme="minorHAnsi" w:cstheme="minorBidi"/>
      <w:color w:val="000000" w:themeColor="text1" w:themeShade="BF"/>
      <w:sz w:val="22"/>
      <w:szCs w:val="22"/>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nhideWhenUsed/>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8" w:space="0" w:color="0B2949" w:themeColor="accent1"/>
        <w:bottom w:val="single" w:sz="8" w:space="0" w:color="0B2949" w:themeColor="accent1"/>
      </w:tblBorders>
    </w:tblPr>
    <w:tblStylePr w:type="firstRow">
      <w:pPr>
        <w:spacing w:before="0" w:after="0" w:line="240" w:lineRule="auto"/>
      </w:pPr>
      <w:rPr>
        <w:b/>
        <w:bCs/>
      </w:rPr>
      <w:tblPr/>
      <w:tcPr>
        <w:tcBorders>
          <w:top w:val="single" w:sz="8" w:space="0" w:color="0B2949" w:themeColor="accent1"/>
          <w:left w:val="nil"/>
          <w:bottom w:val="single" w:sz="8" w:space="0" w:color="0B2949" w:themeColor="accent1"/>
          <w:right w:val="nil"/>
          <w:insideH w:val="nil"/>
          <w:insideV w:val="nil"/>
        </w:tcBorders>
      </w:tcPr>
    </w:tblStylePr>
    <w:tblStylePr w:type="lastRow">
      <w:pPr>
        <w:spacing w:before="0" w:after="0" w:line="240" w:lineRule="auto"/>
      </w:pPr>
      <w:rPr>
        <w:b/>
        <w:bCs/>
      </w:rPr>
      <w:tblPr/>
      <w:tcPr>
        <w:tcBorders>
          <w:top w:val="single" w:sz="8" w:space="0" w:color="0B2949" w:themeColor="accent1"/>
          <w:left w:val="nil"/>
          <w:bottom w:val="single" w:sz="8" w:space="0" w:color="0B2949"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3C8F1" w:themeFill="accent1" w:themeFillTint="3F"/>
      </w:tcPr>
    </w:tblStylePr>
    <w:tblStylePr w:type="band1Horz">
      <w:tblPr/>
      <w:tcPr>
        <w:tcBorders>
          <w:left w:val="nil"/>
          <w:right w:val="nil"/>
          <w:insideH w:val="nil"/>
          <w:insideV w:val="nil"/>
        </w:tcBorders>
        <w:shd w:val="clear" w:color="auto" w:fill="A3C8F1" w:themeFill="accent1" w:themeFillTint="3F"/>
      </w:tcPr>
    </w:tblStylePr>
  </w:style>
  <w:style w:type="table" w:styleId="LightShading-Accent2">
    <w:name w:val="Light Shading Accent 2"/>
    <w:basedOn w:val="TableNormal"/>
    <w:unhideWhenUsed/>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8" w:space="0" w:color="D02B27" w:themeColor="accent2"/>
        <w:bottom w:val="single" w:sz="8" w:space="0" w:color="D02B27" w:themeColor="accent2"/>
      </w:tblBorders>
    </w:tblPr>
    <w:tblStylePr w:type="firstRow">
      <w:pPr>
        <w:spacing w:before="0" w:after="0" w:line="240" w:lineRule="auto"/>
      </w:pPr>
      <w:rPr>
        <w:b/>
        <w:bCs/>
      </w:rPr>
      <w:tblPr/>
      <w:tcPr>
        <w:tcBorders>
          <w:top w:val="single" w:sz="8" w:space="0" w:color="D02B27" w:themeColor="accent2"/>
          <w:left w:val="nil"/>
          <w:bottom w:val="single" w:sz="8" w:space="0" w:color="D02B27" w:themeColor="accent2"/>
          <w:right w:val="nil"/>
          <w:insideH w:val="nil"/>
          <w:insideV w:val="nil"/>
        </w:tcBorders>
      </w:tcPr>
    </w:tblStylePr>
    <w:tblStylePr w:type="lastRow">
      <w:pPr>
        <w:spacing w:before="0" w:after="0" w:line="240" w:lineRule="auto"/>
      </w:pPr>
      <w:rPr>
        <w:b/>
        <w:bCs/>
      </w:rPr>
      <w:tblPr/>
      <w:tcPr>
        <w:tcBorders>
          <w:top w:val="single" w:sz="8" w:space="0" w:color="D02B27" w:themeColor="accent2"/>
          <w:left w:val="nil"/>
          <w:bottom w:val="single" w:sz="8" w:space="0" w:color="D02B27"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4C9C8" w:themeFill="accent2" w:themeFillTint="3F"/>
      </w:tcPr>
    </w:tblStylePr>
    <w:tblStylePr w:type="band1Horz">
      <w:tblPr/>
      <w:tcPr>
        <w:tcBorders>
          <w:left w:val="nil"/>
          <w:right w:val="nil"/>
          <w:insideH w:val="nil"/>
          <w:insideV w:val="nil"/>
        </w:tcBorders>
        <w:shd w:val="clear" w:color="auto" w:fill="F4C9C8" w:themeFill="accent2" w:themeFillTint="3F"/>
      </w:tcPr>
    </w:tblStylePr>
  </w:style>
  <w:style w:type="table" w:styleId="LightShading-Accent3">
    <w:name w:val="Light Shading Accent 3"/>
    <w:basedOn w:val="TableNormal"/>
    <w:unhideWhenUsed/>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8" w:space="0" w:color="5B6771" w:themeColor="accent3"/>
        <w:bottom w:val="single" w:sz="8" w:space="0" w:color="5B6771" w:themeColor="accent3"/>
      </w:tblBorders>
    </w:tblPr>
    <w:tblStylePr w:type="firstRow">
      <w:pPr>
        <w:spacing w:before="0" w:after="0" w:line="240" w:lineRule="auto"/>
      </w:pPr>
      <w:rPr>
        <w:b/>
        <w:bCs/>
      </w:rPr>
      <w:tblPr/>
      <w:tcPr>
        <w:tcBorders>
          <w:top w:val="single" w:sz="8" w:space="0" w:color="5B6771" w:themeColor="accent3"/>
          <w:left w:val="nil"/>
          <w:bottom w:val="single" w:sz="8" w:space="0" w:color="5B6771" w:themeColor="accent3"/>
          <w:right w:val="nil"/>
          <w:insideH w:val="nil"/>
          <w:insideV w:val="nil"/>
        </w:tcBorders>
      </w:tcPr>
    </w:tblStylePr>
    <w:tblStylePr w:type="lastRow">
      <w:pPr>
        <w:spacing w:before="0" w:after="0" w:line="240" w:lineRule="auto"/>
      </w:pPr>
      <w:rPr>
        <w:b/>
        <w:bCs/>
      </w:rPr>
      <w:tblPr/>
      <w:tcPr>
        <w:tcBorders>
          <w:top w:val="single" w:sz="8" w:space="0" w:color="5B6771" w:themeColor="accent3"/>
          <w:left w:val="nil"/>
          <w:bottom w:val="single" w:sz="8" w:space="0" w:color="5B6771"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5D9DD" w:themeFill="accent3" w:themeFillTint="3F"/>
      </w:tcPr>
    </w:tblStylePr>
    <w:tblStylePr w:type="band1Horz">
      <w:tblPr/>
      <w:tcPr>
        <w:tcBorders>
          <w:left w:val="nil"/>
          <w:right w:val="nil"/>
          <w:insideH w:val="nil"/>
          <w:insideV w:val="nil"/>
        </w:tcBorders>
        <w:shd w:val="clear" w:color="auto" w:fill="D5D9DD" w:themeFill="accent3" w:themeFillTint="3F"/>
      </w:tcPr>
    </w:tblStylePr>
  </w:style>
  <w:style w:type="table" w:styleId="LightShading-Accent4">
    <w:name w:val="Light Shading Accent 4"/>
    <w:basedOn w:val="TableNormal"/>
    <w:unhideWhenUsed/>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8" w:space="0" w:color="F1B51C" w:themeColor="accent4"/>
        <w:bottom w:val="single" w:sz="8" w:space="0" w:color="F1B51C" w:themeColor="accent4"/>
      </w:tblBorders>
    </w:tblPr>
    <w:tblStylePr w:type="firstRow">
      <w:pPr>
        <w:spacing w:before="0" w:after="0" w:line="240" w:lineRule="auto"/>
      </w:pPr>
      <w:rPr>
        <w:b/>
        <w:bCs/>
      </w:rPr>
      <w:tblPr/>
      <w:tcPr>
        <w:tcBorders>
          <w:top w:val="single" w:sz="8" w:space="0" w:color="F1B51C" w:themeColor="accent4"/>
          <w:left w:val="nil"/>
          <w:bottom w:val="single" w:sz="8" w:space="0" w:color="F1B51C" w:themeColor="accent4"/>
          <w:right w:val="nil"/>
          <w:insideH w:val="nil"/>
          <w:insideV w:val="nil"/>
        </w:tcBorders>
      </w:tcPr>
    </w:tblStylePr>
    <w:tblStylePr w:type="lastRow">
      <w:pPr>
        <w:spacing w:before="0" w:after="0" w:line="240" w:lineRule="auto"/>
      </w:pPr>
      <w:rPr>
        <w:b/>
        <w:bCs/>
      </w:rPr>
      <w:tblPr/>
      <w:tcPr>
        <w:tcBorders>
          <w:top w:val="single" w:sz="8" w:space="0" w:color="F1B51C" w:themeColor="accent4"/>
          <w:left w:val="nil"/>
          <w:bottom w:val="single" w:sz="8" w:space="0" w:color="F1B51C"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BECC6" w:themeFill="accent4" w:themeFillTint="3F"/>
      </w:tcPr>
    </w:tblStylePr>
    <w:tblStylePr w:type="band1Horz">
      <w:tblPr/>
      <w:tcPr>
        <w:tcBorders>
          <w:left w:val="nil"/>
          <w:right w:val="nil"/>
          <w:insideH w:val="nil"/>
          <w:insideV w:val="nil"/>
        </w:tcBorders>
        <w:shd w:val="clear" w:color="auto" w:fill="FBECC6" w:themeFill="accent4" w:themeFillTint="3F"/>
      </w:tcPr>
    </w:tblStylePr>
  </w:style>
  <w:style w:type="table" w:styleId="LightShading-Accent5">
    <w:name w:val="Light Shading Accent 5"/>
    <w:basedOn w:val="TableNormal"/>
    <w:unhideWhenUsed/>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8" w:space="0" w:color="189394" w:themeColor="accent5"/>
        <w:bottom w:val="single" w:sz="8" w:space="0" w:color="189394" w:themeColor="accent5"/>
      </w:tblBorders>
    </w:tblPr>
    <w:tblStylePr w:type="firstRow">
      <w:pPr>
        <w:spacing w:before="0" w:after="0" w:line="240" w:lineRule="auto"/>
      </w:pPr>
      <w:rPr>
        <w:b/>
        <w:bCs/>
      </w:rPr>
      <w:tblPr/>
      <w:tcPr>
        <w:tcBorders>
          <w:top w:val="single" w:sz="8" w:space="0" w:color="189394" w:themeColor="accent5"/>
          <w:left w:val="nil"/>
          <w:bottom w:val="single" w:sz="8" w:space="0" w:color="189394" w:themeColor="accent5"/>
          <w:right w:val="nil"/>
          <w:insideH w:val="nil"/>
          <w:insideV w:val="nil"/>
        </w:tcBorders>
      </w:tcPr>
    </w:tblStylePr>
    <w:tblStylePr w:type="lastRow">
      <w:pPr>
        <w:spacing w:before="0" w:after="0" w:line="240" w:lineRule="auto"/>
      </w:pPr>
      <w:rPr>
        <w:b/>
        <w:bCs/>
      </w:rPr>
      <w:tblPr/>
      <w:tcPr>
        <w:tcBorders>
          <w:top w:val="single" w:sz="8" w:space="0" w:color="189394" w:themeColor="accent5"/>
          <w:left w:val="nil"/>
          <w:bottom w:val="single" w:sz="8" w:space="0" w:color="18939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7F2F3" w:themeFill="accent5" w:themeFillTint="3F"/>
      </w:tcPr>
    </w:tblStylePr>
    <w:tblStylePr w:type="band1Horz">
      <w:tblPr/>
      <w:tcPr>
        <w:tcBorders>
          <w:left w:val="nil"/>
          <w:right w:val="nil"/>
          <w:insideH w:val="nil"/>
          <w:insideV w:val="nil"/>
        </w:tcBorders>
        <w:shd w:val="clear" w:color="auto" w:fill="B7F2F3" w:themeFill="accent5" w:themeFillTint="3F"/>
      </w:tcPr>
    </w:tblStylePr>
  </w:style>
  <w:style w:type="table" w:styleId="LightShading-Accent6">
    <w:name w:val="Light Shading Accent 6"/>
    <w:basedOn w:val="TableNormal"/>
    <w:unhideWhenUsed/>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8" w:space="0" w:color="17A673" w:themeColor="accent6"/>
        <w:bottom w:val="single" w:sz="8" w:space="0" w:color="17A673" w:themeColor="accent6"/>
      </w:tblBorders>
    </w:tblPr>
    <w:tblStylePr w:type="firstRow">
      <w:pPr>
        <w:spacing w:before="0" w:after="0" w:line="240" w:lineRule="auto"/>
      </w:pPr>
      <w:rPr>
        <w:b/>
        <w:bCs/>
      </w:rPr>
      <w:tblPr/>
      <w:tcPr>
        <w:tcBorders>
          <w:top w:val="single" w:sz="8" w:space="0" w:color="17A673" w:themeColor="accent6"/>
          <w:left w:val="nil"/>
          <w:bottom w:val="single" w:sz="8" w:space="0" w:color="17A673" w:themeColor="accent6"/>
          <w:right w:val="nil"/>
          <w:insideH w:val="nil"/>
          <w:insideV w:val="nil"/>
        </w:tcBorders>
      </w:tcPr>
    </w:tblStylePr>
    <w:tblStylePr w:type="lastRow">
      <w:pPr>
        <w:spacing w:before="0" w:after="0" w:line="240" w:lineRule="auto"/>
      </w:pPr>
      <w:rPr>
        <w:b/>
        <w:bCs/>
      </w:rPr>
      <w:tblPr/>
      <w:tcPr>
        <w:tcBorders>
          <w:top w:val="single" w:sz="8" w:space="0" w:color="17A673" w:themeColor="accent6"/>
          <w:left w:val="nil"/>
          <w:bottom w:val="single" w:sz="8" w:space="0" w:color="17A673"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9F5DF" w:themeFill="accent6" w:themeFillTint="3F"/>
      </w:tcPr>
    </w:tblStylePr>
    <w:tblStylePr w:type="band1Horz">
      <w:tblPr/>
      <w:tcPr>
        <w:tcBorders>
          <w:left w:val="nil"/>
          <w:right w:val="nil"/>
          <w:insideH w:val="nil"/>
          <w:insideV w:val="nil"/>
        </w:tcBorders>
        <w:shd w:val="clear" w:color="auto" w:fill="B9F5DF" w:themeFill="accent6" w:themeFillTint="3F"/>
      </w:tcPr>
    </w:tblStylePr>
  </w:style>
  <w:style w:type="character" w:styleId="LineNumber">
    <w:name w:val="line number"/>
    <w:basedOn w:val="DefaultParagraphFont"/>
    <w:qFormat/>
    <w:rsid w:val="00570E30"/>
  </w:style>
  <w:style w:type="paragraph" w:styleId="ListContinue4">
    <w:name w:val="List Continue 4"/>
    <w:basedOn w:val="Normal"/>
    <w:qFormat/>
    <w:rsid w:val="00570E30"/>
    <w:pPr>
      <w:spacing w:after="120"/>
      <w:ind w:left="720"/>
      <w:contextualSpacing/>
    </w:pPr>
  </w:style>
  <w:style w:type="paragraph" w:styleId="ListContinue5">
    <w:name w:val="List Continue 5"/>
    <w:basedOn w:val="Normal"/>
    <w:qFormat/>
    <w:rsid w:val="00570E30"/>
    <w:pPr>
      <w:spacing w:after="120"/>
      <w:ind w:left="1080"/>
      <w:contextualSpacing/>
    </w:pPr>
  </w:style>
  <w:style w:type="table" w:styleId="ListTable1Light">
    <w:name w:val="List Table 1 Light"/>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217BDD" w:themeColor="accent1" w:themeTint="99"/>
        </w:tcBorders>
      </w:tcPr>
    </w:tblStylePr>
    <w:tblStylePr w:type="lastRow">
      <w:rPr>
        <w:b/>
        <w:bCs/>
      </w:rPr>
      <w:tblPr/>
      <w:tcPr>
        <w:tcBorders>
          <w:top w:val="single" w:sz="4" w:space="0" w:color="217BDD" w:themeColor="accent1" w:themeTint="99"/>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1Light-Accent2">
    <w:name w:val="List Table 1 Light Accent 2"/>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E67C79" w:themeColor="accent2" w:themeTint="99"/>
        </w:tcBorders>
      </w:tcPr>
    </w:tblStylePr>
    <w:tblStylePr w:type="lastRow">
      <w:rPr>
        <w:b/>
        <w:bCs/>
      </w:rPr>
      <w:tblPr/>
      <w:tcPr>
        <w:tcBorders>
          <w:top w:val="single" w:sz="4" w:space="0" w:color="E67C79" w:themeColor="accent2" w:themeTint="99"/>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1Light-Accent3">
    <w:name w:val="List Table 1 Light Accent 3"/>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99A4AD" w:themeColor="accent3" w:themeTint="99"/>
        </w:tcBorders>
      </w:tcPr>
    </w:tblStylePr>
    <w:tblStylePr w:type="lastRow">
      <w:rPr>
        <w:b/>
        <w:bCs/>
      </w:rPr>
      <w:tblPr/>
      <w:tcPr>
        <w:tcBorders>
          <w:top w:val="single" w:sz="4" w:space="0" w:color="99A4AD" w:themeColor="accent3" w:themeTint="99"/>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1Light-Accent4">
    <w:name w:val="List Table 1 Light Accent 4"/>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F6D276" w:themeColor="accent4" w:themeTint="99"/>
        </w:tcBorders>
      </w:tcPr>
    </w:tblStylePr>
    <w:tblStylePr w:type="lastRow">
      <w:rPr>
        <w:b/>
        <w:bCs/>
      </w:rPr>
      <w:tblPr/>
      <w:tcPr>
        <w:tcBorders>
          <w:top w:val="single" w:sz="4" w:space="0" w:color="F6D276" w:themeColor="accent4" w:themeTint="99"/>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1Light-Accent5">
    <w:name w:val="List Table 1 Light Accent 5"/>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50E1E2" w:themeColor="accent5" w:themeTint="99"/>
        </w:tcBorders>
      </w:tcPr>
    </w:tblStylePr>
    <w:tblStylePr w:type="lastRow">
      <w:rPr>
        <w:b/>
        <w:bCs/>
      </w:rPr>
      <w:tblPr/>
      <w:tcPr>
        <w:tcBorders>
          <w:top w:val="single" w:sz="4" w:space="0" w:color="50E1E2" w:themeColor="accent5" w:themeTint="99"/>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1Light-Accent6">
    <w:name w:val="List Table 1 Light Accent 6"/>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Pr/>
      <w:tcPr>
        <w:tcBorders>
          <w:bottom w:val="single" w:sz="4" w:space="0" w:color="55E7B3" w:themeColor="accent6" w:themeTint="99"/>
        </w:tcBorders>
      </w:tcPr>
    </w:tblStylePr>
    <w:tblStylePr w:type="lastRow">
      <w:rPr>
        <w:b/>
        <w:bCs/>
      </w:rPr>
      <w:tblPr/>
      <w:tcPr>
        <w:tcBorders>
          <w:top w:val="single" w:sz="4" w:space="0" w:color="55E7B3" w:themeColor="accent6" w:themeTint="99"/>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2">
    <w:name w:val="List Table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bottom w:val="single" w:sz="4" w:space="0" w:color="217BDD" w:themeColor="accent1" w:themeTint="99"/>
        <w:insideH w:val="single" w:sz="4" w:space="0" w:color="217BDD"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2-Accent2">
    <w:name w:val="List Table 2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bottom w:val="single" w:sz="4" w:space="0" w:color="E67C79" w:themeColor="accent2" w:themeTint="99"/>
        <w:insideH w:val="single" w:sz="4" w:space="0" w:color="E67C79"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2-Accent3">
    <w:name w:val="List Table 2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bottom w:val="single" w:sz="4" w:space="0" w:color="99A4AD" w:themeColor="accent3" w:themeTint="99"/>
        <w:insideH w:val="single" w:sz="4" w:space="0" w:color="99A4AD"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2-Accent4">
    <w:name w:val="List Table 2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bottom w:val="single" w:sz="4" w:space="0" w:color="F6D276" w:themeColor="accent4" w:themeTint="99"/>
        <w:insideH w:val="single" w:sz="4" w:space="0" w:color="F6D27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2-Accent5">
    <w:name w:val="List Table 2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bottom w:val="single" w:sz="4" w:space="0" w:color="50E1E2" w:themeColor="accent5" w:themeTint="99"/>
        <w:insideH w:val="single" w:sz="4" w:space="0" w:color="50E1E2"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2-Accent6">
    <w:name w:val="List Table 2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bottom w:val="single" w:sz="4" w:space="0" w:color="55E7B3" w:themeColor="accent6" w:themeTint="99"/>
        <w:insideH w:val="single" w:sz="4" w:space="0" w:color="55E7B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3">
    <w:name w:val="List Table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0B2949" w:themeColor="accent1"/>
        <w:left w:val="single" w:sz="4" w:space="0" w:color="0B2949" w:themeColor="accent1"/>
        <w:bottom w:val="single" w:sz="4" w:space="0" w:color="0B2949" w:themeColor="accent1"/>
        <w:right w:val="single" w:sz="4" w:space="0" w:color="0B2949" w:themeColor="accent1"/>
      </w:tblBorders>
    </w:tblPr>
    <w:tblStylePr w:type="firstRow">
      <w:rPr>
        <w:b/>
        <w:bCs/>
        <w:color w:val="FFFFFF" w:themeColor="background1"/>
      </w:rPr>
      <w:tblPr/>
      <w:tcPr>
        <w:shd w:val="clear" w:color="auto" w:fill="0B2949" w:themeFill="accent1"/>
      </w:tcPr>
    </w:tblStylePr>
    <w:tblStylePr w:type="lastRow">
      <w:rPr>
        <w:b/>
        <w:bCs/>
      </w:rPr>
      <w:tblPr/>
      <w:tcPr>
        <w:tcBorders>
          <w:top w:val="double" w:sz="4" w:space="0" w:color="0B2949"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B2949" w:themeColor="accent1"/>
          <w:right w:val="single" w:sz="4" w:space="0" w:color="0B2949" w:themeColor="accent1"/>
        </w:tcBorders>
      </w:tcPr>
    </w:tblStylePr>
    <w:tblStylePr w:type="band1Horz">
      <w:tblPr/>
      <w:tcPr>
        <w:tcBorders>
          <w:top w:val="single" w:sz="4" w:space="0" w:color="0B2949" w:themeColor="accent1"/>
          <w:bottom w:val="single" w:sz="4" w:space="0" w:color="0B2949"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B2949" w:themeColor="accent1"/>
          <w:left w:val="nil"/>
        </w:tcBorders>
      </w:tcPr>
    </w:tblStylePr>
    <w:tblStylePr w:type="swCell">
      <w:tblPr/>
      <w:tcPr>
        <w:tcBorders>
          <w:top w:val="double" w:sz="4" w:space="0" w:color="0B2949" w:themeColor="accent1"/>
          <w:right w:val="nil"/>
        </w:tcBorders>
      </w:tcPr>
    </w:tblStylePr>
  </w:style>
  <w:style w:type="table" w:styleId="ListTable3-Accent2">
    <w:name w:val="List Table 3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D02B27" w:themeColor="accent2"/>
        <w:left w:val="single" w:sz="4" w:space="0" w:color="D02B27" w:themeColor="accent2"/>
        <w:bottom w:val="single" w:sz="4" w:space="0" w:color="D02B27" w:themeColor="accent2"/>
        <w:right w:val="single" w:sz="4" w:space="0" w:color="D02B27" w:themeColor="accent2"/>
      </w:tblBorders>
    </w:tblPr>
    <w:tblStylePr w:type="firstRow">
      <w:rPr>
        <w:b/>
        <w:bCs/>
        <w:color w:val="FFFFFF" w:themeColor="background1"/>
      </w:rPr>
      <w:tblPr/>
      <w:tcPr>
        <w:shd w:val="clear" w:color="auto" w:fill="D02B27" w:themeFill="accent2"/>
      </w:tcPr>
    </w:tblStylePr>
    <w:tblStylePr w:type="lastRow">
      <w:rPr>
        <w:b/>
        <w:bCs/>
      </w:rPr>
      <w:tblPr/>
      <w:tcPr>
        <w:tcBorders>
          <w:top w:val="double" w:sz="4" w:space="0" w:color="D02B27"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D02B27" w:themeColor="accent2"/>
          <w:right w:val="single" w:sz="4" w:space="0" w:color="D02B27" w:themeColor="accent2"/>
        </w:tcBorders>
      </w:tcPr>
    </w:tblStylePr>
    <w:tblStylePr w:type="band1Horz">
      <w:tblPr/>
      <w:tcPr>
        <w:tcBorders>
          <w:top w:val="single" w:sz="4" w:space="0" w:color="D02B27" w:themeColor="accent2"/>
          <w:bottom w:val="single" w:sz="4" w:space="0" w:color="D02B27"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D02B27" w:themeColor="accent2"/>
          <w:left w:val="nil"/>
        </w:tcBorders>
      </w:tcPr>
    </w:tblStylePr>
    <w:tblStylePr w:type="swCell">
      <w:tblPr/>
      <w:tcPr>
        <w:tcBorders>
          <w:top w:val="double" w:sz="4" w:space="0" w:color="D02B27" w:themeColor="accent2"/>
          <w:right w:val="nil"/>
        </w:tcBorders>
      </w:tcPr>
    </w:tblStylePr>
  </w:style>
  <w:style w:type="table" w:styleId="ListTable3-Accent3">
    <w:name w:val="List Table 3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B6771" w:themeColor="accent3"/>
        <w:left w:val="single" w:sz="4" w:space="0" w:color="5B6771" w:themeColor="accent3"/>
        <w:bottom w:val="single" w:sz="4" w:space="0" w:color="5B6771" w:themeColor="accent3"/>
        <w:right w:val="single" w:sz="4" w:space="0" w:color="5B6771" w:themeColor="accent3"/>
      </w:tblBorders>
    </w:tblPr>
    <w:tblStylePr w:type="firstRow">
      <w:rPr>
        <w:b/>
        <w:bCs/>
        <w:color w:val="FFFFFF" w:themeColor="background1"/>
      </w:rPr>
      <w:tblPr/>
      <w:tcPr>
        <w:shd w:val="clear" w:color="auto" w:fill="5B6771" w:themeFill="accent3"/>
      </w:tcPr>
    </w:tblStylePr>
    <w:tblStylePr w:type="lastRow">
      <w:rPr>
        <w:b/>
        <w:bCs/>
      </w:rPr>
      <w:tblPr/>
      <w:tcPr>
        <w:tcBorders>
          <w:top w:val="double" w:sz="4" w:space="0" w:color="5B6771"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6771" w:themeColor="accent3"/>
          <w:right w:val="single" w:sz="4" w:space="0" w:color="5B6771" w:themeColor="accent3"/>
        </w:tcBorders>
      </w:tcPr>
    </w:tblStylePr>
    <w:tblStylePr w:type="band1Horz">
      <w:tblPr/>
      <w:tcPr>
        <w:tcBorders>
          <w:top w:val="single" w:sz="4" w:space="0" w:color="5B6771" w:themeColor="accent3"/>
          <w:bottom w:val="single" w:sz="4" w:space="0" w:color="5B6771"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6771" w:themeColor="accent3"/>
          <w:left w:val="nil"/>
        </w:tcBorders>
      </w:tcPr>
    </w:tblStylePr>
    <w:tblStylePr w:type="swCell">
      <w:tblPr/>
      <w:tcPr>
        <w:tcBorders>
          <w:top w:val="double" w:sz="4" w:space="0" w:color="5B6771" w:themeColor="accent3"/>
          <w:right w:val="nil"/>
        </w:tcBorders>
      </w:tcPr>
    </w:tblStylePr>
  </w:style>
  <w:style w:type="table" w:styleId="ListTable3-Accent4">
    <w:name w:val="List Table 3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1B51C" w:themeColor="accent4"/>
        <w:left w:val="single" w:sz="4" w:space="0" w:color="F1B51C" w:themeColor="accent4"/>
        <w:bottom w:val="single" w:sz="4" w:space="0" w:color="F1B51C" w:themeColor="accent4"/>
        <w:right w:val="single" w:sz="4" w:space="0" w:color="F1B51C" w:themeColor="accent4"/>
      </w:tblBorders>
    </w:tblPr>
    <w:tblStylePr w:type="firstRow">
      <w:rPr>
        <w:b/>
        <w:bCs/>
        <w:color w:val="FFFFFF" w:themeColor="background1"/>
      </w:rPr>
      <w:tblPr/>
      <w:tcPr>
        <w:shd w:val="clear" w:color="auto" w:fill="F1B51C" w:themeFill="accent4"/>
      </w:tcPr>
    </w:tblStylePr>
    <w:tblStylePr w:type="lastRow">
      <w:rPr>
        <w:b/>
        <w:bCs/>
      </w:rPr>
      <w:tblPr/>
      <w:tcPr>
        <w:tcBorders>
          <w:top w:val="double" w:sz="4" w:space="0" w:color="F1B51C"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1B51C" w:themeColor="accent4"/>
          <w:right w:val="single" w:sz="4" w:space="0" w:color="F1B51C" w:themeColor="accent4"/>
        </w:tcBorders>
      </w:tcPr>
    </w:tblStylePr>
    <w:tblStylePr w:type="band1Horz">
      <w:tblPr/>
      <w:tcPr>
        <w:tcBorders>
          <w:top w:val="single" w:sz="4" w:space="0" w:color="F1B51C" w:themeColor="accent4"/>
          <w:bottom w:val="single" w:sz="4" w:space="0" w:color="F1B51C"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1B51C" w:themeColor="accent4"/>
          <w:left w:val="nil"/>
        </w:tcBorders>
      </w:tcPr>
    </w:tblStylePr>
    <w:tblStylePr w:type="swCell">
      <w:tblPr/>
      <w:tcPr>
        <w:tcBorders>
          <w:top w:val="double" w:sz="4" w:space="0" w:color="F1B51C" w:themeColor="accent4"/>
          <w:right w:val="nil"/>
        </w:tcBorders>
      </w:tcPr>
    </w:tblStylePr>
  </w:style>
  <w:style w:type="table" w:styleId="ListTable3-Accent5">
    <w:name w:val="List Table 3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189394" w:themeColor="accent5"/>
        <w:left w:val="single" w:sz="4" w:space="0" w:color="189394" w:themeColor="accent5"/>
        <w:bottom w:val="single" w:sz="4" w:space="0" w:color="189394" w:themeColor="accent5"/>
        <w:right w:val="single" w:sz="4" w:space="0" w:color="189394" w:themeColor="accent5"/>
      </w:tblBorders>
    </w:tblPr>
    <w:tblStylePr w:type="firstRow">
      <w:rPr>
        <w:b/>
        <w:bCs/>
        <w:color w:val="FFFFFF" w:themeColor="background1"/>
      </w:rPr>
      <w:tblPr/>
      <w:tcPr>
        <w:shd w:val="clear" w:color="auto" w:fill="189394" w:themeFill="accent5"/>
      </w:tcPr>
    </w:tblStylePr>
    <w:tblStylePr w:type="lastRow">
      <w:rPr>
        <w:b/>
        <w:bCs/>
      </w:rPr>
      <w:tblPr/>
      <w:tcPr>
        <w:tcBorders>
          <w:top w:val="double" w:sz="4" w:space="0" w:color="189394"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89394" w:themeColor="accent5"/>
          <w:right w:val="single" w:sz="4" w:space="0" w:color="189394" w:themeColor="accent5"/>
        </w:tcBorders>
      </w:tcPr>
    </w:tblStylePr>
    <w:tblStylePr w:type="band1Horz">
      <w:tblPr/>
      <w:tcPr>
        <w:tcBorders>
          <w:top w:val="single" w:sz="4" w:space="0" w:color="189394" w:themeColor="accent5"/>
          <w:bottom w:val="single" w:sz="4" w:space="0" w:color="189394"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89394" w:themeColor="accent5"/>
          <w:left w:val="nil"/>
        </w:tcBorders>
      </w:tcPr>
    </w:tblStylePr>
    <w:tblStylePr w:type="swCell">
      <w:tblPr/>
      <w:tcPr>
        <w:tcBorders>
          <w:top w:val="double" w:sz="4" w:space="0" w:color="189394" w:themeColor="accent5"/>
          <w:right w:val="nil"/>
        </w:tcBorders>
      </w:tcPr>
    </w:tblStylePr>
  </w:style>
  <w:style w:type="table" w:styleId="ListTable3-Accent6">
    <w:name w:val="List Table 3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17A673" w:themeColor="accent6"/>
        <w:left w:val="single" w:sz="4" w:space="0" w:color="17A673" w:themeColor="accent6"/>
        <w:bottom w:val="single" w:sz="4" w:space="0" w:color="17A673" w:themeColor="accent6"/>
        <w:right w:val="single" w:sz="4" w:space="0" w:color="17A673" w:themeColor="accent6"/>
      </w:tblBorders>
    </w:tblPr>
    <w:tblStylePr w:type="firstRow">
      <w:rPr>
        <w:b/>
        <w:bCs/>
        <w:color w:val="FFFFFF" w:themeColor="background1"/>
      </w:rPr>
      <w:tblPr/>
      <w:tcPr>
        <w:shd w:val="clear" w:color="auto" w:fill="17A673" w:themeFill="accent6"/>
      </w:tcPr>
    </w:tblStylePr>
    <w:tblStylePr w:type="lastRow">
      <w:rPr>
        <w:b/>
        <w:bCs/>
      </w:rPr>
      <w:tblPr/>
      <w:tcPr>
        <w:tcBorders>
          <w:top w:val="double" w:sz="4" w:space="0" w:color="17A673"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7A673" w:themeColor="accent6"/>
          <w:right w:val="single" w:sz="4" w:space="0" w:color="17A673" w:themeColor="accent6"/>
        </w:tcBorders>
      </w:tcPr>
    </w:tblStylePr>
    <w:tblStylePr w:type="band1Horz">
      <w:tblPr/>
      <w:tcPr>
        <w:tcBorders>
          <w:top w:val="single" w:sz="4" w:space="0" w:color="17A673" w:themeColor="accent6"/>
          <w:bottom w:val="single" w:sz="4" w:space="0" w:color="17A673"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7A673" w:themeColor="accent6"/>
          <w:left w:val="nil"/>
        </w:tcBorders>
      </w:tcPr>
    </w:tblStylePr>
    <w:tblStylePr w:type="swCell">
      <w:tblPr/>
      <w:tcPr>
        <w:tcBorders>
          <w:top w:val="double" w:sz="4" w:space="0" w:color="17A673" w:themeColor="accent6"/>
          <w:right w:val="nil"/>
        </w:tcBorders>
      </w:tcPr>
    </w:tblStylePr>
  </w:style>
  <w:style w:type="table" w:styleId="ListTable4">
    <w:name w:val="List Table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217BDD" w:themeColor="accent1" w:themeTint="99"/>
        <w:left w:val="single" w:sz="4" w:space="0" w:color="217BDD" w:themeColor="accent1" w:themeTint="99"/>
        <w:bottom w:val="single" w:sz="4" w:space="0" w:color="217BDD" w:themeColor="accent1" w:themeTint="99"/>
        <w:right w:val="single" w:sz="4" w:space="0" w:color="217BDD" w:themeColor="accent1" w:themeTint="99"/>
        <w:insideH w:val="single" w:sz="4" w:space="0" w:color="217BDD" w:themeColor="accent1" w:themeTint="99"/>
      </w:tblBorders>
    </w:tblPr>
    <w:tblStylePr w:type="firstRow">
      <w:rPr>
        <w:b/>
        <w:bCs/>
        <w:color w:val="FFFFFF" w:themeColor="background1"/>
      </w:rPr>
      <w:tblPr/>
      <w:tcPr>
        <w:tcBorders>
          <w:top w:val="single" w:sz="4" w:space="0" w:color="0B2949" w:themeColor="accent1"/>
          <w:left w:val="single" w:sz="4" w:space="0" w:color="0B2949" w:themeColor="accent1"/>
          <w:bottom w:val="single" w:sz="4" w:space="0" w:color="0B2949" w:themeColor="accent1"/>
          <w:right w:val="single" w:sz="4" w:space="0" w:color="0B2949" w:themeColor="accent1"/>
          <w:insideH w:val="nil"/>
        </w:tcBorders>
        <w:shd w:val="clear" w:color="auto" w:fill="0B2949" w:themeFill="accent1"/>
      </w:tcPr>
    </w:tblStylePr>
    <w:tblStylePr w:type="lastRow">
      <w:rPr>
        <w:b/>
        <w:bCs/>
      </w:rPr>
      <w:tblPr/>
      <w:tcPr>
        <w:tcBorders>
          <w:top w:val="double" w:sz="4" w:space="0" w:color="217BDD" w:themeColor="accent1" w:themeTint="99"/>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4-Accent2">
    <w:name w:val="List Table 4 Accent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E67C79" w:themeColor="accent2" w:themeTint="99"/>
        <w:left w:val="single" w:sz="4" w:space="0" w:color="E67C79" w:themeColor="accent2" w:themeTint="99"/>
        <w:bottom w:val="single" w:sz="4" w:space="0" w:color="E67C79" w:themeColor="accent2" w:themeTint="99"/>
        <w:right w:val="single" w:sz="4" w:space="0" w:color="E67C79" w:themeColor="accent2" w:themeTint="99"/>
        <w:insideH w:val="single" w:sz="4" w:space="0" w:color="E67C79" w:themeColor="accent2" w:themeTint="99"/>
      </w:tblBorders>
    </w:tblPr>
    <w:tblStylePr w:type="firstRow">
      <w:rPr>
        <w:b/>
        <w:bCs/>
        <w:color w:val="FFFFFF" w:themeColor="background1"/>
      </w:rPr>
      <w:tblPr/>
      <w:tcPr>
        <w:tcBorders>
          <w:top w:val="single" w:sz="4" w:space="0" w:color="D02B27" w:themeColor="accent2"/>
          <w:left w:val="single" w:sz="4" w:space="0" w:color="D02B27" w:themeColor="accent2"/>
          <w:bottom w:val="single" w:sz="4" w:space="0" w:color="D02B27" w:themeColor="accent2"/>
          <w:right w:val="single" w:sz="4" w:space="0" w:color="D02B27" w:themeColor="accent2"/>
          <w:insideH w:val="nil"/>
        </w:tcBorders>
        <w:shd w:val="clear" w:color="auto" w:fill="D02B27" w:themeFill="accent2"/>
      </w:tcPr>
    </w:tblStylePr>
    <w:tblStylePr w:type="lastRow">
      <w:rPr>
        <w:b/>
        <w:bCs/>
      </w:rPr>
      <w:tblPr/>
      <w:tcPr>
        <w:tcBorders>
          <w:top w:val="double" w:sz="4" w:space="0" w:color="E67C79" w:themeColor="accent2" w:themeTint="99"/>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4-Accent3">
    <w:name w:val="List Table 4 Accent 3"/>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99A4AD" w:themeColor="accent3" w:themeTint="99"/>
        <w:left w:val="single" w:sz="4" w:space="0" w:color="99A4AD" w:themeColor="accent3" w:themeTint="99"/>
        <w:bottom w:val="single" w:sz="4" w:space="0" w:color="99A4AD" w:themeColor="accent3" w:themeTint="99"/>
        <w:right w:val="single" w:sz="4" w:space="0" w:color="99A4AD" w:themeColor="accent3" w:themeTint="99"/>
        <w:insideH w:val="single" w:sz="4" w:space="0" w:color="99A4AD" w:themeColor="accent3" w:themeTint="99"/>
      </w:tblBorders>
    </w:tblPr>
    <w:tblStylePr w:type="firstRow">
      <w:rPr>
        <w:b/>
        <w:bCs/>
        <w:color w:val="FFFFFF" w:themeColor="background1"/>
      </w:rPr>
      <w:tblPr/>
      <w:tcPr>
        <w:tcBorders>
          <w:top w:val="single" w:sz="4" w:space="0" w:color="5B6771" w:themeColor="accent3"/>
          <w:left w:val="single" w:sz="4" w:space="0" w:color="5B6771" w:themeColor="accent3"/>
          <w:bottom w:val="single" w:sz="4" w:space="0" w:color="5B6771" w:themeColor="accent3"/>
          <w:right w:val="single" w:sz="4" w:space="0" w:color="5B6771" w:themeColor="accent3"/>
          <w:insideH w:val="nil"/>
        </w:tcBorders>
        <w:shd w:val="clear" w:color="auto" w:fill="5B6771" w:themeFill="accent3"/>
      </w:tcPr>
    </w:tblStylePr>
    <w:tblStylePr w:type="lastRow">
      <w:rPr>
        <w:b/>
        <w:bCs/>
      </w:rPr>
      <w:tblPr/>
      <w:tcPr>
        <w:tcBorders>
          <w:top w:val="double" w:sz="4" w:space="0" w:color="99A4AD" w:themeColor="accent3" w:themeTint="99"/>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4-Accent4">
    <w:name w:val="List Table 4 Accent 4"/>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F6D276" w:themeColor="accent4" w:themeTint="99"/>
        <w:left w:val="single" w:sz="4" w:space="0" w:color="F6D276" w:themeColor="accent4" w:themeTint="99"/>
        <w:bottom w:val="single" w:sz="4" w:space="0" w:color="F6D276" w:themeColor="accent4" w:themeTint="99"/>
        <w:right w:val="single" w:sz="4" w:space="0" w:color="F6D276" w:themeColor="accent4" w:themeTint="99"/>
        <w:insideH w:val="single" w:sz="4" w:space="0" w:color="F6D276" w:themeColor="accent4" w:themeTint="99"/>
      </w:tblBorders>
    </w:tblPr>
    <w:tblStylePr w:type="firstRow">
      <w:rPr>
        <w:b/>
        <w:bCs/>
        <w:color w:val="FFFFFF" w:themeColor="background1"/>
      </w:rPr>
      <w:tblPr/>
      <w:tcPr>
        <w:tcBorders>
          <w:top w:val="single" w:sz="4" w:space="0" w:color="F1B51C" w:themeColor="accent4"/>
          <w:left w:val="single" w:sz="4" w:space="0" w:color="F1B51C" w:themeColor="accent4"/>
          <w:bottom w:val="single" w:sz="4" w:space="0" w:color="F1B51C" w:themeColor="accent4"/>
          <w:right w:val="single" w:sz="4" w:space="0" w:color="F1B51C" w:themeColor="accent4"/>
          <w:insideH w:val="nil"/>
        </w:tcBorders>
        <w:shd w:val="clear" w:color="auto" w:fill="F1B51C" w:themeFill="accent4"/>
      </w:tcPr>
    </w:tblStylePr>
    <w:tblStylePr w:type="lastRow">
      <w:rPr>
        <w:b/>
        <w:bCs/>
      </w:rPr>
      <w:tblPr/>
      <w:tcPr>
        <w:tcBorders>
          <w:top w:val="double" w:sz="4" w:space="0" w:color="F6D276" w:themeColor="accent4" w:themeTint="99"/>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4-Accent5">
    <w:name w:val="List Table 4 Accent 5"/>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0E1E2" w:themeColor="accent5" w:themeTint="99"/>
        <w:left w:val="single" w:sz="4" w:space="0" w:color="50E1E2" w:themeColor="accent5" w:themeTint="99"/>
        <w:bottom w:val="single" w:sz="4" w:space="0" w:color="50E1E2" w:themeColor="accent5" w:themeTint="99"/>
        <w:right w:val="single" w:sz="4" w:space="0" w:color="50E1E2" w:themeColor="accent5" w:themeTint="99"/>
        <w:insideH w:val="single" w:sz="4" w:space="0" w:color="50E1E2" w:themeColor="accent5" w:themeTint="99"/>
      </w:tblBorders>
    </w:tblPr>
    <w:tblStylePr w:type="firstRow">
      <w:rPr>
        <w:b/>
        <w:bCs/>
        <w:color w:val="FFFFFF" w:themeColor="background1"/>
      </w:rPr>
      <w:tblPr/>
      <w:tcPr>
        <w:tcBorders>
          <w:top w:val="single" w:sz="4" w:space="0" w:color="189394" w:themeColor="accent5"/>
          <w:left w:val="single" w:sz="4" w:space="0" w:color="189394" w:themeColor="accent5"/>
          <w:bottom w:val="single" w:sz="4" w:space="0" w:color="189394" w:themeColor="accent5"/>
          <w:right w:val="single" w:sz="4" w:space="0" w:color="189394" w:themeColor="accent5"/>
          <w:insideH w:val="nil"/>
        </w:tcBorders>
        <w:shd w:val="clear" w:color="auto" w:fill="189394" w:themeFill="accent5"/>
      </w:tcPr>
    </w:tblStylePr>
    <w:tblStylePr w:type="lastRow">
      <w:rPr>
        <w:b/>
        <w:bCs/>
      </w:rPr>
      <w:tblPr/>
      <w:tcPr>
        <w:tcBorders>
          <w:top w:val="double" w:sz="4" w:space="0" w:color="50E1E2" w:themeColor="accent5" w:themeTint="99"/>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4-Accent6">
    <w:name w:val="List Table 4 Accent 6"/>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55E7B3" w:themeColor="accent6" w:themeTint="99"/>
        <w:left w:val="single" w:sz="4" w:space="0" w:color="55E7B3" w:themeColor="accent6" w:themeTint="99"/>
        <w:bottom w:val="single" w:sz="4" w:space="0" w:color="55E7B3" w:themeColor="accent6" w:themeTint="99"/>
        <w:right w:val="single" w:sz="4" w:space="0" w:color="55E7B3" w:themeColor="accent6" w:themeTint="99"/>
        <w:insideH w:val="single" w:sz="4" w:space="0" w:color="55E7B3" w:themeColor="accent6" w:themeTint="99"/>
      </w:tblBorders>
    </w:tblPr>
    <w:tblStylePr w:type="firstRow">
      <w:rPr>
        <w:b/>
        <w:bCs/>
        <w:color w:val="FFFFFF" w:themeColor="background1"/>
      </w:rPr>
      <w:tblPr/>
      <w:tcPr>
        <w:tcBorders>
          <w:top w:val="single" w:sz="4" w:space="0" w:color="17A673" w:themeColor="accent6"/>
          <w:left w:val="single" w:sz="4" w:space="0" w:color="17A673" w:themeColor="accent6"/>
          <w:bottom w:val="single" w:sz="4" w:space="0" w:color="17A673" w:themeColor="accent6"/>
          <w:right w:val="single" w:sz="4" w:space="0" w:color="17A673" w:themeColor="accent6"/>
          <w:insideH w:val="nil"/>
        </w:tcBorders>
        <w:shd w:val="clear" w:color="auto" w:fill="17A673" w:themeFill="accent6"/>
      </w:tcPr>
    </w:tblStylePr>
    <w:tblStylePr w:type="lastRow">
      <w:rPr>
        <w:b/>
        <w:bCs/>
      </w:rPr>
      <w:tblPr/>
      <w:tcPr>
        <w:tcBorders>
          <w:top w:val="double" w:sz="4" w:space="0" w:color="55E7B3" w:themeColor="accent6" w:themeTint="99"/>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5Dark">
    <w:name w:val="List Table 5 Dark"/>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0B2949" w:themeColor="accent1"/>
        <w:left w:val="single" w:sz="24" w:space="0" w:color="0B2949" w:themeColor="accent1"/>
        <w:bottom w:val="single" w:sz="24" w:space="0" w:color="0B2949" w:themeColor="accent1"/>
        <w:right w:val="single" w:sz="24" w:space="0" w:color="0B2949" w:themeColor="accent1"/>
      </w:tblBorders>
    </w:tblPr>
    <w:tcPr>
      <w:shd w:val="clear" w:color="auto" w:fill="0B2949"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D02B27" w:themeColor="accent2"/>
        <w:left w:val="single" w:sz="24" w:space="0" w:color="D02B27" w:themeColor="accent2"/>
        <w:bottom w:val="single" w:sz="24" w:space="0" w:color="D02B27" w:themeColor="accent2"/>
        <w:right w:val="single" w:sz="24" w:space="0" w:color="D02B27" w:themeColor="accent2"/>
      </w:tblBorders>
    </w:tblPr>
    <w:tcPr>
      <w:shd w:val="clear" w:color="auto" w:fill="D02B27"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5B6771" w:themeColor="accent3"/>
        <w:left w:val="single" w:sz="24" w:space="0" w:color="5B6771" w:themeColor="accent3"/>
        <w:bottom w:val="single" w:sz="24" w:space="0" w:color="5B6771" w:themeColor="accent3"/>
        <w:right w:val="single" w:sz="24" w:space="0" w:color="5B6771" w:themeColor="accent3"/>
      </w:tblBorders>
    </w:tblPr>
    <w:tcPr>
      <w:shd w:val="clear" w:color="auto" w:fill="5B6771"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F1B51C" w:themeColor="accent4"/>
        <w:left w:val="single" w:sz="24" w:space="0" w:color="F1B51C" w:themeColor="accent4"/>
        <w:bottom w:val="single" w:sz="24" w:space="0" w:color="F1B51C" w:themeColor="accent4"/>
        <w:right w:val="single" w:sz="24" w:space="0" w:color="F1B51C" w:themeColor="accent4"/>
      </w:tblBorders>
    </w:tblPr>
    <w:tcPr>
      <w:shd w:val="clear" w:color="auto" w:fill="F1B51C"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189394" w:themeColor="accent5"/>
        <w:left w:val="single" w:sz="24" w:space="0" w:color="189394" w:themeColor="accent5"/>
        <w:bottom w:val="single" w:sz="24" w:space="0" w:color="189394" w:themeColor="accent5"/>
        <w:right w:val="single" w:sz="24" w:space="0" w:color="189394" w:themeColor="accent5"/>
      </w:tblBorders>
    </w:tblPr>
    <w:tcPr>
      <w:shd w:val="clear" w:color="auto" w:fill="189394"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rsid w:val="00570E30"/>
    <w:rPr>
      <w:rFonts w:asciiTheme="minorHAnsi" w:eastAsiaTheme="minorHAnsi" w:hAnsiTheme="minorHAnsi" w:cstheme="minorBidi"/>
      <w:color w:val="FFFFFF" w:themeColor="background1"/>
      <w:sz w:val="22"/>
      <w:szCs w:val="22"/>
    </w:rPr>
    <w:tblPr>
      <w:tblStyleRowBandSize w:val="1"/>
      <w:tblStyleColBandSize w:val="1"/>
      <w:tblBorders>
        <w:top w:val="single" w:sz="24" w:space="0" w:color="17A673" w:themeColor="accent6"/>
        <w:left w:val="single" w:sz="24" w:space="0" w:color="17A673" w:themeColor="accent6"/>
        <w:bottom w:val="single" w:sz="24" w:space="0" w:color="17A673" w:themeColor="accent6"/>
        <w:right w:val="single" w:sz="24" w:space="0" w:color="17A673" w:themeColor="accent6"/>
      </w:tblBorders>
    </w:tblPr>
    <w:tcPr>
      <w:shd w:val="clear" w:color="auto" w:fill="17A673"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Borders>
        <w:top w:val="single" w:sz="4" w:space="0" w:color="0B2949" w:themeColor="accent1"/>
        <w:bottom w:val="single" w:sz="4" w:space="0" w:color="0B2949" w:themeColor="accent1"/>
      </w:tblBorders>
    </w:tblPr>
    <w:tblStylePr w:type="firstRow">
      <w:rPr>
        <w:b/>
        <w:bCs/>
      </w:rPr>
      <w:tblPr/>
      <w:tcPr>
        <w:tcBorders>
          <w:bottom w:val="single" w:sz="4" w:space="0" w:color="0B2949" w:themeColor="accent1"/>
        </w:tcBorders>
      </w:tcPr>
    </w:tblStylePr>
    <w:tblStylePr w:type="lastRow">
      <w:rPr>
        <w:b/>
        <w:bCs/>
      </w:rPr>
      <w:tblPr/>
      <w:tcPr>
        <w:tcBorders>
          <w:top w:val="double" w:sz="4" w:space="0" w:color="0B2949" w:themeColor="accent1"/>
        </w:tcBorders>
      </w:tcPr>
    </w:tblStylePr>
    <w:tblStylePr w:type="firstCol">
      <w:rPr>
        <w:b/>
        <w:bCs/>
      </w:rPr>
    </w:tblStylePr>
    <w:tblStylePr w:type="lastCol">
      <w:rPr>
        <w:b/>
        <w:bCs/>
      </w:rPr>
    </w:tblStylePr>
    <w:tblStylePr w:type="band1Vert">
      <w:tblPr/>
      <w:tcPr>
        <w:shd w:val="clear" w:color="auto" w:fill="B4D3F3" w:themeFill="accent1" w:themeFillTint="33"/>
      </w:tcPr>
    </w:tblStylePr>
    <w:tblStylePr w:type="band1Horz">
      <w:tblPr/>
      <w:tcPr>
        <w:shd w:val="clear" w:color="auto" w:fill="B4D3F3" w:themeFill="accent1" w:themeFillTint="33"/>
      </w:tcPr>
    </w:tblStylePr>
  </w:style>
  <w:style w:type="table" w:styleId="ListTable6Colorful-Accent2">
    <w:name w:val="List Table 6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Borders>
        <w:top w:val="single" w:sz="4" w:space="0" w:color="D02B27" w:themeColor="accent2"/>
        <w:bottom w:val="single" w:sz="4" w:space="0" w:color="D02B27" w:themeColor="accent2"/>
      </w:tblBorders>
    </w:tblPr>
    <w:tblStylePr w:type="firstRow">
      <w:rPr>
        <w:b/>
        <w:bCs/>
      </w:rPr>
      <w:tblPr/>
      <w:tcPr>
        <w:tcBorders>
          <w:bottom w:val="single" w:sz="4" w:space="0" w:color="D02B27" w:themeColor="accent2"/>
        </w:tcBorders>
      </w:tcPr>
    </w:tblStylePr>
    <w:tblStylePr w:type="lastRow">
      <w:rPr>
        <w:b/>
        <w:bCs/>
      </w:rPr>
      <w:tblPr/>
      <w:tcPr>
        <w:tcBorders>
          <w:top w:val="double" w:sz="4" w:space="0" w:color="D02B27" w:themeColor="accent2"/>
        </w:tcBorders>
      </w:tcPr>
    </w:tblStylePr>
    <w:tblStylePr w:type="firstCol">
      <w:rPr>
        <w:b/>
        <w:bCs/>
      </w:rPr>
    </w:tblStylePr>
    <w:tblStylePr w:type="lastCol">
      <w:rPr>
        <w:b/>
        <w:bCs/>
      </w:rPr>
    </w:tblStylePr>
    <w:tblStylePr w:type="band1Vert">
      <w:tblPr/>
      <w:tcPr>
        <w:shd w:val="clear" w:color="auto" w:fill="F6D3D2" w:themeFill="accent2" w:themeFillTint="33"/>
      </w:tcPr>
    </w:tblStylePr>
    <w:tblStylePr w:type="band1Horz">
      <w:tblPr/>
      <w:tcPr>
        <w:shd w:val="clear" w:color="auto" w:fill="F6D3D2" w:themeFill="accent2" w:themeFillTint="33"/>
      </w:tcPr>
    </w:tblStylePr>
  </w:style>
  <w:style w:type="table" w:styleId="ListTable6Colorful-Accent3">
    <w:name w:val="List Table 6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Borders>
        <w:top w:val="single" w:sz="4" w:space="0" w:color="5B6771" w:themeColor="accent3"/>
        <w:bottom w:val="single" w:sz="4" w:space="0" w:color="5B6771" w:themeColor="accent3"/>
      </w:tblBorders>
    </w:tblPr>
    <w:tblStylePr w:type="firstRow">
      <w:rPr>
        <w:b/>
        <w:bCs/>
      </w:rPr>
      <w:tblPr/>
      <w:tcPr>
        <w:tcBorders>
          <w:bottom w:val="single" w:sz="4" w:space="0" w:color="5B6771" w:themeColor="accent3"/>
        </w:tcBorders>
      </w:tcPr>
    </w:tblStylePr>
    <w:tblStylePr w:type="lastRow">
      <w:rPr>
        <w:b/>
        <w:bCs/>
      </w:rPr>
      <w:tblPr/>
      <w:tcPr>
        <w:tcBorders>
          <w:top w:val="double" w:sz="4" w:space="0" w:color="5B6771" w:themeColor="accent3"/>
        </w:tcBorders>
      </w:tcPr>
    </w:tblStylePr>
    <w:tblStylePr w:type="firstCol">
      <w:rPr>
        <w:b/>
        <w:bCs/>
      </w:rPr>
    </w:tblStylePr>
    <w:tblStylePr w:type="lastCol">
      <w:rPr>
        <w:b/>
        <w:bCs/>
      </w:rPr>
    </w:tblStylePr>
    <w:tblStylePr w:type="band1Vert">
      <w:tblPr/>
      <w:tcPr>
        <w:shd w:val="clear" w:color="auto" w:fill="DDE0E3" w:themeFill="accent3" w:themeFillTint="33"/>
      </w:tcPr>
    </w:tblStylePr>
    <w:tblStylePr w:type="band1Horz">
      <w:tblPr/>
      <w:tcPr>
        <w:shd w:val="clear" w:color="auto" w:fill="DDE0E3" w:themeFill="accent3" w:themeFillTint="33"/>
      </w:tcPr>
    </w:tblStylePr>
  </w:style>
  <w:style w:type="table" w:styleId="ListTable6Colorful-Accent4">
    <w:name w:val="List Table 6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Borders>
        <w:top w:val="single" w:sz="4" w:space="0" w:color="F1B51C" w:themeColor="accent4"/>
        <w:bottom w:val="single" w:sz="4" w:space="0" w:color="F1B51C" w:themeColor="accent4"/>
      </w:tblBorders>
    </w:tblPr>
    <w:tblStylePr w:type="firstRow">
      <w:rPr>
        <w:b/>
        <w:bCs/>
      </w:rPr>
      <w:tblPr/>
      <w:tcPr>
        <w:tcBorders>
          <w:bottom w:val="single" w:sz="4" w:space="0" w:color="F1B51C" w:themeColor="accent4"/>
        </w:tcBorders>
      </w:tcPr>
    </w:tblStylePr>
    <w:tblStylePr w:type="lastRow">
      <w:rPr>
        <w:b/>
        <w:bCs/>
      </w:rPr>
      <w:tblPr/>
      <w:tcPr>
        <w:tcBorders>
          <w:top w:val="double" w:sz="4" w:space="0" w:color="F1B51C" w:themeColor="accent4"/>
        </w:tcBorders>
      </w:tcPr>
    </w:tblStylePr>
    <w:tblStylePr w:type="firstCol">
      <w:rPr>
        <w:b/>
        <w:bCs/>
      </w:rPr>
    </w:tblStylePr>
    <w:tblStylePr w:type="lastCol">
      <w:rPr>
        <w:b/>
        <w:bCs/>
      </w:rPr>
    </w:tblStylePr>
    <w:tblStylePr w:type="band1Vert">
      <w:tblPr/>
      <w:tcPr>
        <w:shd w:val="clear" w:color="auto" w:fill="FCF0D1" w:themeFill="accent4" w:themeFillTint="33"/>
      </w:tcPr>
    </w:tblStylePr>
    <w:tblStylePr w:type="band1Horz">
      <w:tblPr/>
      <w:tcPr>
        <w:shd w:val="clear" w:color="auto" w:fill="FCF0D1" w:themeFill="accent4" w:themeFillTint="33"/>
      </w:tcPr>
    </w:tblStylePr>
  </w:style>
  <w:style w:type="table" w:styleId="ListTable6Colorful-Accent5">
    <w:name w:val="List Table 6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Borders>
        <w:top w:val="single" w:sz="4" w:space="0" w:color="189394" w:themeColor="accent5"/>
        <w:bottom w:val="single" w:sz="4" w:space="0" w:color="189394" w:themeColor="accent5"/>
      </w:tblBorders>
    </w:tblPr>
    <w:tblStylePr w:type="firstRow">
      <w:rPr>
        <w:b/>
        <w:bCs/>
      </w:rPr>
      <w:tblPr/>
      <w:tcPr>
        <w:tcBorders>
          <w:bottom w:val="single" w:sz="4" w:space="0" w:color="189394" w:themeColor="accent5"/>
        </w:tcBorders>
      </w:tcPr>
    </w:tblStylePr>
    <w:tblStylePr w:type="lastRow">
      <w:rPr>
        <w:b/>
        <w:bCs/>
      </w:rPr>
      <w:tblPr/>
      <w:tcPr>
        <w:tcBorders>
          <w:top w:val="double" w:sz="4" w:space="0" w:color="189394" w:themeColor="accent5"/>
        </w:tcBorders>
      </w:tcPr>
    </w:tblStylePr>
    <w:tblStylePr w:type="firstCol">
      <w:rPr>
        <w:b/>
        <w:bCs/>
      </w:rPr>
    </w:tblStylePr>
    <w:tblStylePr w:type="lastCol">
      <w:rPr>
        <w:b/>
        <w:bCs/>
      </w:rPr>
    </w:tblStylePr>
    <w:tblStylePr w:type="band1Vert">
      <w:tblPr/>
      <w:tcPr>
        <w:shd w:val="clear" w:color="auto" w:fill="C4F5F5" w:themeFill="accent5" w:themeFillTint="33"/>
      </w:tcPr>
    </w:tblStylePr>
    <w:tblStylePr w:type="band1Horz">
      <w:tblPr/>
      <w:tcPr>
        <w:shd w:val="clear" w:color="auto" w:fill="C4F5F5" w:themeFill="accent5" w:themeFillTint="33"/>
      </w:tcPr>
    </w:tblStylePr>
  </w:style>
  <w:style w:type="table" w:styleId="ListTable6Colorful-Accent6">
    <w:name w:val="List Table 6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Borders>
        <w:top w:val="single" w:sz="4" w:space="0" w:color="17A673" w:themeColor="accent6"/>
        <w:bottom w:val="single" w:sz="4" w:space="0" w:color="17A673" w:themeColor="accent6"/>
      </w:tblBorders>
    </w:tblPr>
    <w:tblStylePr w:type="firstRow">
      <w:rPr>
        <w:b/>
        <w:bCs/>
      </w:rPr>
      <w:tblPr/>
      <w:tcPr>
        <w:tcBorders>
          <w:bottom w:val="single" w:sz="4" w:space="0" w:color="17A673" w:themeColor="accent6"/>
        </w:tcBorders>
      </w:tcPr>
    </w:tblStylePr>
    <w:tblStylePr w:type="lastRow">
      <w:rPr>
        <w:b/>
        <w:bCs/>
      </w:rPr>
      <w:tblPr/>
      <w:tcPr>
        <w:tcBorders>
          <w:top w:val="double" w:sz="4" w:space="0" w:color="17A673" w:themeColor="accent6"/>
        </w:tcBorders>
      </w:tcPr>
    </w:tblStylePr>
    <w:tblStylePr w:type="firstCol">
      <w:rPr>
        <w:b/>
        <w:bCs/>
      </w:rPr>
    </w:tblStylePr>
    <w:tblStylePr w:type="lastCol">
      <w:rPr>
        <w:b/>
        <w:bCs/>
      </w:rPr>
    </w:tblStylePr>
    <w:tblStylePr w:type="band1Vert">
      <w:tblPr/>
      <w:tcPr>
        <w:shd w:val="clear" w:color="auto" w:fill="C6F7E5" w:themeFill="accent6" w:themeFillTint="33"/>
      </w:tcPr>
    </w:tblStylePr>
    <w:tblStylePr w:type="band1Horz">
      <w:tblPr/>
      <w:tcPr>
        <w:shd w:val="clear" w:color="auto" w:fill="C6F7E5" w:themeFill="accent6" w:themeFillTint="33"/>
      </w:tcPr>
    </w:tblStylePr>
  </w:style>
  <w:style w:type="table" w:styleId="ListTable7Colorful">
    <w:name w:val="List Table 7 Colorful"/>
    <w:basedOn w:val="TableNormal"/>
    <w:rsid w:val="00570E30"/>
    <w:rPr>
      <w:rFonts w:asciiTheme="minorHAnsi" w:eastAsiaTheme="minorHAnsi" w:hAnsiTheme="minorHAnsi" w:cstheme="minorBidi"/>
      <w:color w:val="000000" w:themeColor="text1"/>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rsid w:val="00570E30"/>
    <w:rPr>
      <w:rFonts w:asciiTheme="minorHAnsi" w:eastAsiaTheme="minorHAnsi" w:hAnsiTheme="minorHAnsi" w:cstheme="minorBidi"/>
      <w:color w:val="081E36" w:themeColor="accent1"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B2949"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B2949"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B2949"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B2949" w:themeColor="accent1"/>
        </w:tcBorders>
        <w:shd w:val="clear" w:color="auto" w:fill="FFFFFF" w:themeFill="background1"/>
      </w:tcPr>
    </w:tblStylePr>
    <w:tblStylePr w:type="band1Vert">
      <w:tblPr/>
      <w:tcPr>
        <w:shd w:val="clear" w:color="auto" w:fill="B4D3F3" w:themeFill="accent1" w:themeFillTint="33"/>
      </w:tcPr>
    </w:tblStylePr>
    <w:tblStylePr w:type="band1Horz">
      <w:tblPr/>
      <w:tcPr>
        <w:shd w:val="clear" w:color="auto" w:fill="B4D3F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rsid w:val="00570E30"/>
    <w:rPr>
      <w:rFonts w:asciiTheme="minorHAnsi" w:eastAsiaTheme="minorHAnsi" w:hAnsiTheme="minorHAnsi" w:cstheme="minorBidi"/>
      <w:color w:val="9B201D" w:themeColor="accent2"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D02B27"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D02B27"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D02B27"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D02B27" w:themeColor="accent2"/>
        </w:tcBorders>
        <w:shd w:val="clear" w:color="auto" w:fill="FFFFFF" w:themeFill="background1"/>
      </w:tcPr>
    </w:tblStylePr>
    <w:tblStylePr w:type="band1Vert">
      <w:tblPr/>
      <w:tcPr>
        <w:shd w:val="clear" w:color="auto" w:fill="F6D3D2" w:themeFill="accent2" w:themeFillTint="33"/>
      </w:tcPr>
    </w:tblStylePr>
    <w:tblStylePr w:type="band1Horz">
      <w:tblPr/>
      <w:tcPr>
        <w:shd w:val="clear" w:color="auto" w:fill="F6D3D2"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rsid w:val="00570E30"/>
    <w:rPr>
      <w:rFonts w:asciiTheme="minorHAnsi" w:eastAsiaTheme="minorHAnsi" w:hAnsiTheme="minorHAnsi" w:cstheme="minorBidi"/>
      <w:color w:val="444D54" w:themeColor="accent3"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6771"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6771"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6771"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6771" w:themeColor="accent3"/>
        </w:tcBorders>
        <w:shd w:val="clear" w:color="auto" w:fill="FFFFFF" w:themeFill="background1"/>
      </w:tcPr>
    </w:tblStylePr>
    <w:tblStylePr w:type="band1Vert">
      <w:tblPr/>
      <w:tcPr>
        <w:shd w:val="clear" w:color="auto" w:fill="DDE0E3" w:themeFill="accent3" w:themeFillTint="33"/>
      </w:tcPr>
    </w:tblStylePr>
    <w:tblStylePr w:type="band1Horz">
      <w:tblPr/>
      <w:tcPr>
        <w:shd w:val="clear" w:color="auto" w:fill="DDE0E3"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rsid w:val="00570E30"/>
    <w:rPr>
      <w:rFonts w:asciiTheme="minorHAnsi" w:eastAsiaTheme="minorHAnsi" w:hAnsiTheme="minorHAnsi" w:cstheme="minorBidi"/>
      <w:color w:val="BD8B0B" w:themeColor="accent4"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1B51C"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1B51C"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1B51C"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1B51C" w:themeColor="accent4"/>
        </w:tcBorders>
        <w:shd w:val="clear" w:color="auto" w:fill="FFFFFF" w:themeFill="background1"/>
      </w:tcPr>
    </w:tblStylePr>
    <w:tblStylePr w:type="band1Vert">
      <w:tblPr/>
      <w:tcPr>
        <w:shd w:val="clear" w:color="auto" w:fill="FCF0D1" w:themeFill="accent4" w:themeFillTint="33"/>
      </w:tcPr>
    </w:tblStylePr>
    <w:tblStylePr w:type="band1Horz">
      <w:tblPr/>
      <w:tcPr>
        <w:shd w:val="clear" w:color="auto" w:fill="FCF0D1"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rsid w:val="00570E30"/>
    <w:rPr>
      <w:rFonts w:asciiTheme="minorHAnsi" w:eastAsiaTheme="minorHAnsi" w:hAnsiTheme="minorHAnsi" w:cstheme="minorBidi"/>
      <w:color w:val="126D6E" w:themeColor="accent5"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89394"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89394"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89394"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89394" w:themeColor="accent5"/>
        </w:tcBorders>
        <w:shd w:val="clear" w:color="auto" w:fill="FFFFFF" w:themeFill="background1"/>
      </w:tcPr>
    </w:tblStylePr>
    <w:tblStylePr w:type="band1Vert">
      <w:tblPr/>
      <w:tcPr>
        <w:shd w:val="clear" w:color="auto" w:fill="C4F5F5" w:themeFill="accent5" w:themeFillTint="33"/>
      </w:tcPr>
    </w:tblStylePr>
    <w:tblStylePr w:type="band1Horz">
      <w:tblPr/>
      <w:tcPr>
        <w:shd w:val="clear" w:color="auto" w:fill="C4F5F5"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rsid w:val="00570E30"/>
    <w:rPr>
      <w:rFonts w:asciiTheme="minorHAnsi" w:eastAsiaTheme="minorHAnsi" w:hAnsiTheme="minorHAnsi" w:cstheme="minorBidi"/>
      <w:color w:val="117C55" w:themeColor="accent6" w:themeShade="BF"/>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7A673"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7A673"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7A673"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7A673" w:themeColor="accent6"/>
        </w:tcBorders>
        <w:shd w:val="clear" w:color="auto" w:fill="FFFFFF" w:themeFill="background1"/>
      </w:tcPr>
    </w:tblStylePr>
    <w:tblStylePr w:type="band1Vert">
      <w:tblPr/>
      <w:tcPr>
        <w:shd w:val="clear" w:color="auto" w:fill="C6F7E5" w:themeFill="accent6" w:themeFillTint="33"/>
      </w:tcPr>
    </w:tblStylePr>
    <w:tblStylePr w:type="band1Horz">
      <w:tblPr/>
      <w:tcPr>
        <w:shd w:val="clear" w:color="auto" w:fill="C6F7E5"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single" w:sz="8" w:space="0" w:color="195CA5" w:themeColor="accent1" w:themeTint="BF"/>
        <w:insideV w:val="single" w:sz="8" w:space="0" w:color="195CA5" w:themeColor="accent1" w:themeTint="BF"/>
      </w:tblBorders>
    </w:tblPr>
    <w:tcPr>
      <w:shd w:val="clear" w:color="auto" w:fill="A3C8F1" w:themeFill="accent1" w:themeFillTint="3F"/>
    </w:tcPr>
    <w:tblStylePr w:type="firstRow">
      <w:rPr>
        <w:b/>
        <w:bCs/>
      </w:rPr>
    </w:tblStylePr>
    <w:tblStylePr w:type="lastRow">
      <w:rPr>
        <w:b/>
        <w:bCs/>
      </w:rPr>
      <w:tblPr/>
      <w:tcPr>
        <w:tcBorders>
          <w:top w:val="single" w:sz="18" w:space="0" w:color="195CA5" w:themeColor="accent1" w:themeTint="BF"/>
        </w:tcBorders>
      </w:tcPr>
    </w:tblStylePr>
    <w:tblStylePr w:type="firstCol">
      <w:rPr>
        <w:b/>
        <w:bCs/>
      </w:rPr>
    </w:tblStylePr>
    <w:tblStylePr w:type="lastCol">
      <w:rPr>
        <w:b/>
        <w:bCs/>
      </w:rPr>
    </w:tblStylePr>
    <w:tblStylePr w:type="band1Vert">
      <w:tblPr/>
      <w:tcPr>
        <w:shd w:val="clear" w:color="auto" w:fill="4692E3" w:themeFill="accent1" w:themeFillTint="7F"/>
      </w:tcPr>
    </w:tblStylePr>
    <w:tblStylePr w:type="band1Horz">
      <w:tblPr/>
      <w:tcPr>
        <w:shd w:val="clear" w:color="auto" w:fill="4692E3" w:themeFill="accent1" w:themeFillTint="7F"/>
      </w:tcPr>
    </w:tblStylePr>
  </w:style>
  <w:style w:type="table" w:styleId="MediumGrid1-Accent2">
    <w:name w:val="Medium Grid 1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single" w:sz="8" w:space="0" w:color="E05C59" w:themeColor="accent2" w:themeTint="BF"/>
        <w:insideV w:val="single" w:sz="8" w:space="0" w:color="E05C59" w:themeColor="accent2" w:themeTint="BF"/>
      </w:tblBorders>
    </w:tblPr>
    <w:tcPr>
      <w:shd w:val="clear" w:color="auto" w:fill="F4C9C8" w:themeFill="accent2" w:themeFillTint="3F"/>
    </w:tcPr>
    <w:tblStylePr w:type="firstRow">
      <w:rPr>
        <w:b/>
        <w:bCs/>
      </w:rPr>
    </w:tblStylePr>
    <w:tblStylePr w:type="lastRow">
      <w:rPr>
        <w:b/>
        <w:bCs/>
      </w:rPr>
      <w:tblPr/>
      <w:tcPr>
        <w:tcBorders>
          <w:top w:val="single" w:sz="18" w:space="0" w:color="E05C59" w:themeColor="accent2" w:themeTint="BF"/>
        </w:tcBorders>
      </w:tcPr>
    </w:tblStylePr>
    <w:tblStylePr w:type="firstCol">
      <w:rPr>
        <w:b/>
        <w:bCs/>
      </w:rPr>
    </w:tblStylePr>
    <w:tblStylePr w:type="lastCol">
      <w:rPr>
        <w:b/>
        <w:bCs/>
      </w:rPr>
    </w:tblStylePr>
    <w:tblStylePr w:type="band1Vert">
      <w:tblPr/>
      <w:tcPr>
        <w:shd w:val="clear" w:color="auto" w:fill="EA9290" w:themeFill="accent2" w:themeFillTint="7F"/>
      </w:tcPr>
    </w:tblStylePr>
    <w:tblStylePr w:type="band1Horz">
      <w:tblPr/>
      <w:tcPr>
        <w:shd w:val="clear" w:color="auto" w:fill="EA9290" w:themeFill="accent2" w:themeFillTint="7F"/>
      </w:tcPr>
    </w:tblStylePr>
  </w:style>
  <w:style w:type="table" w:styleId="MediumGrid1-Accent3">
    <w:name w:val="Medium Grid 1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single" w:sz="8" w:space="0" w:color="7F8D98" w:themeColor="accent3" w:themeTint="BF"/>
        <w:insideV w:val="single" w:sz="8" w:space="0" w:color="7F8D98" w:themeColor="accent3" w:themeTint="BF"/>
      </w:tblBorders>
    </w:tblPr>
    <w:tcPr>
      <w:shd w:val="clear" w:color="auto" w:fill="D5D9DD" w:themeFill="accent3" w:themeFillTint="3F"/>
    </w:tcPr>
    <w:tblStylePr w:type="firstRow">
      <w:rPr>
        <w:b/>
        <w:bCs/>
      </w:rPr>
    </w:tblStylePr>
    <w:tblStylePr w:type="lastRow">
      <w:rPr>
        <w:b/>
        <w:bCs/>
      </w:rPr>
      <w:tblPr/>
      <w:tcPr>
        <w:tcBorders>
          <w:top w:val="single" w:sz="18" w:space="0" w:color="7F8D98" w:themeColor="accent3" w:themeTint="BF"/>
        </w:tcBorders>
      </w:tcPr>
    </w:tblStylePr>
    <w:tblStylePr w:type="firstCol">
      <w:rPr>
        <w:b/>
        <w:bCs/>
      </w:rPr>
    </w:tblStylePr>
    <w:tblStylePr w:type="lastCol">
      <w:rPr>
        <w:b/>
        <w:bCs/>
      </w:rPr>
    </w:tblStylePr>
    <w:tblStylePr w:type="band1Vert">
      <w:tblPr/>
      <w:tcPr>
        <w:shd w:val="clear" w:color="auto" w:fill="AAB3BB" w:themeFill="accent3" w:themeFillTint="7F"/>
      </w:tcPr>
    </w:tblStylePr>
    <w:tblStylePr w:type="band1Horz">
      <w:tblPr/>
      <w:tcPr>
        <w:shd w:val="clear" w:color="auto" w:fill="AAB3BB" w:themeFill="accent3" w:themeFillTint="7F"/>
      </w:tcPr>
    </w:tblStylePr>
  </w:style>
  <w:style w:type="table" w:styleId="MediumGrid1-Accent4">
    <w:name w:val="Medium Grid 1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single" w:sz="8" w:space="0" w:color="F4C754" w:themeColor="accent4" w:themeTint="BF"/>
        <w:insideV w:val="single" w:sz="8" w:space="0" w:color="F4C754" w:themeColor="accent4" w:themeTint="BF"/>
      </w:tblBorders>
    </w:tblPr>
    <w:tcPr>
      <w:shd w:val="clear" w:color="auto" w:fill="FBECC6" w:themeFill="accent4" w:themeFillTint="3F"/>
    </w:tcPr>
    <w:tblStylePr w:type="firstRow">
      <w:rPr>
        <w:b/>
        <w:bCs/>
      </w:rPr>
    </w:tblStylePr>
    <w:tblStylePr w:type="lastRow">
      <w:rPr>
        <w:b/>
        <w:bCs/>
      </w:rPr>
      <w:tblPr/>
      <w:tcPr>
        <w:tcBorders>
          <w:top w:val="single" w:sz="18" w:space="0" w:color="F4C754" w:themeColor="accent4" w:themeTint="BF"/>
        </w:tcBorders>
      </w:tcPr>
    </w:tblStylePr>
    <w:tblStylePr w:type="firstCol">
      <w:rPr>
        <w:b/>
        <w:bCs/>
      </w:rPr>
    </w:tblStylePr>
    <w:tblStylePr w:type="lastCol">
      <w:rPr>
        <w:b/>
        <w:bCs/>
      </w:rPr>
    </w:tblStylePr>
    <w:tblStylePr w:type="band1Vert">
      <w:tblPr/>
      <w:tcPr>
        <w:shd w:val="clear" w:color="auto" w:fill="F8DA8D" w:themeFill="accent4" w:themeFillTint="7F"/>
      </w:tcPr>
    </w:tblStylePr>
    <w:tblStylePr w:type="band1Horz">
      <w:tblPr/>
      <w:tcPr>
        <w:shd w:val="clear" w:color="auto" w:fill="F8DA8D" w:themeFill="accent4" w:themeFillTint="7F"/>
      </w:tcPr>
    </w:tblStylePr>
  </w:style>
  <w:style w:type="table" w:styleId="MediumGrid1-Accent5">
    <w:name w:val="Medium Grid 1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single" w:sz="8" w:space="0" w:color="25D9DB" w:themeColor="accent5" w:themeTint="BF"/>
        <w:insideV w:val="single" w:sz="8" w:space="0" w:color="25D9DB" w:themeColor="accent5" w:themeTint="BF"/>
      </w:tblBorders>
    </w:tblPr>
    <w:tcPr>
      <w:shd w:val="clear" w:color="auto" w:fill="B7F2F3" w:themeFill="accent5" w:themeFillTint="3F"/>
    </w:tcPr>
    <w:tblStylePr w:type="firstRow">
      <w:rPr>
        <w:b/>
        <w:bCs/>
      </w:rPr>
    </w:tblStylePr>
    <w:tblStylePr w:type="lastRow">
      <w:rPr>
        <w:b/>
        <w:bCs/>
      </w:rPr>
      <w:tblPr/>
      <w:tcPr>
        <w:tcBorders>
          <w:top w:val="single" w:sz="18" w:space="0" w:color="25D9DB" w:themeColor="accent5" w:themeTint="BF"/>
        </w:tcBorders>
      </w:tcPr>
    </w:tblStylePr>
    <w:tblStylePr w:type="firstCol">
      <w:rPr>
        <w:b/>
        <w:bCs/>
      </w:rPr>
    </w:tblStylePr>
    <w:tblStylePr w:type="lastCol">
      <w:rPr>
        <w:b/>
        <w:bCs/>
      </w:rPr>
    </w:tblStylePr>
    <w:tblStylePr w:type="band1Vert">
      <w:tblPr/>
      <w:tcPr>
        <w:shd w:val="clear" w:color="auto" w:fill="6DE6E7" w:themeFill="accent5" w:themeFillTint="7F"/>
      </w:tcPr>
    </w:tblStylePr>
    <w:tblStylePr w:type="band1Horz">
      <w:tblPr/>
      <w:tcPr>
        <w:shd w:val="clear" w:color="auto" w:fill="6DE6E7" w:themeFill="accent5" w:themeFillTint="7F"/>
      </w:tcPr>
    </w:tblStylePr>
  </w:style>
  <w:style w:type="table" w:styleId="MediumGrid1-Accent6">
    <w:name w:val="Medium Grid 1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single" w:sz="8" w:space="0" w:color="2BE1A0" w:themeColor="accent6" w:themeTint="BF"/>
        <w:insideV w:val="single" w:sz="8" w:space="0" w:color="2BE1A0" w:themeColor="accent6" w:themeTint="BF"/>
      </w:tblBorders>
    </w:tblPr>
    <w:tcPr>
      <w:shd w:val="clear" w:color="auto" w:fill="B9F5DF" w:themeFill="accent6" w:themeFillTint="3F"/>
    </w:tcPr>
    <w:tblStylePr w:type="firstRow">
      <w:rPr>
        <w:b/>
        <w:bCs/>
      </w:rPr>
    </w:tblStylePr>
    <w:tblStylePr w:type="lastRow">
      <w:rPr>
        <w:b/>
        <w:bCs/>
      </w:rPr>
      <w:tblPr/>
      <w:tcPr>
        <w:tcBorders>
          <w:top w:val="single" w:sz="18" w:space="0" w:color="2BE1A0" w:themeColor="accent6" w:themeTint="BF"/>
        </w:tcBorders>
      </w:tcPr>
    </w:tblStylePr>
    <w:tblStylePr w:type="firstCol">
      <w:rPr>
        <w:b/>
        <w:bCs/>
      </w:rPr>
    </w:tblStylePr>
    <w:tblStylePr w:type="lastCol">
      <w:rPr>
        <w:b/>
        <w:bCs/>
      </w:rPr>
    </w:tblStylePr>
    <w:tblStylePr w:type="band1Vert">
      <w:tblPr/>
      <w:tcPr>
        <w:shd w:val="clear" w:color="auto" w:fill="72EBC0" w:themeFill="accent6" w:themeFillTint="7F"/>
      </w:tcPr>
    </w:tblStylePr>
    <w:tblStylePr w:type="band1Horz">
      <w:tblPr/>
      <w:tcPr>
        <w:shd w:val="clear" w:color="auto" w:fill="72EBC0" w:themeFill="accent6" w:themeFillTint="7F"/>
      </w:tcPr>
    </w:tblStylePr>
  </w:style>
  <w:style w:type="table" w:styleId="MediumGrid2">
    <w:name w:val="Medium Grid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insideH w:val="single" w:sz="8" w:space="0" w:color="0B2949" w:themeColor="accent1"/>
        <w:insideV w:val="single" w:sz="8" w:space="0" w:color="0B2949" w:themeColor="accent1"/>
      </w:tblBorders>
    </w:tblPr>
    <w:tcPr>
      <w:shd w:val="clear" w:color="auto" w:fill="A3C8F1" w:themeFill="accent1" w:themeFillTint="3F"/>
    </w:tcPr>
    <w:tblStylePr w:type="firstRow">
      <w:rPr>
        <w:b/>
        <w:bCs/>
        <w:color w:val="000000" w:themeColor="text1"/>
      </w:rPr>
      <w:tblPr/>
      <w:tcPr>
        <w:shd w:val="clear" w:color="auto" w:fill="DAE9F9"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B4D3F3" w:themeFill="accent1" w:themeFillTint="33"/>
      </w:tcPr>
    </w:tblStylePr>
    <w:tblStylePr w:type="band1Vert">
      <w:tblPr/>
      <w:tcPr>
        <w:shd w:val="clear" w:color="auto" w:fill="4692E3" w:themeFill="accent1" w:themeFillTint="7F"/>
      </w:tcPr>
    </w:tblStylePr>
    <w:tblStylePr w:type="band1Horz">
      <w:tblPr/>
      <w:tcPr>
        <w:tcBorders>
          <w:insideH w:val="single" w:sz="6" w:space="0" w:color="0B2949" w:themeColor="accent1"/>
          <w:insideV w:val="single" w:sz="6" w:space="0" w:color="0B2949" w:themeColor="accent1"/>
        </w:tcBorders>
        <w:shd w:val="clear" w:color="auto" w:fill="4692E3"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insideH w:val="single" w:sz="8" w:space="0" w:color="D02B27" w:themeColor="accent2"/>
        <w:insideV w:val="single" w:sz="8" w:space="0" w:color="D02B27" w:themeColor="accent2"/>
      </w:tblBorders>
    </w:tblPr>
    <w:tcPr>
      <w:shd w:val="clear" w:color="auto" w:fill="F4C9C8" w:themeFill="accent2" w:themeFillTint="3F"/>
    </w:tcPr>
    <w:tblStylePr w:type="firstRow">
      <w:rPr>
        <w:b/>
        <w:bCs/>
        <w:color w:val="000000" w:themeColor="text1"/>
      </w:rPr>
      <w:tblPr/>
      <w:tcPr>
        <w:shd w:val="clear" w:color="auto" w:fill="FBE9E9"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6D3D2" w:themeFill="accent2" w:themeFillTint="33"/>
      </w:tcPr>
    </w:tblStylePr>
    <w:tblStylePr w:type="band1Vert">
      <w:tblPr/>
      <w:tcPr>
        <w:shd w:val="clear" w:color="auto" w:fill="EA9290" w:themeFill="accent2" w:themeFillTint="7F"/>
      </w:tcPr>
    </w:tblStylePr>
    <w:tblStylePr w:type="band1Horz">
      <w:tblPr/>
      <w:tcPr>
        <w:tcBorders>
          <w:insideH w:val="single" w:sz="6" w:space="0" w:color="D02B27" w:themeColor="accent2"/>
          <w:insideV w:val="single" w:sz="6" w:space="0" w:color="D02B27" w:themeColor="accent2"/>
        </w:tcBorders>
        <w:shd w:val="clear" w:color="auto" w:fill="EA9290"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insideH w:val="single" w:sz="8" w:space="0" w:color="5B6771" w:themeColor="accent3"/>
        <w:insideV w:val="single" w:sz="8" w:space="0" w:color="5B6771" w:themeColor="accent3"/>
      </w:tblBorders>
    </w:tblPr>
    <w:tcPr>
      <w:shd w:val="clear" w:color="auto" w:fill="D5D9DD" w:themeFill="accent3" w:themeFillTint="3F"/>
    </w:tcPr>
    <w:tblStylePr w:type="firstRow">
      <w:rPr>
        <w:b/>
        <w:bCs/>
        <w:color w:val="000000" w:themeColor="text1"/>
      </w:rPr>
      <w:tblPr/>
      <w:tcPr>
        <w:shd w:val="clear" w:color="auto" w:fill="EEF0F1"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DE0E3" w:themeFill="accent3" w:themeFillTint="33"/>
      </w:tcPr>
    </w:tblStylePr>
    <w:tblStylePr w:type="band1Vert">
      <w:tblPr/>
      <w:tcPr>
        <w:shd w:val="clear" w:color="auto" w:fill="AAB3BB" w:themeFill="accent3" w:themeFillTint="7F"/>
      </w:tcPr>
    </w:tblStylePr>
    <w:tblStylePr w:type="band1Horz">
      <w:tblPr/>
      <w:tcPr>
        <w:tcBorders>
          <w:insideH w:val="single" w:sz="6" w:space="0" w:color="5B6771" w:themeColor="accent3"/>
          <w:insideV w:val="single" w:sz="6" w:space="0" w:color="5B6771" w:themeColor="accent3"/>
        </w:tcBorders>
        <w:shd w:val="clear" w:color="auto" w:fill="AAB3BB"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insideH w:val="single" w:sz="8" w:space="0" w:color="F1B51C" w:themeColor="accent4"/>
        <w:insideV w:val="single" w:sz="8" w:space="0" w:color="F1B51C" w:themeColor="accent4"/>
      </w:tblBorders>
    </w:tblPr>
    <w:tcPr>
      <w:shd w:val="clear" w:color="auto" w:fill="FBECC6" w:themeFill="accent4" w:themeFillTint="3F"/>
    </w:tcPr>
    <w:tblStylePr w:type="firstRow">
      <w:rPr>
        <w:b/>
        <w:bCs/>
        <w:color w:val="000000" w:themeColor="text1"/>
      </w:rPr>
      <w:tblPr/>
      <w:tcPr>
        <w:shd w:val="clear" w:color="auto" w:fill="FDF7E8"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CF0D1" w:themeFill="accent4" w:themeFillTint="33"/>
      </w:tcPr>
    </w:tblStylePr>
    <w:tblStylePr w:type="band1Vert">
      <w:tblPr/>
      <w:tcPr>
        <w:shd w:val="clear" w:color="auto" w:fill="F8DA8D" w:themeFill="accent4" w:themeFillTint="7F"/>
      </w:tcPr>
    </w:tblStylePr>
    <w:tblStylePr w:type="band1Horz">
      <w:tblPr/>
      <w:tcPr>
        <w:tcBorders>
          <w:insideH w:val="single" w:sz="6" w:space="0" w:color="F1B51C" w:themeColor="accent4"/>
          <w:insideV w:val="single" w:sz="6" w:space="0" w:color="F1B51C" w:themeColor="accent4"/>
        </w:tcBorders>
        <w:shd w:val="clear" w:color="auto" w:fill="F8DA8D"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insideH w:val="single" w:sz="8" w:space="0" w:color="189394" w:themeColor="accent5"/>
        <w:insideV w:val="single" w:sz="8" w:space="0" w:color="189394" w:themeColor="accent5"/>
      </w:tblBorders>
    </w:tblPr>
    <w:tcPr>
      <w:shd w:val="clear" w:color="auto" w:fill="B7F2F3" w:themeFill="accent5" w:themeFillTint="3F"/>
    </w:tcPr>
    <w:tblStylePr w:type="firstRow">
      <w:rPr>
        <w:b/>
        <w:bCs/>
        <w:color w:val="000000" w:themeColor="text1"/>
      </w:rPr>
      <w:tblPr/>
      <w:tcPr>
        <w:shd w:val="clear" w:color="auto" w:fill="E2FAFA"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4F5F5" w:themeFill="accent5" w:themeFillTint="33"/>
      </w:tcPr>
    </w:tblStylePr>
    <w:tblStylePr w:type="band1Vert">
      <w:tblPr/>
      <w:tcPr>
        <w:shd w:val="clear" w:color="auto" w:fill="6DE6E7" w:themeFill="accent5" w:themeFillTint="7F"/>
      </w:tcPr>
    </w:tblStylePr>
    <w:tblStylePr w:type="band1Horz">
      <w:tblPr/>
      <w:tcPr>
        <w:tcBorders>
          <w:insideH w:val="single" w:sz="6" w:space="0" w:color="189394" w:themeColor="accent5"/>
          <w:insideV w:val="single" w:sz="6" w:space="0" w:color="189394" w:themeColor="accent5"/>
        </w:tcBorders>
        <w:shd w:val="clear" w:color="auto" w:fill="6DE6E7"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insideH w:val="single" w:sz="8" w:space="0" w:color="17A673" w:themeColor="accent6"/>
        <w:insideV w:val="single" w:sz="8" w:space="0" w:color="17A673" w:themeColor="accent6"/>
      </w:tblBorders>
    </w:tblPr>
    <w:tcPr>
      <w:shd w:val="clear" w:color="auto" w:fill="B9F5DF" w:themeFill="accent6" w:themeFillTint="3F"/>
    </w:tcPr>
    <w:tblStylePr w:type="firstRow">
      <w:rPr>
        <w:b/>
        <w:bCs/>
        <w:color w:val="000000" w:themeColor="text1"/>
      </w:rPr>
      <w:tblPr/>
      <w:tcPr>
        <w:shd w:val="clear" w:color="auto" w:fill="E3FBF2"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6F7E5" w:themeFill="accent6" w:themeFillTint="33"/>
      </w:tcPr>
    </w:tblStylePr>
    <w:tblStylePr w:type="band1Vert">
      <w:tblPr/>
      <w:tcPr>
        <w:shd w:val="clear" w:color="auto" w:fill="72EBC0" w:themeFill="accent6" w:themeFillTint="7F"/>
      </w:tcPr>
    </w:tblStylePr>
    <w:tblStylePr w:type="band1Horz">
      <w:tblPr/>
      <w:tcPr>
        <w:tcBorders>
          <w:insideH w:val="single" w:sz="6" w:space="0" w:color="17A673" w:themeColor="accent6"/>
          <w:insideV w:val="single" w:sz="6" w:space="0" w:color="17A673" w:themeColor="accent6"/>
        </w:tcBorders>
        <w:shd w:val="clear" w:color="auto" w:fill="72EBC0" w:themeFill="accent6" w:themeFillTint="7F"/>
      </w:tcPr>
    </w:tblStylePr>
    <w:tblStylePr w:type="nwCell">
      <w:tblPr/>
      <w:tcPr>
        <w:shd w:val="clear" w:color="auto" w:fill="FFFFFF" w:themeFill="background1"/>
      </w:tcPr>
    </w:tblStylePr>
  </w:style>
  <w:style w:type="table" w:styleId="MediumGrid3">
    <w:name w:val="Medium Grid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A3C8F1"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B2949"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B2949"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B2949"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B2949"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4692E3"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4692E3" w:themeFill="accent1" w:themeFillTint="7F"/>
      </w:tcPr>
    </w:tblStylePr>
  </w:style>
  <w:style w:type="table" w:styleId="MediumGrid3-Accent2">
    <w:name w:val="Medium Grid 3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4C9C8"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D02B27"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D02B27"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D02B27"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D02B27"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EA9290"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EA9290" w:themeFill="accent2" w:themeFillTint="7F"/>
      </w:tcPr>
    </w:tblStylePr>
  </w:style>
  <w:style w:type="table" w:styleId="MediumGrid3-Accent3">
    <w:name w:val="Medium Grid 3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5D9DD"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6771"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6771"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6771"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6771"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AB3BB"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AB3BB" w:themeFill="accent3" w:themeFillTint="7F"/>
      </w:tcPr>
    </w:tblStylePr>
  </w:style>
  <w:style w:type="table" w:styleId="MediumGrid3-Accent4">
    <w:name w:val="Medium Grid 3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BECC6"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1B51C"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1B51C"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1B51C"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1B51C"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8DA8D"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8DA8D" w:themeFill="accent4" w:themeFillTint="7F"/>
      </w:tcPr>
    </w:tblStylePr>
  </w:style>
  <w:style w:type="table" w:styleId="MediumGrid3-Accent5">
    <w:name w:val="Medium Grid 3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7F2F3"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8939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8939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8939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8939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DE6E7"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DE6E7" w:themeFill="accent5" w:themeFillTint="7F"/>
      </w:tcPr>
    </w:tblStylePr>
  </w:style>
  <w:style w:type="table" w:styleId="MediumGrid3-Accent6">
    <w:name w:val="Medium Grid 3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9F5DF"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7A673"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7A673"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7A673"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7A673"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2EBC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2EBC0" w:themeFill="accent6" w:themeFillTint="7F"/>
      </w:tcPr>
    </w:tblStylePr>
  </w:style>
  <w:style w:type="table" w:styleId="MediumList1">
    <w:name w:val="Medium Lis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46B5C"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0B2949" w:themeColor="accent1"/>
        <w:bottom w:val="single" w:sz="8" w:space="0" w:color="0B2949" w:themeColor="accent1"/>
      </w:tblBorders>
    </w:tblPr>
    <w:tblStylePr w:type="firstRow">
      <w:rPr>
        <w:rFonts w:asciiTheme="majorHAnsi" w:eastAsiaTheme="majorEastAsia" w:hAnsiTheme="majorHAnsi" w:cstheme="majorBidi"/>
      </w:rPr>
      <w:tblPr/>
      <w:tcPr>
        <w:tcBorders>
          <w:top w:val="nil"/>
          <w:bottom w:val="single" w:sz="8" w:space="0" w:color="0B2949" w:themeColor="accent1"/>
        </w:tcBorders>
      </w:tcPr>
    </w:tblStylePr>
    <w:tblStylePr w:type="lastRow">
      <w:rPr>
        <w:b/>
        <w:bCs/>
        <w:color w:val="046B5C" w:themeColor="text2"/>
      </w:rPr>
      <w:tblPr/>
      <w:tcPr>
        <w:tcBorders>
          <w:top w:val="single" w:sz="8" w:space="0" w:color="0B2949" w:themeColor="accent1"/>
          <w:bottom w:val="single" w:sz="8" w:space="0" w:color="0B2949" w:themeColor="accent1"/>
        </w:tcBorders>
      </w:tcPr>
    </w:tblStylePr>
    <w:tblStylePr w:type="firstCol">
      <w:rPr>
        <w:b/>
        <w:bCs/>
      </w:rPr>
    </w:tblStylePr>
    <w:tblStylePr w:type="lastCol">
      <w:rPr>
        <w:b/>
        <w:bCs/>
      </w:rPr>
      <w:tblPr/>
      <w:tcPr>
        <w:tcBorders>
          <w:top w:val="single" w:sz="8" w:space="0" w:color="0B2949" w:themeColor="accent1"/>
          <w:bottom w:val="single" w:sz="8" w:space="0" w:color="0B2949" w:themeColor="accent1"/>
        </w:tcBorders>
      </w:tcPr>
    </w:tblStylePr>
    <w:tblStylePr w:type="band1Vert">
      <w:tblPr/>
      <w:tcPr>
        <w:shd w:val="clear" w:color="auto" w:fill="A3C8F1" w:themeFill="accent1" w:themeFillTint="3F"/>
      </w:tcPr>
    </w:tblStylePr>
    <w:tblStylePr w:type="band1Horz">
      <w:tblPr/>
      <w:tcPr>
        <w:shd w:val="clear" w:color="auto" w:fill="A3C8F1" w:themeFill="accent1" w:themeFillTint="3F"/>
      </w:tcPr>
    </w:tblStylePr>
  </w:style>
  <w:style w:type="table" w:styleId="MediumList1-Accent2">
    <w:name w:val="Medium List 1 Accent 2"/>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D02B27" w:themeColor="accent2"/>
        <w:bottom w:val="single" w:sz="8" w:space="0" w:color="D02B27" w:themeColor="accent2"/>
      </w:tblBorders>
    </w:tblPr>
    <w:tblStylePr w:type="firstRow">
      <w:rPr>
        <w:rFonts w:asciiTheme="majorHAnsi" w:eastAsiaTheme="majorEastAsia" w:hAnsiTheme="majorHAnsi" w:cstheme="majorBidi"/>
      </w:rPr>
      <w:tblPr/>
      <w:tcPr>
        <w:tcBorders>
          <w:top w:val="nil"/>
          <w:bottom w:val="single" w:sz="8" w:space="0" w:color="D02B27" w:themeColor="accent2"/>
        </w:tcBorders>
      </w:tcPr>
    </w:tblStylePr>
    <w:tblStylePr w:type="lastRow">
      <w:rPr>
        <w:b/>
        <w:bCs/>
        <w:color w:val="046B5C" w:themeColor="text2"/>
      </w:rPr>
      <w:tblPr/>
      <w:tcPr>
        <w:tcBorders>
          <w:top w:val="single" w:sz="8" w:space="0" w:color="D02B27" w:themeColor="accent2"/>
          <w:bottom w:val="single" w:sz="8" w:space="0" w:color="D02B27" w:themeColor="accent2"/>
        </w:tcBorders>
      </w:tcPr>
    </w:tblStylePr>
    <w:tblStylePr w:type="firstCol">
      <w:rPr>
        <w:b/>
        <w:bCs/>
      </w:rPr>
    </w:tblStylePr>
    <w:tblStylePr w:type="lastCol">
      <w:rPr>
        <w:b/>
        <w:bCs/>
      </w:rPr>
      <w:tblPr/>
      <w:tcPr>
        <w:tcBorders>
          <w:top w:val="single" w:sz="8" w:space="0" w:color="D02B27" w:themeColor="accent2"/>
          <w:bottom w:val="single" w:sz="8" w:space="0" w:color="D02B27" w:themeColor="accent2"/>
        </w:tcBorders>
      </w:tcPr>
    </w:tblStylePr>
    <w:tblStylePr w:type="band1Vert">
      <w:tblPr/>
      <w:tcPr>
        <w:shd w:val="clear" w:color="auto" w:fill="F4C9C8" w:themeFill="accent2" w:themeFillTint="3F"/>
      </w:tcPr>
    </w:tblStylePr>
    <w:tblStylePr w:type="band1Horz">
      <w:tblPr/>
      <w:tcPr>
        <w:shd w:val="clear" w:color="auto" w:fill="F4C9C8" w:themeFill="accent2" w:themeFillTint="3F"/>
      </w:tcPr>
    </w:tblStylePr>
  </w:style>
  <w:style w:type="table" w:styleId="MediumList1-Accent3">
    <w:name w:val="Medium List 1 Accent 3"/>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5B6771" w:themeColor="accent3"/>
        <w:bottom w:val="single" w:sz="8" w:space="0" w:color="5B6771" w:themeColor="accent3"/>
      </w:tblBorders>
    </w:tblPr>
    <w:tblStylePr w:type="firstRow">
      <w:rPr>
        <w:rFonts w:asciiTheme="majorHAnsi" w:eastAsiaTheme="majorEastAsia" w:hAnsiTheme="majorHAnsi" w:cstheme="majorBidi"/>
      </w:rPr>
      <w:tblPr/>
      <w:tcPr>
        <w:tcBorders>
          <w:top w:val="nil"/>
          <w:bottom w:val="single" w:sz="8" w:space="0" w:color="5B6771" w:themeColor="accent3"/>
        </w:tcBorders>
      </w:tcPr>
    </w:tblStylePr>
    <w:tblStylePr w:type="lastRow">
      <w:rPr>
        <w:b/>
        <w:bCs/>
        <w:color w:val="046B5C" w:themeColor="text2"/>
      </w:rPr>
      <w:tblPr/>
      <w:tcPr>
        <w:tcBorders>
          <w:top w:val="single" w:sz="8" w:space="0" w:color="5B6771" w:themeColor="accent3"/>
          <w:bottom w:val="single" w:sz="8" w:space="0" w:color="5B6771" w:themeColor="accent3"/>
        </w:tcBorders>
      </w:tcPr>
    </w:tblStylePr>
    <w:tblStylePr w:type="firstCol">
      <w:rPr>
        <w:b/>
        <w:bCs/>
      </w:rPr>
    </w:tblStylePr>
    <w:tblStylePr w:type="lastCol">
      <w:rPr>
        <w:b/>
        <w:bCs/>
      </w:rPr>
      <w:tblPr/>
      <w:tcPr>
        <w:tcBorders>
          <w:top w:val="single" w:sz="8" w:space="0" w:color="5B6771" w:themeColor="accent3"/>
          <w:bottom w:val="single" w:sz="8" w:space="0" w:color="5B6771" w:themeColor="accent3"/>
        </w:tcBorders>
      </w:tcPr>
    </w:tblStylePr>
    <w:tblStylePr w:type="band1Vert">
      <w:tblPr/>
      <w:tcPr>
        <w:shd w:val="clear" w:color="auto" w:fill="D5D9DD" w:themeFill="accent3" w:themeFillTint="3F"/>
      </w:tcPr>
    </w:tblStylePr>
    <w:tblStylePr w:type="band1Horz">
      <w:tblPr/>
      <w:tcPr>
        <w:shd w:val="clear" w:color="auto" w:fill="D5D9DD" w:themeFill="accent3" w:themeFillTint="3F"/>
      </w:tcPr>
    </w:tblStylePr>
  </w:style>
  <w:style w:type="table" w:styleId="MediumList1-Accent4">
    <w:name w:val="Medium List 1 Accent 4"/>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F1B51C" w:themeColor="accent4"/>
        <w:bottom w:val="single" w:sz="8" w:space="0" w:color="F1B51C" w:themeColor="accent4"/>
      </w:tblBorders>
    </w:tblPr>
    <w:tblStylePr w:type="firstRow">
      <w:rPr>
        <w:rFonts w:asciiTheme="majorHAnsi" w:eastAsiaTheme="majorEastAsia" w:hAnsiTheme="majorHAnsi" w:cstheme="majorBidi"/>
      </w:rPr>
      <w:tblPr/>
      <w:tcPr>
        <w:tcBorders>
          <w:top w:val="nil"/>
          <w:bottom w:val="single" w:sz="8" w:space="0" w:color="F1B51C" w:themeColor="accent4"/>
        </w:tcBorders>
      </w:tcPr>
    </w:tblStylePr>
    <w:tblStylePr w:type="lastRow">
      <w:rPr>
        <w:b/>
        <w:bCs/>
        <w:color w:val="046B5C" w:themeColor="text2"/>
      </w:rPr>
      <w:tblPr/>
      <w:tcPr>
        <w:tcBorders>
          <w:top w:val="single" w:sz="8" w:space="0" w:color="F1B51C" w:themeColor="accent4"/>
          <w:bottom w:val="single" w:sz="8" w:space="0" w:color="F1B51C" w:themeColor="accent4"/>
        </w:tcBorders>
      </w:tcPr>
    </w:tblStylePr>
    <w:tblStylePr w:type="firstCol">
      <w:rPr>
        <w:b/>
        <w:bCs/>
      </w:rPr>
    </w:tblStylePr>
    <w:tblStylePr w:type="lastCol">
      <w:rPr>
        <w:b/>
        <w:bCs/>
      </w:rPr>
      <w:tblPr/>
      <w:tcPr>
        <w:tcBorders>
          <w:top w:val="single" w:sz="8" w:space="0" w:color="F1B51C" w:themeColor="accent4"/>
          <w:bottom w:val="single" w:sz="8" w:space="0" w:color="F1B51C" w:themeColor="accent4"/>
        </w:tcBorders>
      </w:tcPr>
    </w:tblStylePr>
    <w:tblStylePr w:type="band1Vert">
      <w:tblPr/>
      <w:tcPr>
        <w:shd w:val="clear" w:color="auto" w:fill="FBECC6" w:themeFill="accent4" w:themeFillTint="3F"/>
      </w:tcPr>
    </w:tblStylePr>
    <w:tblStylePr w:type="band1Horz">
      <w:tblPr/>
      <w:tcPr>
        <w:shd w:val="clear" w:color="auto" w:fill="FBECC6" w:themeFill="accent4" w:themeFillTint="3F"/>
      </w:tcPr>
    </w:tblStylePr>
  </w:style>
  <w:style w:type="table" w:styleId="MediumList1-Accent5">
    <w:name w:val="Medium List 1 Accent 5"/>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189394" w:themeColor="accent5"/>
        <w:bottom w:val="single" w:sz="8" w:space="0" w:color="189394" w:themeColor="accent5"/>
      </w:tblBorders>
    </w:tblPr>
    <w:tblStylePr w:type="firstRow">
      <w:rPr>
        <w:rFonts w:asciiTheme="majorHAnsi" w:eastAsiaTheme="majorEastAsia" w:hAnsiTheme="majorHAnsi" w:cstheme="majorBidi"/>
      </w:rPr>
      <w:tblPr/>
      <w:tcPr>
        <w:tcBorders>
          <w:top w:val="nil"/>
          <w:bottom w:val="single" w:sz="8" w:space="0" w:color="189394" w:themeColor="accent5"/>
        </w:tcBorders>
      </w:tcPr>
    </w:tblStylePr>
    <w:tblStylePr w:type="lastRow">
      <w:rPr>
        <w:b/>
        <w:bCs/>
        <w:color w:val="046B5C" w:themeColor="text2"/>
      </w:rPr>
      <w:tblPr/>
      <w:tcPr>
        <w:tcBorders>
          <w:top w:val="single" w:sz="8" w:space="0" w:color="189394" w:themeColor="accent5"/>
          <w:bottom w:val="single" w:sz="8" w:space="0" w:color="189394" w:themeColor="accent5"/>
        </w:tcBorders>
      </w:tcPr>
    </w:tblStylePr>
    <w:tblStylePr w:type="firstCol">
      <w:rPr>
        <w:b/>
        <w:bCs/>
      </w:rPr>
    </w:tblStylePr>
    <w:tblStylePr w:type="lastCol">
      <w:rPr>
        <w:b/>
        <w:bCs/>
      </w:rPr>
      <w:tblPr/>
      <w:tcPr>
        <w:tcBorders>
          <w:top w:val="single" w:sz="8" w:space="0" w:color="189394" w:themeColor="accent5"/>
          <w:bottom w:val="single" w:sz="8" w:space="0" w:color="189394" w:themeColor="accent5"/>
        </w:tcBorders>
      </w:tcPr>
    </w:tblStylePr>
    <w:tblStylePr w:type="band1Vert">
      <w:tblPr/>
      <w:tcPr>
        <w:shd w:val="clear" w:color="auto" w:fill="B7F2F3" w:themeFill="accent5" w:themeFillTint="3F"/>
      </w:tcPr>
    </w:tblStylePr>
    <w:tblStylePr w:type="band1Horz">
      <w:tblPr/>
      <w:tcPr>
        <w:shd w:val="clear" w:color="auto" w:fill="B7F2F3" w:themeFill="accent5" w:themeFillTint="3F"/>
      </w:tcPr>
    </w:tblStylePr>
  </w:style>
  <w:style w:type="table" w:styleId="MediumList1-Accent6">
    <w:name w:val="Medium List 1 Accent 6"/>
    <w:basedOn w:val="TableNormal"/>
    <w:unhideWhenUsed/>
    <w:rsid w:val="00570E30"/>
    <w:rPr>
      <w:rFonts w:asciiTheme="minorHAnsi" w:eastAsiaTheme="minorHAnsi" w:hAnsiTheme="minorHAnsi" w:cstheme="minorBidi"/>
      <w:color w:val="000000" w:themeColor="text1"/>
      <w:sz w:val="22"/>
      <w:szCs w:val="22"/>
    </w:rPr>
    <w:tblPr>
      <w:tblStyleRowBandSize w:val="1"/>
      <w:tblStyleColBandSize w:val="1"/>
      <w:tblBorders>
        <w:top w:val="single" w:sz="8" w:space="0" w:color="17A673" w:themeColor="accent6"/>
        <w:bottom w:val="single" w:sz="8" w:space="0" w:color="17A673" w:themeColor="accent6"/>
      </w:tblBorders>
    </w:tblPr>
    <w:tblStylePr w:type="firstRow">
      <w:rPr>
        <w:rFonts w:asciiTheme="majorHAnsi" w:eastAsiaTheme="majorEastAsia" w:hAnsiTheme="majorHAnsi" w:cstheme="majorBidi"/>
      </w:rPr>
      <w:tblPr/>
      <w:tcPr>
        <w:tcBorders>
          <w:top w:val="nil"/>
          <w:bottom w:val="single" w:sz="8" w:space="0" w:color="17A673" w:themeColor="accent6"/>
        </w:tcBorders>
      </w:tcPr>
    </w:tblStylePr>
    <w:tblStylePr w:type="lastRow">
      <w:rPr>
        <w:b/>
        <w:bCs/>
        <w:color w:val="046B5C" w:themeColor="text2"/>
      </w:rPr>
      <w:tblPr/>
      <w:tcPr>
        <w:tcBorders>
          <w:top w:val="single" w:sz="8" w:space="0" w:color="17A673" w:themeColor="accent6"/>
          <w:bottom w:val="single" w:sz="8" w:space="0" w:color="17A673" w:themeColor="accent6"/>
        </w:tcBorders>
      </w:tcPr>
    </w:tblStylePr>
    <w:tblStylePr w:type="firstCol">
      <w:rPr>
        <w:b/>
        <w:bCs/>
      </w:rPr>
    </w:tblStylePr>
    <w:tblStylePr w:type="lastCol">
      <w:rPr>
        <w:b/>
        <w:bCs/>
      </w:rPr>
      <w:tblPr/>
      <w:tcPr>
        <w:tcBorders>
          <w:top w:val="single" w:sz="8" w:space="0" w:color="17A673" w:themeColor="accent6"/>
          <w:bottom w:val="single" w:sz="8" w:space="0" w:color="17A673" w:themeColor="accent6"/>
        </w:tcBorders>
      </w:tcPr>
    </w:tblStylePr>
    <w:tblStylePr w:type="band1Vert">
      <w:tblPr/>
      <w:tcPr>
        <w:shd w:val="clear" w:color="auto" w:fill="B9F5DF" w:themeFill="accent6" w:themeFillTint="3F"/>
      </w:tcPr>
    </w:tblStylePr>
    <w:tblStylePr w:type="band1Horz">
      <w:tblPr/>
      <w:tcPr>
        <w:shd w:val="clear" w:color="auto" w:fill="B9F5DF" w:themeFill="accent6" w:themeFillTint="3F"/>
      </w:tcPr>
    </w:tblStylePr>
  </w:style>
  <w:style w:type="table" w:styleId="MediumList2">
    <w:name w:val="Medium List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0B2949" w:themeColor="accent1"/>
        <w:left w:val="single" w:sz="8" w:space="0" w:color="0B2949" w:themeColor="accent1"/>
        <w:bottom w:val="single" w:sz="8" w:space="0" w:color="0B2949" w:themeColor="accent1"/>
        <w:right w:val="single" w:sz="8" w:space="0" w:color="0B2949" w:themeColor="accent1"/>
      </w:tblBorders>
    </w:tblPr>
    <w:tblStylePr w:type="firstRow">
      <w:rPr>
        <w:sz w:val="24"/>
        <w:szCs w:val="24"/>
      </w:rPr>
      <w:tblPr/>
      <w:tcPr>
        <w:tcBorders>
          <w:top w:val="nil"/>
          <w:left w:val="nil"/>
          <w:bottom w:val="single" w:sz="24" w:space="0" w:color="0B2949"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B2949" w:themeColor="accent1"/>
          <w:insideH w:val="nil"/>
          <w:insideV w:val="nil"/>
        </w:tcBorders>
        <w:shd w:val="clear" w:color="auto" w:fill="FFFFFF" w:themeFill="background1"/>
      </w:tcPr>
    </w:tblStylePr>
    <w:tblStylePr w:type="lastCol">
      <w:tblPr/>
      <w:tcPr>
        <w:tcBorders>
          <w:top w:val="nil"/>
          <w:left w:val="single" w:sz="8" w:space="0" w:color="0B2949"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A3C8F1" w:themeFill="accent1" w:themeFillTint="3F"/>
      </w:tcPr>
    </w:tblStylePr>
    <w:tblStylePr w:type="band1Horz">
      <w:tblPr/>
      <w:tcPr>
        <w:tcBorders>
          <w:top w:val="nil"/>
          <w:bottom w:val="nil"/>
          <w:insideH w:val="nil"/>
          <w:insideV w:val="nil"/>
        </w:tcBorders>
        <w:shd w:val="clear" w:color="auto" w:fill="A3C8F1"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D02B27" w:themeColor="accent2"/>
        <w:left w:val="single" w:sz="8" w:space="0" w:color="D02B27" w:themeColor="accent2"/>
        <w:bottom w:val="single" w:sz="8" w:space="0" w:color="D02B27" w:themeColor="accent2"/>
        <w:right w:val="single" w:sz="8" w:space="0" w:color="D02B27" w:themeColor="accent2"/>
      </w:tblBorders>
    </w:tblPr>
    <w:tblStylePr w:type="firstRow">
      <w:rPr>
        <w:sz w:val="24"/>
        <w:szCs w:val="24"/>
      </w:rPr>
      <w:tblPr/>
      <w:tcPr>
        <w:tcBorders>
          <w:top w:val="nil"/>
          <w:left w:val="nil"/>
          <w:bottom w:val="single" w:sz="24" w:space="0" w:color="D02B27"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D02B27" w:themeColor="accent2"/>
          <w:insideH w:val="nil"/>
          <w:insideV w:val="nil"/>
        </w:tcBorders>
        <w:shd w:val="clear" w:color="auto" w:fill="FFFFFF" w:themeFill="background1"/>
      </w:tcPr>
    </w:tblStylePr>
    <w:tblStylePr w:type="lastCol">
      <w:tblPr/>
      <w:tcPr>
        <w:tcBorders>
          <w:top w:val="nil"/>
          <w:left w:val="single" w:sz="8" w:space="0" w:color="D02B27"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4C9C8" w:themeFill="accent2" w:themeFillTint="3F"/>
      </w:tcPr>
    </w:tblStylePr>
    <w:tblStylePr w:type="band1Horz">
      <w:tblPr/>
      <w:tcPr>
        <w:tcBorders>
          <w:top w:val="nil"/>
          <w:bottom w:val="nil"/>
          <w:insideH w:val="nil"/>
          <w:insideV w:val="nil"/>
        </w:tcBorders>
        <w:shd w:val="clear" w:color="auto" w:fill="F4C9C8"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5B6771" w:themeColor="accent3"/>
        <w:left w:val="single" w:sz="8" w:space="0" w:color="5B6771" w:themeColor="accent3"/>
        <w:bottom w:val="single" w:sz="8" w:space="0" w:color="5B6771" w:themeColor="accent3"/>
        <w:right w:val="single" w:sz="8" w:space="0" w:color="5B6771" w:themeColor="accent3"/>
      </w:tblBorders>
    </w:tblPr>
    <w:tblStylePr w:type="firstRow">
      <w:rPr>
        <w:sz w:val="24"/>
        <w:szCs w:val="24"/>
      </w:rPr>
      <w:tblPr/>
      <w:tcPr>
        <w:tcBorders>
          <w:top w:val="nil"/>
          <w:left w:val="nil"/>
          <w:bottom w:val="single" w:sz="24" w:space="0" w:color="5B6771"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6771" w:themeColor="accent3"/>
          <w:insideH w:val="nil"/>
          <w:insideV w:val="nil"/>
        </w:tcBorders>
        <w:shd w:val="clear" w:color="auto" w:fill="FFFFFF" w:themeFill="background1"/>
      </w:tcPr>
    </w:tblStylePr>
    <w:tblStylePr w:type="lastCol">
      <w:tblPr/>
      <w:tcPr>
        <w:tcBorders>
          <w:top w:val="nil"/>
          <w:left w:val="single" w:sz="8" w:space="0" w:color="5B6771"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5D9DD" w:themeFill="accent3" w:themeFillTint="3F"/>
      </w:tcPr>
    </w:tblStylePr>
    <w:tblStylePr w:type="band1Horz">
      <w:tblPr/>
      <w:tcPr>
        <w:tcBorders>
          <w:top w:val="nil"/>
          <w:bottom w:val="nil"/>
          <w:insideH w:val="nil"/>
          <w:insideV w:val="nil"/>
        </w:tcBorders>
        <w:shd w:val="clear" w:color="auto" w:fill="D5D9DD"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F1B51C" w:themeColor="accent4"/>
        <w:left w:val="single" w:sz="8" w:space="0" w:color="F1B51C" w:themeColor="accent4"/>
        <w:bottom w:val="single" w:sz="8" w:space="0" w:color="F1B51C" w:themeColor="accent4"/>
        <w:right w:val="single" w:sz="8" w:space="0" w:color="F1B51C" w:themeColor="accent4"/>
      </w:tblBorders>
    </w:tblPr>
    <w:tblStylePr w:type="firstRow">
      <w:rPr>
        <w:sz w:val="24"/>
        <w:szCs w:val="24"/>
      </w:rPr>
      <w:tblPr/>
      <w:tcPr>
        <w:tcBorders>
          <w:top w:val="nil"/>
          <w:left w:val="nil"/>
          <w:bottom w:val="single" w:sz="24" w:space="0" w:color="F1B51C"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1B51C" w:themeColor="accent4"/>
          <w:insideH w:val="nil"/>
          <w:insideV w:val="nil"/>
        </w:tcBorders>
        <w:shd w:val="clear" w:color="auto" w:fill="FFFFFF" w:themeFill="background1"/>
      </w:tcPr>
    </w:tblStylePr>
    <w:tblStylePr w:type="lastCol">
      <w:tblPr/>
      <w:tcPr>
        <w:tcBorders>
          <w:top w:val="nil"/>
          <w:left w:val="single" w:sz="8" w:space="0" w:color="F1B51C"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BECC6" w:themeFill="accent4" w:themeFillTint="3F"/>
      </w:tcPr>
    </w:tblStylePr>
    <w:tblStylePr w:type="band1Horz">
      <w:tblPr/>
      <w:tcPr>
        <w:tcBorders>
          <w:top w:val="nil"/>
          <w:bottom w:val="nil"/>
          <w:insideH w:val="nil"/>
          <w:insideV w:val="nil"/>
        </w:tcBorders>
        <w:shd w:val="clear" w:color="auto" w:fill="FBECC6"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89394" w:themeColor="accent5"/>
        <w:left w:val="single" w:sz="8" w:space="0" w:color="189394" w:themeColor="accent5"/>
        <w:bottom w:val="single" w:sz="8" w:space="0" w:color="189394" w:themeColor="accent5"/>
        <w:right w:val="single" w:sz="8" w:space="0" w:color="189394" w:themeColor="accent5"/>
      </w:tblBorders>
    </w:tblPr>
    <w:tblStylePr w:type="firstRow">
      <w:rPr>
        <w:sz w:val="24"/>
        <w:szCs w:val="24"/>
      </w:rPr>
      <w:tblPr/>
      <w:tcPr>
        <w:tcBorders>
          <w:top w:val="nil"/>
          <w:left w:val="nil"/>
          <w:bottom w:val="single" w:sz="24" w:space="0" w:color="189394"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89394" w:themeColor="accent5"/>
          <w:insideH w:val="nil"/>
          <w:insideV w:val="nil"/>
        </w:tcBorders>
        <w:shd w:val="clear" w:color="auto" w:fill="FFFFFF" w:themeFill="background1"/>
      </w:tcPr>
    </w:tblStylePr>
    <w:tblStylePr w:type="lastCol">
      <w:tblPr/>
      <w:tcPr>
        <w:tcBorders>
          <w:top w:val="nil"/>
          <w:left w:val="single" w:sz="8" w:space="0" w:color="18939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7F2F3" w:themeFill="accent5" w:themeFillTint="3F"/>
      </w:tcPr>
    </w:tblStylePr>
    <w:tblStylePr w:type="band1Horz">
      <w:tblPr/>
      <w:tcPr>
        <w:tcBorders>
          <w:top w:val="nil"/>
          <w:bottom w:val="nil"/>
          <w:insideH w:val="nil"/>
          <w:insideV w:val="nil"/>
        </w:tcBorders>
        <w:shd w:val="clear" w:color="auto" w:fill="B7F2F3"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nhideWhenUsed/>
    <w:rsid w:val="00570E30"/>
    <w:rPr>
      <w:rFonts w:asciiTheme="majorHAnsi" w:eastAsiaTheme="majorEastAsia" w:hAnsiTheme="majorHAnsi" w:cstheme="majorBidi"/>
      <w:color w:val="000000" w:themeColor="text1"/>
      <w:sz w:val="22"/>
      <w:szCs w:val="22"/>
    </w:rPr>
    <w:tblPr>
      <w:tblStyleRowBandSize w:val="1"/>
      <w:tblStyleColBandSize w:val="1"/>
      <w:tblBorders>
        <w:top w:val="single" w:sz="8" w:space="0" w:color="17A673" w:themeColor="accent6"/>
        <w:left w:val="single" w:sz="8" w:space="0" w:color="17A673" w:themeColor="accent6"/>
        <w:bottom w:val="single" w:sz="8" w:space="0" w:color="17A673" w:themeColor="accent6"/>
        <w:right w:val="single" w:sz="8" w:space="0" w:color="17A673" w:themeColor="accent6"/>
      </w:tblBorders>
    </w:tblPr>
    <w:tblStylePr w:type="firstRow">
      <w:rPr>
        <w:sz w:val="24"/>
        <w:szCs w:val="24"/>
      </w:rPr>
      <w:tblPr/>
      <w:tcPr>
        <w:tcBorders>
          <w:top w:val="nil"/>
          <w:left w:val="nil"/>
          <w:bottom w:val="single" w:sz="24" w:space="0" w:color="17A673"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7A673" w:themeColor="accent6"/>
          <w:insideH w:val="nil"/>
          <w:insideV w:val="nil"/>
        </w:tcBorders>
        <w:shd w:val="clear" w:color="auto" w:fill="FFFFFF" w:themeFill="background1"/>
      </w:tcPr>
    </w:tblStylePr>
    <w:tblStylePr w:type="lastCol">
      <w:tblPr/>
      <w:tcPr>
        <w:tcBorders>
          <w:top w:val="nil"/>
          <w:left w:val="single" w:sz="8" w:space="0" w:color="17A673"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9F5DF" w:themeFill="accent6" w:themeFillTint="3F"/>
      </w:tcPr>
    </w:tblStylePr>
    <w:tblStylePr w:type="band1Horz">
      <w:tblPr/>
      <w:tcPr>
        <w:tcBorders>
          <w:top w:val="nil"/>
          <w:bottom w:val="nil"/>
          <w:insideH w:val="nil"/>
          <w:insideV w:val="nil"/>
        </w:tcBorders>
        <w:shd w:val="clear" w:color="auto" w:fill="B9F5DF"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single" w:sz="8" w:space="0" w:color="195CA5" w:themeColor="accent1" w:themeTint="BF"/>
      </w:tblBorders>
    </w:tblPr>
    <w:tblStylePr w:type="firstRow">
      <w:pPr>
        <w:spacing w:before="0" w:after="0" w:line="240" w:lineRule="auto"/>
      </w:pPr>
      <w:rPr>
        <w:b/>
        <w:bCs/>
        <w:color w:val="FFFFFF" w:themeColor="background1"/>
      </w:rPr>
      <w:tblPr/>
      <w:tcPr>
        <w:tcBorders>
          <w:top w:val="single" w:sz="8"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nil"/>
          <w:insideV w:val="nil"/>
        </w:tcBorders>
        <w:shd w:val="clear" w:color="auto" w:fill="0B2949" w:themeFill="accent1"/>
      </w:tcPr>
    </w:tblStylePr>
    <w:tblStylePr w:type="lastRow">
      <w:pPr>
        <w:spacing w:before="0" w:after="0" w:line="240" w:lineRule="auto"/>
      </w:pPr>
      <w:rPr>
        <w:b/>
        <w:bCs/>
      </w:rPr>
      <w:tblPr/>
      <w:tcPr>
        <w:tcBorders>
          <w:top w:val="double" w:sz="6" w:space="0" w:color="195CA5" w:themeColor="accent1" w:themeTint="BF"/>
          <w:left w:val="single" w:sz="8" w:space="0" w:color="195CA5" w:themeColor="accent1" w:themeTint="BF"/>
          <w:bottom w:val="single" w:sz="8" w:space="0" w:color="195CA5" w:themeColor="accent1" w:themeTint="BF"/>
          <w:right w:val="single" w:sz="8" w:space="0" w:color="195CA5" w:themeColor="accent1" w:themeTint="BF"/>
          <w:insideH w:val="nil"/>
          <w:insideV w:val="nil"/>
        </w:tcBorders>
      </w:tcPr>
    </w:tblStylePr>
    <w:tblStylePr w:type="firstCol">
      <w:rPr>
        <w:b/>
        <w:bCs/>
      </w:rPr>
    </w:tblStylePr>
    <w:tblStylePr w:type="lastCol">
      <w:rPr>
        <w:b/>
        <w:bCs/>
      </w:rPr>
    </w:tblStylePr>
    <w:tblStylePr w:type="band1Vert">
      <w:tblPr/>
      <w:tcPr>
        <w:shd w:val="clear" w:color="auto" w:fill="A3C8F1" w:themeFill="accent1" w:themeFillTint="3F"/>
      </w:tcPr>
    </w:tblStylePr>
    <w:tblStylePr w:type="band1Horz">
      <w:tblPr/>
      <w:tcPr>
        <w:tcBorders>
          <w:insideH w:val="nil"/>
          <w:insideV w:val="nil"/>
        </w:tcBorders>
        <w:shd w:val="clear" w:color="auto" w:fill="A3C8F1"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single" w:sz="8" w:space="0" w:color="E05C59" w:themeColor="accent2" w:themeTint="BF"/>
      </w:tblBorders>
    </w:tblPr>
    <w:tblStylePr w:type="firstRow">
      <w:pPr>
        <w:spacing w:before="0" w:after="0" w:line="240" w:lineRule="auto"/>
      </w:pPr>
      <w:rPr>
        <w:b/>
        <w:bCs/>
        <w:color w:val="FFFFFF" w:themeColor="background1"/>
      </w:rPr>
      <w:tblPr/>
      <w:tcPr>
        <w:tcBorders>
          <w:top w:val="single" w:sz="8"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nil"/>
          <w:insideV w:val="nil"/>
        </w:tcBorders>
        <w:shd w:val="clear" w:color="auto" w:fill="D02B27" w:themeFill="accent2"/>
      </w:tcPr>
    </w:tblStylePr>
    <w:tblStylePr w:type="lastRow">
      <w:pPr>
        <w:spacing w:before="0" w:after="0" w:line="240" w:lineRule="auto"/>
      </w:pPr>
      <w:rPr>
        <w:b/>
        <w:bCs/>
      </w:rPr>
      <w:tblPr/>
      <w:tcPr>
        <w:tcBorders>
          <w:top w:val="double" w:sz="6" w:space="0" w:color="E05C59" w:themeColor="accent2" w:themeTint="BF"/>
          <w:left w:val="single" w:sz="8" w:space="0" w:color="E05C59" w:themeColor="accent2" w:themeTint="BF"/>
          <w:bottom w:val="single" w:sz="8" w:space="0" w:color="E05C59" w:themeColor="accent2" w:themeTint="BF"/>
          <w:right w:val="single" w:sz="8" w:space="0" w:color="E05C59" w:themeColor="accent2" w:themeTint="BF"/>
          <w:insideH w:val="nil"/>
          <w:insideV w:val="nil"/>
        </w:tcBorders>
      </w:tcPr>
    </w:tblStylePr>
    <w:tblStylePr w:type="firstCol">
      <w:rPr>
        <w:b/>
        <w:bCs/>
      </w:rPr>
    </w:tblStylePr>
    <w:tblStylePr w:type="lastCol">
      <w:rPr>
        <w:b/>
        <w:bCs/>
      </w:rPr>
    </w:tblStylePr>
    <w:tblStylePr w:type="band1Vert">
      <w:tblPr/>
      <w:tcPr>
        <w:shd w:val="clear" w:color="auto" w:fill="F4C9C8" w:themeFill="accent2" w:themeFillTint="3F"/>
      </w:tcPr>
    </w:tblStylePr>
    <w:tblStylePr w:type="band1Horz">
      <w:tblPr/>
      <w:tcPr>
        <w:tcBorders>
          <w:insideH w:val="nil"/>
          <w:insideV w:val="nil"/>
        </w:tcBorders>
        <w:shd w:val="clear" w:color="auto" w:fill="F4C9C8"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single" w:sz="8" w:space="0" w:color="7F8D98" w:themeColor="accent3" w:themeTint="BF"/>
      </w:tblBorders>
    </w:tblPr>
    <w:tblStylePr w:type="firstRow">
      <w:pPr>
        <w:spacing w:before="0" w:after="0" w:line="240" w:lineRule="auto"/>
      </w:pPr>
      <w:rPr>
        <w:b/>
        <w:bCs/>
        <w:color w:val="FFFFFF" w:themeColor="background1"/>
      </w:rPr>
      <w:tblPr/>
      <w:tcPr>
        <w:tcBorders>
          <w:top w:val="single" w:sz="8"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nil"/>
          <w:insideV w:val="nil"/>
        </w:tcBorders>
        <w:shd w:val="clear" w:color="auto" w:fill="5B6771" w:themeFill="accent3"/>
      </w:tcPr>
    </w:tblStylePr>
    <w:tblStylePr w:type="lastRow">
      <w:pPr>
        <w:spacing w:before="0" w:after="0" w:line="240" w:lineRule="auto"/>
      </w:pPr>
      <w:rPr>
        <w:b/>
        <w:bCs/>
      </w:rPr>
      <w:tblPr/>
      <w:tcPr>
        <w:tcBorders>
          <w:top w:val="double" w:sz="6" w:space="0" w:color="7F8D98" w:themeColor="accent3" w:themeTint="BF"/>
          <w:left w:val="single" w:sz="8" w:space="0" w:color="7F8D98" w:themeColor="accent3" w:themeTint="BF"/>
          <w:bottom w:val="single" w:sz="8" w:space="0" w:color="7F8D98" w:themeColor="accent3" w:themeTint="BF"/>
          <w:right w:val="single" w:sz="8" w:space="0" w:color="7F8D98" w:themeColor="accent3" w:themeTint="BF"/>
          <w:insideH w:val="nil"/>
          <w:insideV w:val="nil"/>
        </w:tcBorders>
      </w:tcPr>
    </w:tblStylePr>
    <w:tblStylePr w:type="firstCol">
      <w:rPr>
        <w:b/>
        <w:bCs/>
      </w:rPr>
    </w:tblStylePr>
    <w:tblStylePr w:type="lastCol">
      <w:rPr>
        <w:b/>
        <w:bCs/>
      </w:rPr>
    </w:tblStylePr>
    <w:tblStylePr w:type="band1Vert">
      <w:tblPr/>
      <w:tcPr>
        <w:shd w:val="clear" w:color="auto" w:fill="D5D9DD" w:themeFill="accent3" w:themeFillTint="3F"/>
      </w:tcPr>
    </w:tblStylePr>
    <w:tblStylePr w:type="band1Horz">
      <w:tblPr/>
      <w:tcPr>
        <w:tcBorders>
          <w:insideH w:val="nil"/>
          <w:insideV w:val="nil"/>
        </w:tcBorders>
        <w:shd w:val="clear" w:color="auto" w:fill="D5D9DD"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single" w:sz="8" w:space="0" w:color="F4C754" w:themeColor="accent4" w:themeTint="BF"/>
      </w:tblBorders>
    </w:tblPr>
    <w:tblStylePr w:type="firstRow">
      <w:pPr>
        <w:spacing w:before="0" w:after="0" w:line="240" w:lineRule="auto"/>
      </w:pPr>
      <w:rPr>
        <w:b/>
        <w:bCs/>
        <w:color w:val="FFFFFF" w:themeColor="background1"/>
      </w:rPr>
      <w:tblPr/>
      <w:tcPr>
        <w:tcBorders>
          <w:top w:val="single" w:sz="8"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nil"/>
          <w:insideV w:val="nil"/>
        </w:tcBorders>
        <w:shd w:val="clear" w:color="auto" w:fill="F1B51C" w:themeFill="accent4"/>
      </w:tcPr>
    </w:tblStylePr>
    <w:tblStylePr w:type="lastRow">
      <w:pPr>
        <w:spacing w:before="0" w:after="0" w:line="240" w:lineRule="auto"/>
      </w:pPr>
      <w:rPr>
        <w:b/>
        <w:bCs/>
      </w:rPr>
      <w:tblPr/>
      <w:tcPr>
        <w:tcBorders>
          <w:top w:val="double" w:sz="6" w:space="0" w:color="F4C754" w:themeColor="accent4" w:themeTint="BF"/>
          <w:left w:val="single" w:sz="8" w:space="0" w:color="F4C754" w:themeColor="accent4" w:themeTint="BF"/>
          <w:bottom w:val="single" w:sz="8" w:space="0" w:color="F4C754" w:themeColor="accent4" w:themeTint="BF"/>
          <w:right w:val="single" w:sz="8" w:space="0" w:color="F4C754" w:themeColor="accent4" w:themeTint="BF"/>
          <w:insideH w:val="nil"/>
          <w:insideV w:val="nil"/>
        </w:tcBorders>
      </w:tcPr>
    </w:tblStylePr>
    <w:tblStylePr w:type="firstCol">
      <w:rPr>
        <w:b/>
        <w:bCs/>
      </w:rPr>
    </w:tblStylePr>
    <w:tblStylePr w:type="lastCol">
      <w:rPr>
        <w:b/>
        <w:bCs/>
      </w:rPr>
    </w:tblStylePr>
    <w:tblStylePr w:type="band1Vert">
      <w:tblPr/>
      <w:tcPr>
        <w:shd w:val="clear" w:color="auto" w:fill="FBECC6" w:themeFill="accent4" w:themeFillTint="3F"/>
      </w:tcPr>
    </w:tblStylePr>
    <w:tblStylePr w:type="band1Horz">
      <w:tblPr/>
      <w:tcPr>
        <w:tcBorders>
          <w:insideH w:val="nil"/>
          <w:insideV w:val="nil"/>
        </w:tcBorders>
        <w:shd w:val="clear" w:color="auto" w:fill="FBECC6"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single" w:sz="8" w:space="0" w:color="25D9DB" w:themeColor="accent5" w:themeTint="BF"/>
      </w:tblBorders>
    </w:tblPr>
    <w:tblStylePr w:type="firstRow">
      <w:pPr>
        <w:spacing w:before="0" w:after="0" w:line="240" w:lineRule="auto"/>
      </w:pPr>
      <w:rPr>
        <w:b/>
        <w:bCs/>
        <w:color w:val="FFFFFF" w:themeColor="background1"/>
      </w:rPr>
      <w:tblPr/>
      <w:tcPr>
        <w:tcBorders>
          <w:top w:val="single" w:sz="8"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nil"/>
          <w:insideV w:val="nil"/>
        </w:tcBorders>
        <w:shd w:val="clear" w:color="auto" w:fill="189394" w:themeFill="accent5"/>
      </w:tcPr>
    </w:tblStylePr>
    <w:tblStylePr w:type="lastRow">
      <w:pPr>
        <w:spacing w:before="0" w:after="0" w:line="240" w:lineRule="auto"/>
      </w:pPr>
      <w:rPr>
        <w:b/>
        <w:bCs/>
      </w:rPr>
      <w:tblPr/>
      <w:tcPr>
        <w:tcBorders>
          <w:top w:val="double" w:sz="6" w:space="0" w:color="25D9DB" w:themeColor="accent5" w:themeTint="BF"/>
          <w:left w:val="single" w:sz="8" w:space="0" w:color="25D9DB" w:themeColor="accent5" w:themeTint="BF"/>
          <w:bottom w:val="single" w:sz="8" w:space="0" w:color="25D9DB" w:themeColor="accent5" w:themeTint="BF"/>
          <w:right w:val="single" w:sz="8" w:space="0" w:color="25D9DB" w:themeColor="accent5" w:themeTint="BF"/>
          <w:insideH w:val="nil"/>
          <w:insideV w:val="nil"/>
        </w:tcBorders>
      </w:tcPr>
    </w:tblStylePr>
    <w:tblStylePr w:type="firstCol">
      <w:rPr>
        <w:b/>
        <w:bCs/>
      </w:rPr>
    </w:tblStylePr>
    <w:tblStylePr w:type="lastCol">
      <w:rPr>
        <w:b/>
        <w:bCs/>
      </w:rPr>
    </w:tblStylePr>
    <w:tblStylePr w:type="band1Vert">
      <w:tblPr/>
      <w:tcPr>
        <w:shd w:val="clear" w:color="auto" w:fill="B7F2F3" w:themeFill="accent5" w:themeFillTint="3F"/>
      </w:tcPr>
    </w:tblStylePr>
    <w:tblStylePr w:type="band1Horz">
      <w:tblPr/>
      <w:tcPr>
        <w:tcBorders>
          <w:insideH w:val="nil"/>
          <w:insideV w:val="nil"/>
        </w:tcBorders>
        <w:shd w:val="clear" w:color="auto" w:fill="B7F2F3"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8"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single" w:sz="8" w:space="0" w:color="2BE1A0" w:themeColor="accent6" w:themeTint="BF"/>
      </w:tblBorders>
    </w:tblPr>
    <w:tblStylePr w:type="firstRow">
      <w:pPr>
        <w:spacing w:before="0" w:after="0" w:line="240" w:lineRule="auto"/>
      </w:pPr>
      <w:rPr>
        <w:b/>
        <w:bCs/>
        <w:color w:val="FFFFFF" w:themeColor="background1"/>
      </w:rPr>
      <w:tblPr/>
      <w:tcPr>
        <w:tcBorders>
          <w:top w:val="single" w:sz="8"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nil"/>
          <w:insideV w:val="nil"/>
        </w:tcBorders>
        <w:shd w:val="clear" w:color="auto" w:fill="17A673" w:themeFill="accent6"/>
      </w:tcPr>
    </w:tblStylePr>
    <w:tblStylePr w:type="lastRow">
      <w:pPr>
        <w:spacing w:before="0" w:after="0" w:line="240" w:lineRule="auto"/>
      </w:pPr>
      <w:rPr>
        <w:b/>
        <w:bCs/>
      </w:rPr>
      <w:tblPr/>
      <w:tcPr>
        <w:tcBorders>
          <w:top w:val="double" w:sz="6" w:space="0" w:color="2BE1A0" w:themeColor="accent6" w:themeTint="BF"/>
          <w:left w:val="single" w:sz="8" w:space="0" w:color="2BE1A0" w:themeColor="accent6" w:themeTint="BF"/>
          <w:bottom w:val="single" w:sz="8" w:space="0" w:color="2BE1A0" w:themeColor="accent6" w:themeTint="BF"/>
          <w:right w:val="single" w:sz="8" w:space="0" w:color="2BE1A0" w:themeColor="accent6" w:themeTint="BF"/>
          <w:insideH w:val="nil"/>
          <w:insideV w:val="nil"/>
        </w:tcBorders>
      </w:tcPr>
    </w:tblStylePr>
    <w:tblStylePr w:type="firstCol">
      <w:rPr>
        <w:b/>
        <w:bCs/>
      </w:rPr>
    </w:tblStylePr>
    <w:tblStylePr w:type="lastCol">
      <w:rPr>
        <w:b/>
        <w:bCs/>
      </w:rPr>
    </w:tblStylePr>
    <w:tblStylePr w:type="band1Vert">
      <w:tblPr/>
      <w:tcPr>
        <w:shd w:val="clear" w:color="auto" w:fill="B9F5DF" w:themeFill="accent6" w:themeFillTint="3F"/>
      </w:tcPr>
    </w:tblStylePr>
    <w:tblStylePr w:type="band1Horz">
      <w:tblPr/>
      <w:tcPr>
        <w:tcBorders>
          <w:insideH w:val="nil"/>
          <w:insideV w:val="nil"/>
        </w:tcBorders>
        <w:shd w:val="clear" w:color="auto" w:fill="B9F5DF" w:themeFill="accent6" w:themeFillTint="3F"/>
      </w:tcPr>
    </w:tblStylePr>
    <w:tblStylePr w:type="band2Horz">
      <w:tblPr/>
      <w:tcPr>
        <w:tcBorders>
          <w:insideH w:val="nil"/>
          <w:insideV w:val="nil"/>
        </w:tcBorders>
      </w:tcPr>
    </w:tblStylePr>
  </w:style>
  <w:style w:type="table" w:styleId="MediumShading2">
    <w:name w:val="Medium Shading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B2949"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B2949" w:themeFill="accent1"/>
      </w:tcPr>
    </w:tblStylePr>
    <w:tblStylePr w:type="lastCol">
      <w:rPr>
        <w:b/>
        <w:bCs/>
        <w:color w:val="FFFFFF" w:themeColor="background1"/>
      </w:rPr>
      <w:tblPr/>
      <w:tcPr>
        <w:tcBorders>
          <w:left w:val="nil"/>
          <w:right w:val="nil"/>
          <w:insideH w:val="nil"/>
          <w:insideV w:val="nil"/>
        </w:tcBorders>
        <w:shd w:val="clear" w:color="auto" w:fill="0B2949"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D02B27"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D02B27" w:themeFill="accent2"/>
      </w:tcPr>
    </w:tblStylePr>
    <w:tblStylePr w:type="lastCol">
      <w:rPr>
        <w:b/>
        <w:bCs/>
        <w:color w:val="FFFFFF" w:themeColor="background1"/>
      </w:rPr>
      <w:tblPr/>
      <w:tcPr>
        <w:tcBorders>
          <w:left w:val="nil"/>
          <w:right w:val="nil"/>
          <w:insideH w:val="nil"/>
          <w:insideV w:val="nil"/>
        </w:tcBorders>
        <w:shd w:val="clear" w:color="auto" w:fill="D02B27"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6771"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5B6771" w:themeFill="accent3"/>
      </w:tcPr>
    </w:tblStylePr>
    <w:tblStylePr w:type="lastCol">
      <w:rPr>
        <w:b/>
        <w:bCs/>
        <w:color w:val="FFFFFF" w:themeColor="background1"/>
      </w:rPr>
      <w:tblPr/>
      <w:tcPr>
        <w:tcBorders>
          <w:left w:val="nil"/>
          <w:right w:val="nil"/>
          <w:insideH w:val="nil"/>
          <w:insideV w:val="nil"/>
        </w:tcBorders>
        <w:shd w:val="clear" w:color="auto" w:fill="5B6771"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1B51C"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F1B51C" w:themeFill="accent4"/>
      </w:tcPr>
    </w:tblStylePr>
    <w:tblStylePr w:type="lastCol">
      <w:rPr>
        <w:b/>
        <w:bCs/>
        <w:color w:val="FFFFFF" w:themeColor="background1"/>
      </w:rPr>
      <w:tblPr/>
      <w:tcPr>
        <w:tcBorders>
          <w:left w:val="nil"/>
          <w:right w:val="nil"/>
          <w:insideH w:val="nil"/>
          <w:insideV w:val="nil"/>
        </w:tcBorders>
        <w:shd w:val="clear" w:color="auto" w:fill="F1B51C"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8939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89394" w:themeFill="accent5"/>
      </w:tcPr>
    </w:tblStylePr>
    <w:tblStylePr w:type="lastCol">
      <w:rPr>
        <w:b/>
        <w:bCs/>
        <w:color w:val="FFFFFF" w:themeColor="background1"/>
      </w:rPr>
      <w:tblPr/>
      <w:tcPr>
        <w:tcBorders>
          <w:left w:val="nil"/>
          <w:right w:val="nil"/>
          <w:insideH w:val="nil"/>
          <w:insideV w:val="nil"/>
        </w:tcBorders>
        <w:shd w:val="clear" w:color="auto" w:fill="18939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nhideWhenUsed/>
    <w:rsid w:val="00570E30"/>
    <w:rPr>
      <w:rFonts w:asciiTheme="minorHAnsi" w:eastAsiaTheme="minorHAnsi" w:hAnsiTheme="minorHAnsi" w:cstheme="minorBidi"/>
      <w:sz w:val="22"/>
      <w:szCs w:val="22"/>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7A673"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17A673" w:themeFill="accent6"/>
      </w:tcPr>
    </w:tblStylePr>
    <w:tblStylePr w:type="lastCol">
      <w:rPr>
        <w:b/>
        <w:bCs/>
        <w:color w:val="FFFFFF" w:themeColor="background1"/>
      </w:rPr>
      <w:tblPr/>
      <w:tcPr>
        <w:tcBorders>
          <w:left w:val="nil"/>
          <w:right w:val="nil"/>
          <w:insideH w:val="nil"/>
          <w:insideV w:val="nil"/>
        </w:tcBorders>
        <w:shd w:val="clear" w:color="auto" w:fill="17A673"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character" w:styleId="Mention">
    <w:name w:val="Mention"/>
    <w:basedOn w:val="DefaultParagraphFont"/>
    <w:qFormat/>
    <w:rsid w:val="00570E30"/>
    <w:rPr>
      <w:color w:val="2B579A"/>
      <w:shd w:val="clear" w:color="auto" w:fill="E1DFDD"/>
    </w:rPr>
  </w:style>
  <w:style w:type="paragraph" w:styleId="MessageHeader">
    <w:name w:val="Message Header"/>
    <w:basedOn w:val="Normal"/>
    <w:link w:val="MessageHeaderChar"/>
    <w:qFormat/>
    <w:rsid w:val="00570E30"/>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semiHidden/>
    <w:rsid w:val="00570E30"/>
    <w:rPr>
      <w:rFonts w:asciiTheme="majorHAnsi" w:eastAsiaTheme="majorEastAsia" w:hAnsiTheme="majorHAnsi" w:cstheme="majorBidi"/>
      <w:sz w:val="24"/>
      <w:szCs w:val="24"/>
      <w:shd w:val="pct20" w:color="auto" w:fill="auto"/>
    </w:rPr>
  </w:style>
  <w:style w:type="paragraph" w:styleId="NormalIndent">
    <w:name w:val="Normal Indent"/>
    <w:basedOn w:val="Normal"/>
    <w:qFormat/>
    <w:rsid w:val="00570E30"/>
    <w:pPr>
      <w:ind w:left="720"/>
    </w:pPr>
  </w:style>
  <w:style w:type="table" w:styleId="PlainTable1">
    <w:name w:val="Plain Table 1"/>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rsid w:val="00570E30"/>
    <w:rPr>
      <w:rFonts w:asciiTheme="minorHAnsi" w:eastAsiaTheme="minorHAnsi" w:hAnsiTheme="minorHAnsi" w:cstheme="minorBidi"/>
      <w:sz w:val="22"/>
      <w:szCs w:val="22"/>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rsid w:val="00570E30"/>
    <w:rPr>
      <w:rFonts w:asciiTheme="minorHAnsi" w:eastAsiaTheme="minorHAnsi" w:hAnsiTheme="minorHAnsi" w:cstheme="minorBidi"/>
      <w:sz w:val="22"/>
      <w:szCs w:val="22"/>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rsid w:val="00570E30"/>
    <w:rPr>
      <w:rFonts w:asciiTheme="minorHAnsi" w:eastAsiaTheme="minorHAnsi" w:hAnsiTheme="minorHAnsi" w:cstheme="minorBidi"/>
      <w:sz w:val="22"/>
      <w:szCs w:val="2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Signature">
    <w:name w:val="Signature"/>
    <w:basedOn w:val="Normal"/>
    <w:link w:val="SignatureChar"/>
    <w:qFormat/>
    <w:rsid w:val="00570E30"/>
    <w:pPr>
      <w:spacing w:after="0" w:line="240" w:lineRule="auto"/>
      <w:ind w:left="4320"/>
    </w:pPr>
  </w:style>
  <w:style w:type="character" w:customStyle="1" w:styleId="SignatureChar">
    <w:name w:val="Signature Char"/>
    <w:basedOn w:val="DefaultParagraphFont"/>
    <w:link w:val="Signature"/>
    <w:semiHidden/>
    <w:rsid w:val="00570E30"/>
    <w:rPr>
      <w:rFonts w:asciiTheme="minorHAnsi" w:eastAsiaTheme="minorHAnsi" w:hAnsiTheme="minorHAnsi" w:cstheme="minorBidi"/>
      <w:szCs w:val="22"/>
    </w:rPr>
  </w:style>
  <w:style w:type="character" w:styleId="SmartHyperlink">
    <w:name w:val="Smart Hyperlink"/>
    <w:basedOn w:val="DefaultParagraphFont"/>
    <w:qFormat/>
    <w:rsid w:val="00570E30"/>
    <w:rPr>
      <w:u w:val="dotted"/>
    </w:rPr>
  </w:style>
  <w:style w:type="character" w:styleId="SubtleEmphasis">
    <w:name w:val="Subtle Emphasis"/>
    <w:basedOn w:val="DefaultParagraphFont"/>
    <w:qFormat/>
    <w:rsid w:val="00570E30"/>
    <w:rPr>
      <w:i/>
      <w:iCs/>
      <w:color w:val="404040" w:themeColor="text1" w:themeTint="BF"/>
    </w:rPr>
  </w:style>
  <w:style w:type="character" w:styleId="SubtleReference">
    <w:name w:val="Subtle Reference"/>
    <w:basedOn w:val="DefaultParagraphFont"/>
    <w:qFormat/>
    <w:rsid w:val="00570E30"/>
    <w:rPr>
      <w:smallCaps/>
      <w:color w:val="5A5A5A" w:themeColor="text1" w:themeTint="A5"/>
    </w:rPr>
  </w:style>
  <w:style w:type="table" w:styleId="Table3Deffects1">
    <w:name w:val="Table 3D effects 1"/>
    <w:basedOn w:val="TableNormal"/>
    <w:unhideWhenUsed/>
    <w:rsid w:val="00570E30"/>
    <w:pPr>
      <w:spacing w:after="160" w:line="264" w:lineRule="auto"/>
    </w:pPr>
    <w:rPr>
      <w:rFonts w:asciiTheme="minorHAnsi" w:eastAsiaTheme="minorHAnsi" w:hAnsiTheme="minorHAnsi" w:cstheme="minorBidi"/>
      <w:sz w:val="22"/>
      <w:szCs w:val="22"/>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nhideWhenUsed/>
    <w:rsid w:val="00570E30"/>
    <w:pPr>
      <w:spacing w:after="160" w:line="264" w:lineRule="auto"/>
    </w:pPr>
    <w:rPr>
      <w:rFonts w:asciiTheme="minorHAnsi" w:eastAsiaTheme="minorHAnsi" w:hAnsiTheme="minorHAnsi" w:cstheme="minorBidi"/>
      <w:color w:val="000080"/>
      <w:sz w:val="22"/>
      <w:szCs w:val="22"/>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nhideWhenUsed/>
    <w:rsid w:val="00570E30"/>
    <w:pPr>
      <w:spacing w:after="160" w:line="264" w:lineRule="auto"/>
    </w:pPr>
    <w:rPr>
      <w:rFonts w:asciiTheme="minorHAnsi" w:eastAsiaTheme="minorHAnsi" w:hAnsiTheme="minorHAnsi" w:cstheme="minorBidi"/>
      <w:color w:val="FFFFFF"/>
      <w:sz w:val="22"/>
      <w:szCs w:val="22"/>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nhideWhenUsed/>
    <w:rsid w:val="00570E30"/>
    <w:pPr>
      <w:spacing w:after="160" w:line="264" w:lineRule="auto"/>
    </w:pPr>
    <w:rPr>
      <w:rFonts w:asciiTheme="minorHAnsi" w:eastAsiaTheme="minorHAnsi" w:hAnsiTheme="minorHAnsi" w:cstheme="minorBidi"/>
      <w:sz w:val="22"/>
      <w:szCs w:val="22"/>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nhideWhenUsed/>
    <w:rsid w:val="00570E30"/>
    <w:pPr>
      <w:spacing w:after="160" w:line="264" w:lineRule="auto"/>
    </w:pPr>
    <w:rPr>
      <w:rFonts w:asciiTheme="minorHAnsi" w:eastAsiaTheme="minorHAnsi" w:hAnsiTheme="minorHAnsi" w:cstheme="minorBidi"/>
      <w:b/>
      <w:bCs/>
      <w:sz w:val="22"/>
      <w:szCs w:val="22"/>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nhideWhenUsed/>
    <w:rsid w:val="00570E30"/>
    <w:pPr>
      <w:spacing w:after="160" w:line="264" w:lineRule="auto"/>
    </w:pPr>
    <w:rPr>
      <w:rFonts w:asciiTheme="minorHAnsi" w:eastAsiaTheme="minorHAnsi" w:hAnsiTheme="minorHAnsi" w:cstheme="minorBidi"/>
      <w:b/>
      <w:bCs/>
      <w:sz w:val="22"/>
      <w:szCs w:val="22"/>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nhideWhenUsed/>
    <w:rsid w:val="00570E30"/>
    <w:pPr>
      <w:spacing w:after="160" w:line="264" w:lineRule="auto"/>
    </w:pPr>
    <w:rPr>
      <w:rFonts w:asciiTheme="minorHAnsi" w:eastAsiaTheme="minorHAnsi" w:hAnsiTheme="minorHAnsi" w:cstheme="minorBidi"/>
      <w:b/>
      <w:bCs/>
      <w:sz w:val="22"/>
      <w:szCs w:val="22"/>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nhideWhenUsed/>
    <w:rsid w:val="00570E30"/>
    <w:pPr>
      <w:spacing w:after="160" w:line="264" w:lineRule="auto"/>
    </w:pPr>
    <w:rPr>
      <w:rFonts w:asciiTheme="minorHAnsi" w:eastAsiaTheme="minorHAnsi" w:hAnsiTheme="minorHAnsi" w:cstheme="minorBidi"/>
      <w:sz w:val="22"/>
      <w:szCs w:val="22"/>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nhideWhenUsed/>
    <w:rsid w:val="00570E30"/>
    <w:pPr>
      <w:spacing w:after="160" w:line="264" w:lineRule="auto"/>
    </w:pPr>
    <w:rPr>
      <w:rFonts w:asciiTheme="minorHAnsi" w:eastAsiaTheme="minorHAnsi" w:hAnsiTheme="minorHAnsi" w:cstheme="minorBidi"/>
      <w:sz w:val="22"/>
      <w:szCs w:val="22"/>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nhideWhenUsed/>
    <w:rsid w:val="00570E30"/>
    <w:pPr>
      <w:spacing w:after="160" w:line="264" w:lineRule="auto"/>
    </w:pPr>
    <w:rPr>
      <w:rFonts w:asciiTheme="minorHAnsi" w:eastAsiaTheme="minorHAnsi" w:hAnsiTheme="minorHAnsi" w:cstheme="minorBidi"/>
      <w:sz w:val="22"/>
      <w:szCs w:val="22"/>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nhideWhenUsed/>
    <w:rsid w:val="00570E30"/>
    <w:pPr>
      <w:spacing w:after="160" w:line="264" w:lineRule="auto"/>
    </w:pPr>
    <w:rPr>
      <w:rFonts w:asciiTheme="minorHAnsi" w:eastAsiaTheme="minorHAnsi" w:hAnsiTheme="minorHAnsi" w:cstheme="minorBidi"/>
      <w:sz w:val="22"/>
      <w:szCs w:val="22"/>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nhideWhenUsed/>
    <w:rsid w:val="00570E30"/>
    <w:pPr>
      <w:spacing w:after="160" w:line="264" w:lineRule="auto"/>
    </w:pPr>
    <w:rPr>
      <w:rFonts w:asciiTheme="minorHAnsi" w:eastAsiaTheme="minorHAnsi" w:hAnsiTheme="minorHAnsi" w:cstheme="minorBidi"/>
      <w:sz w:val="22"/>
      <w:szCs w:val="22"/>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nhideWhenUsed/>
    <w:rsid w:val="00570E30"/>
    <w:pPr>
      <w:spacing w:after="160" w:line="264" w:lineRule="auto"/>
    </w:pPr>
    <w:rPr>
      <w:rFonts w:asciiTheme="minorHAnsi" w:eastAsiaTheme="minorHAnsi" w:hAnsiTheme="minorHAnsi" w:cstheme="minorBidi"/>
      <w:b/>
      <w:bCs/>
      <w:sz w:val="22"/>
      <w:szCs w:val="22"/>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GridLight">
    <w:name w:val="Grid Table Light"/>
    <w:basedOn w:val="TableNormal"/>
    <w:rsid w:val="00570E30"/>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nhideWhenUsed/>
    <w:rsid w:val="00570E30"/>
    <w:pPr>
      <w:spacing w:after="160" w:line="264" w:lineRule="auto"/>
    </w:pPr>
    <w:rPr>
      <w:rFonts w:asciiTheme="minorHAnsi" w:eastAsiaTheme="minorHAnsi" w:hAnsiTheme="minorHAnsi" w:cstheme="minorBidi"/>
      <w:sz w:val="22"/>
      <w:szCs w:val="22"/>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nhideWhenUsed/>
    <w:rsid w:val="00570E30"/>
    <w:pPr>
      <w:spacing w:after="160" w:line="264" w:lineRule="auto"/>
    </w:pPr>
    <w:rPr>
      <w:rFonts w:asciiTheme="minorHAnsi" w:eastAsiaTheme="minorHAnsi" w:hAnsiTheme="minorHAnsi" w:cstheme="minorBidi"/>
      <w:sz w:val="22"/>
      <w:szCs w:val="22"/>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nhideWhenUsed/>
    <w:rsid w:val="00570E30"/>
    <w:pPr>
      <w:spacing w:after="160" w:line="264" w:lineRule="auto"/>
    </w:pPr>
    <w:rPr>
      <w:rFonts w:asciiTheme="minorHAnsi" w:eastAsiaTheme="minorHAnsi" w:hAnsiTheme="minorHAnsi" w:cstheme="minorBidi"/>
      <w:sz w:val="22"/>
      <w:szCs w:val="22"/>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nhideWhenUsed/>
    <w:rsid w:val="00570E30"/>
    <w:pPr>
      <w:spacing w:after="160" w:line="264" w:lineRule="auto"/>
    </w:pPr>
    <w:rPr>
      <w:rFonts w:asciiTheme="minorHAnsi" w:eastAsiaTheme="minorHAnsi" w:hAnsiTheme="minorHAnsi" w:cstheme="minorBidi"/>
      <w:sz w:val="22"/>
      <w:szCs w:val="22"/>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nhideWhenUsed/>
    <w:rsid w:val="00570E30"/>
    <w:pPr>
      <w:spacing w:after="160" w:line="264" w:lineRule="auto"/>
    </w:pPr>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nhideWhenUsed/>
    <w:rsid w:val="00570E30"/>
    <w:pPr>
      <w:spacing w:after="160" w:line="264" w:lineRule="auto"/>
    </w:pPr>
    <w:rPr>
      <w:rFonts w:asciiTheme="minorHAnsi" w:eastAsiaTheme="minorHAnsi" w:hAnsiTheme="minorHAnsi" w:cstheme="minorBidi"/>
      <w:sz w:val="22"/>
      <w:szCs w:val="22"/>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nhideWhenUsed/>
    <w:rsid w:val="00570E30"/>
    <w:pPr>
      <w:spacing w:after="160" w:line="264" w:lineRule="auto"/>
    </w:pPr>
    <w:rPr>
      <w:rFonts w:asciiTheme="minorHAnsi" w:eastAsiaTheme="minorHAnsi" w:hAnsiTheme="minorHAnsi" w:cstheme="minorBidi"/>
      <w:sz w:val="22"/>
      <w:szCs w:val="22"/>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nhideWhenUsed/>
    <w:rsid w:val="00570E30"/>
    <w:pPr>
      <w:spacing w:after="160" w:line="264" w:lineRule="auto"/>
    </w:pPr>
    <w:rPr>
      <w:rFonts w:asciiTheme="minorHAnsi" w:eastAsiaTheme="minorHAnsi" w:hAnsiTheme="minorHAnsi" w:cstheme="minorBidi"/>
      <w:sz w:val="22"/>
      <w:szCs w:val="22"/>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SmartLink">
    <w:name w:val="Smart Link"/>
    <w:basedOn w:val="DefaultParagraphFont"/>
    <w:unhideWhenUsed/>
    <w:qFormat/>
    <w:rsid w:val="00570E30"/>
    <w:rPr>
      <w:color w:val="0563C1" w:themeColor="hyperlink"/>
      <w:u w:val="single"/>
      <w:shd w:val="clear" w:color="auto" w:fill="E1DFDD"/>
    </w:rPr>
  </w:style>
  <w:style w:type="character" w:customStyle="1" w:styleId="SmartLinkError">
    <w:name w:val="Smart Link Error"/>
    <w:basedOn w:val="DefaultParagraphFont"/>
    <w:unhideWhenUsed/>
    <w:qFormat/>
    <w:rsid w:val="00570E30"/>
    <w:rPr>
      <w:color w:val="FF0000"/>
    </w:rPr>
  </w:style>
  <w:style w:type="paragraph" w:customStyle="1" w:styleId="FootnoteSep">
    <w:name w:val="Footnote Sep"/>
    <w:basedOn w:val="Normal"/>
    <w:qFormat/>
    <w:rsid w:val="00570E30"/>
    <w:pPr>
      <w:pBdr>
        <w:top w:val="single" w:sz="4" w:space="1" w:color="046B5C" w:themeColor="text2"/>
      </w:pBdr>
      <w:spacing w:before="80" w:after="80" w:line="40" w:lineRule="exact"/>
    </w:pPr>
    <w:rPr>
      <w:rFonts w:eastAsia="Times New Roman" w:cs="Times New Roman"/>
      <w:color w:val="FFFFFF" w:themeColor="background1"/>
      <w:sz w:val="4"/>
      <w:szCs w:val="20"/>
    </w:rPr>
  </w:style>
  <w:style w:type="paragraph" w:customStyle="1" w:styleId="FooterLetterhead">
    <w:name w:val="Footer Letterhead"/>
    <w:basedOn w:val="Footer"/>
    <w:qFormat/>
    <w:rsid w:val="00570E30"/>
    <w:pPr>
      <w:spacing w:before="360" w:line="336" w:lineRule="auto"/>
      <w:ind w:left="-1080" w:right="-1080"/>
      <w:contextualSpacing/>
      <w:jc w:val="center"/>
    </w:pPr>
    <w:rPr>
      <w:color w:val="0B2949" w:themeColor="accent1"/>
    </w:rPr>
  </w:style>
  <w:style w:type="paragraph" w:customStyle="1" w:styleId="CSDPtitle">
    <w:name w:val="CSDP_title"/>
    <w:basedOn w:val="CoverAuthor"/>
    <w:qFormat/>
    <w:rsid w:val="00570E30"/>
    <w:pPr>
      <w:spacing w:before="1080" w:line="252" w:lineRule="auto"/>
      <w:ind w:left="-720"/>
    </w:pPr>
    <w:rPr>
      <w:b/>
      <w:bCs w:val="0"/>
      <w:smallCaps/>
    </w:rPr>
  </w:style>
  <w:style w:type="paragraph" w:customStyle="1" w:styleId="TableTextIndent">
    <w:name w:val="Table Text Indent"/>
    <w:basedOn w:val="TableTextLeft"/>
    <w:qFormat/>
    <w:rsid w:val="00570E30"/>
    <w:pPr>
      <w:ind w:left="216"/>
    </w:pPr>
  </w:style>
  <w:style w:type="paragraph" w:customStyle="1" w:styleId="TableTextIndent2">
    <w:name w:val="Table Text Indent 2"/>
    <w:basedOn w:val="TableTextLeft"/>
    <w:qFormat/>
    <w:rsid w:val="00570E30"/>
    <w:pPr>
      <w:ind w:left="432"/>
    </w:pPr>
  </w:style>
  <w:style w:type="table" w:customStyle="1" w:styleId="BaseTable">
    <w:name w:val="Base Table"/>
    <w:basedOn w:val="TableNormal"/>
    <w:rsid w:val="00570E30"/>
    <w:pPr>
      <w:spacing w:before="40" w:after="20"/>
    </w:pPr>
    <w:rPr>
      <w:rFonts w:asciiTheme="majorHAnsi" w:eastAsiaTheme="minorHAnsi" w:hAnsiTheme="majorHAnsi" w:cstheme="minorBidi"/>
      <w:sz w:val="18"/>
      <w:szCs w:val="22"/>
    </w:rPr>
    <w:tblPr>
      <w:tblBorders>
        <w:bottom w:val="single" w:sz="4" w:space="0" w:color="046B5C" w:themeColor="text2"/>
        <w:insideH w:val="single" w:sz="4" w:space="0" w:color="5B6771" w:themeColor="accent3"/>
        <w:insideV w:val="single" w:sz="4" w:space="0" w:color="5B6771" w:themeColor="accent3"/>
      </w:tblBorders>
      <w:tblCellMar>
        <w:left w:w="58" w:type="dxa"/>
        <w:right w:w="58" w:type="dxa"/>
      </w:tblCellMar>
    </w:tblPr>
    <w:tcPr>
      <w:shd w:val="clear" w:color="auto" w:fill="FFFFFF" w:themeFill="background1"/>
    </w:tcPr>
    <w:tblStylePr w:type="firstRow">
      <w:rPr>
        <w:b/>
        <w:color w:val="FFFFFF" w:themeColor="background1"/>
      </w:rPr>
      <w:tblPr/>
      <w:tcPr>
        <w:tcBorders>
          <w:top w:val="nil"/>
          <w:left w:val="nil"/>
          <w:bottom w:val="single" w:sz="4" w:space="0" w:color="046B5C" w:themeColor="text2"/>
          <w:right w:val="nil"/>
          <w:insideH w:val="nil"/>
          <w:insideV w:val="single" w:sz="4" w:space="0" w:color="FFFFFF" w:themeColor="background1"/>
          <w:tl2br w:val="nil"/>
          <w:tr2bl w:val="nil"/>
        </w:tcBorders>
        <w:shd w:val="clear" w:color="auto" w:fill="046B5C" w:themeFill="text2"/>
        <w:vAlign w:val="bottom"/>
      </w:tcPr>
    </w:tblStylePr>
  </w:style>
  <w:style w:type="character" w:customStyle="1" w:styleId="mathematicaorgChar">
    <w:name w:val="mathematica.org Char"/>
    <w:basedOn w:val="DefaultParagraphFont"/>
    <w:link w:val="mathematicaorg"/>
    <w:semiHidden/>
    <w:rsid w:val="00570E30"/>
    <w:rPr>
      <w:rFonts w:asciiTheme="majorHAnsi" w:hAnsiTheme="majorHAnsi"/>
      <w:noProof/>
      <w:spacing w:val="-2"/>
      <w:sz w:val="18"/>
      <w:szCs w:val="19"/>
    </w:rPr>
  </w:style>
  <w:style w:type="paragraph" w:customStyle="1" w:styleId="Title2">
    <w:name w:val="Title 2"/>
    <w:basedOn w:val="Title"/>
    <w:unhideWhenUsed/>
    <w:qFormat/>
    <w:rsid w:val="00570E30"/>
    <w:rPr>
      <w:b w:val="0"/>
      <w:color w:val="046B5C" w:themeColor="text2"/>
      <w:sz w:val="44"/>
    </w:rPr>
  </w:style>
  <w:style w:type="paragraph" w:customStyle="1" w:styleId="ListBullet1">
    <w:name w:val="List Bullet 1"/>
    <w:basedOn w:val="Normal"/>
    <w:qFormat/>
    <w:rsid w:val="00570E30"/>
    <w:pPr>
      <w:numPr>
        <w:numId w:val="45"/>
      </w:numPr>
      <w:spacing w:after="100"/>
    </w:pPr>
  </w:style>
  <w:style w:type="character" w:customStyle="1" w:styleId="HyperlinkEnd">
    <w:name w:val="Hyperlink End"/>
    <w:basedOn w:val="DefaultParagraphFont"/>
    <w:qFormat/>
    <w:rsid w:val="00570E30"/>
    <w:rPr>
      <w:color w:val="0B2949" w:themeColor="accent1"/>
      <w:u w:val="single"/>
    </w:rPr>
  </w:style>
  <w:style w:type="paragraph" w:customStyle="1" w:styleId="SidebarSubhead">
    <w:name w:val="Sidebar Subhead"/>
    <w:basedOn w:val="Sidebar"/>
    <w:next w:val="Sidebar"/>
    <w:qFormat/>
    <w:rsid w:val="00570E30"/>
    <w:pPr>
      <w:spacing w:before="100" w:after="0"/>
    </w:pPr>
    <w:rPr>
      <w:b/>
      <w:bCs/>
    </w:rPr>
  </w:style>
  <w:style w:type="table" w:customStyle="1" w:styleId="TanCell">
    <w:name w:val="Tan Cell"/>
    <w:basedOn w:val="TableNormal"/>
    <w:rsid w:val="00570E30"/>
    <w:rPr>
      <w:rFonts w:asciiTheme="majorHAnsi" w:eastAsiaTheme="minorHAnsi" w:hAnsiTheme="majorHAnsi" w:cstheme="minorBidi"/>
      <w:sz w:val="18"/>
      <w:szCs w:val="22"/>
    </w:rPr>
    <w:tblPr>
      <w:tblCellMar>
        <w:top w:w="72" w:type="dxa"/>
        <w:left w:w="144" w:type="dxa"/>
        <w:bottom w:w="72" w:type="dxa"/>
        <w:right w:w="144" w:type="dxa"/>
      </w:tblCellMar>
    </w:tblPr>
    <w:tcPr>
      <w:shd w:val="clear" w:color="auto" w:fill="F8F6F0" w:themeFill="background2" w:themeFillTint="33"/>
    </w:tcPr>
  </w:style>
  <w:style w:type="table" w:customStyle="1" w:styleId="GrayCell">
    <w:name w:val="Gray Cell"/>
    <w:basedOn w:val="TableNormal"/>
    <w:rsid w:val="00570E30"/>
    <w:rPr>
      <w:rFonts w:asciiTheme="minorHAnsi" w:eastAsiaTheme="minorHAnsi" w:hAnsiTheme="minorHAnsi" w:cstheme="minorBidi"/>
      <w:sz w:val="18"/>
      <w:szCs w:val="22"/>
    </w:rPr>
    <w:tblPr>
      <w:tblCellMar>
        <w:top w:w="72" w:type="dxa"/>
        <w:left w:w="144" w:type="dxa"/>
        <w:bottom w:w="72" w:type="dxa"/>
        <w:right w:w="144" w:type="dxa"/>
      </w:tblCellMar>
    </w:tblPr>
    <w:tcPr>
      <w:shd w:val="clear" w:color="auto" w:fill="F2F2F2" w:themeFill="background1" w:themeFillShade="F2"/>
    </w:tcPr>
  </w:style>
  <w:style w:type="character" w:customStyle="1" w:styleId="H1-NumChar">
    <w:name w:val="H1-Num Char"/>
    <w:basedOn w:val="Heading1Char"/>
    <w:link w:val="H1-Num"/>
    <w:rsid w:val="00D81C30"/>
    <w:rPr>
      <w:rFonts w:ascii="Arial Narrow" w:eastAsia="Arial Narrow" w:hAnsi="Arial Narrow" w:cstheme="majorBidi"/>
      <w:b/>
      <w:color w:val="000000" w:themeColor="text1"/>
      <w:sz w:val="36"/>
      <w:szCs w:val="32"/>
    </w:rPr>
  </w:style>
  <w:style w:type="paragraph" w:customStyle="1" w:styleId="H1-Num">
    <w:name w:val="H1-Num"/>
    <w:basedOn w:val="H1"/>
    <w:next w:val="ParagraphContinued"/>
    <w:link w:val="H1-NumChar"/>
    <w:qFormat/>
    <w:rsid w:val="00D81C30"/>
    <w:rPr>
      <w:rFonts w:eastAsia="Arial Narrow"/>
    </w:rPr>
  </w:style>
  <w:style w:type="paragraph" w:customStyle="1" w:styleId="H2-Num">
    <w:name w:val="H2-Num"/>
    <w:basedOn w:val="H2"/>
    <w:next w:val="ParagraphContinued"/>
    <w:qFormat/>
    <w:rsid w:val="00D81C30"/>
  </w:style>
  <w:style w:type="paragraph" w:customStyle="1" w:styleId="H3-Num">
    <w:name w:val="H3-Num"/>
    <w:basedOn w:val="H3"/>
    <w:next w:val="ParagraphContinued"/>
    <w:qFormat/>
    <w:rsid w:val="0083781F"/>
    <w:rPr>
      <w:rFonts w:eastAsia="Arial Narrow"/>
    </w:rPr>
  </w:style>
  <w:style w:type="paragraph" w:customStyle="1" w:styleId="H4-Num">
    <w:name w:val="H4-Num"/>
    <w:basedOn w:val="H4"/>
    <w:next w:val="ParagraphContinued"/>
    <w:qFormat/>
    <w:rsid w:val="00C135DF"/>
  </w:style>
  <w:style w:type="paragraph" w:customStyle="1" w:styleId="FigureHeader">
    <w:name w:val="Figure Header"/>
    <w:basedOn w:val="Normal"/>
    <w:link w:val="FigureHeaderChar"/>
    <w:qFormat/>
    <w:rsid w:val="00627252"/>
    <w:pPr>
      <w:pBdr>
        <w:top w:val="nil"/>
        <w:left w:val="nil"/>
        <w:bottom w:val="nil"/>
        <w:right w:val="nil"/>
        <w:between w:val="nil"/>
      </w:pBdr>
      <w:spacing w:after="60" w:line="240" w:lineRule="auto"/>
      <w:ind w:left="274"/>
    </w:pPr>
    <w:rPr>
      <w:rFonts w:ascii="Verdana" w:eastAsia="Cambria Math" w:hAnsi="Verdana"/>
      <w:b/>
      <w:color w:val="0000FF"/>
      <w:sz w:val="18"/>
    </w:rPr>
  </w:style>
  <w:style w:type="character" w:customStyle="1" w:styleId="FigureHeaderChar">
    <w:name w:val="Figure Header Char"/>
    <w:basedOn w:val="DefaultParagraphFont"/>
    <w:link w:val="FigureHeader"/>
    <w:rsid w:val="00627252"/>
    <w:rPr>
      <w:rFonts w:ascii="Verdana" w:eastAsia="Cambria Math" w:hAnsi="Verdana" w:cstheme="minorBidi"/>
      <w:b/>
      <w:color w:val="0000FF"/>
      <w:sz w:val="18"/>
      <w:szCs w:val="22"/>
    </w:rPr>
  </w:style>
  <w:style w:type="paragraph" w:customStyle="1" w:styleId="Title-CMStopline">
    <w:name w:val="Title - CMS top line"/>
    <w:basedOn w:val="Normal"/>
    <w:link w:val="Title-CMStoplineChar"/>
    <w:qFormat/>
    <w:rsid w:val="001C19B1"/>
    <w:pPr>
      <w:spacing w:before="900" w:after="720" w:line="240" w:lineRule="auto"/>
      <w:jc w:val="right"/>
    </w:pPr>
    <w:rPr>
      <w:rFonts w:ascii="Arial Narrow" w:hAnsi="Arial Narrow"/>
      <w:b/>
      <w:noProof/>
      <w:sz w:val="32"/>
    </w:rPr>
  </w:style>
  <w:style w:type="character" w:customStyle="1" w:styleId="Title-CMStoplineChar">
    <w:name w:val="Title - CMS top line Char"/>
    <w:basedOn w:val="DefaultParagraphFont"/>
    <w:link w:val="Title-CMStopline"/>
    <w:rsid w:val="001C19B1"/>
    <w:rPr>
      <w:rFonts w:ascii="Arial Narrow" w:eastAsiaTheme="minorHAnsi" w:hAnsi="Arial Narrow" w:cstheme="minorBidi"/>
      <w:b/>
      <w:noProof/>
      <w:sz w:val="32"/>
      <w:szCs w:val="22"/>
    </w:rPr>
  </w:style>
  <w:style w:type="paragraph" w:customStyle="1" w:styleId="Title-Version">
    <w:name w:val="Title - Version"/>
    <w:basedOn w:val="Normal"/>
    <w:link w:val="Title-VersionChar"/>
    <w:qFormat/>
    <w:rsid w:val="001C19B1"/>
    <w:pPr>
      <w:pBdr>
        <w:top w:val="nil"/>
        <w:left w:val="nil"/>
        <w:bottom w:val="nil"/>
        <w:right w:val="nil"/>
        <w:between w:val="nil"/>
      </w:pBdr>
      <w:spacing w:before="600" w:after="240" w:line="360" w:lineRule="auto"/>
      <w:jc w:val="right"/>
    </w:pPr>
    <w:rPr>
      <w:rFonts w:ascii="Arial Narrow" w:eastAsia="Arial Narrow" w:hAnsi="Arial Narrow"/>
      <w:b/>
      <w:color w:val="000000"/>
      <w:sz w:val="32"/>
    </w:rPr>
  </w:style>
  <w:style w:type="character" w:customStyle="1" w:styleId="Title-VersionChar">
    <w:name w:val="Title - Version Char"/>
    <w:basedOn w:val="DefaultParagraphFont"/>
    <w:link w:val="Title-Version"/>
    <w:rsid w:val="001C19B1"/>
    <w:rPr>
      <w:rFonts w:ascii="Arial Narrow" w:eastAsia="Arial Narrow" w:hAnsi="Arial Narrow" w:cstheme="minorBidi"/>
      <w:b/>
      <w:color w:val="000000"/>
      <w:sz w:val="32"/>
      <w:szCs w:val="22"/>
    </w:rPr>
  </w:style>
  <w:style w:type="paragraph" w:customStyle="1" w:styleId="TableDiv">
    <w:name w:val="TableDiv"/>
    <w:qFormat/>
    <w:rsid w:val="00161739"/>
    <w:pPr>
      <w:keepNext/>
      <w:widowControl w:val="0"/>
      <w:spacing w:before="40" w:after="40"/>
      <w:jc w:val="center"/>
    </w:pPr>
    <w:rPr>
      <w:rFonts w:ascii="Arial" w:hAnsi="Arial"/>
    </w:rPr>
  </w:style>
  <w:style w:type="paragraph" w:customStyle="1" w:styleId="NormalInstructions">
    <w:name w:val="Normal Instructions"/>
    <w:basedOn w:val="Version"/>
    <w:link w:val="NormalInstructionsChar"/>
    <w:qFormat/>
    <w:rsid w:val="00161739"/>
    <w:pPr>
      <w:spacing w:before="120" w:after="120" w:line="240" w:lineRule="auto"/>
      <w:jc w:val="left"/>
    </w:pPr>
    <w:rPr>
      <w:rFonts w:ascii="Times New Roman" w:eastAsia="Times New Roman" w:hAnsi="Times New Roman" w:cs="Times New Roman"/>
      <w:b w:val="0"/>
      <w:color w:val="0070C0"/>
      <w:sz w:val="24"/>
      <w:szCs w:val="24"/>
    </w:rPr>
  </w:style>
  <w:style w:type="character" w:customStyle="1" w:styleId="NormalInstructionsChar">
    <w:name w:val="Normal Instructions Char"/>
    <w:link w:val="NormalInstructions"/>
    <w:rsid w:val="00161739"/>
    <w:rPr>
      <w:color w:val="0070C0"/>
      <w:sz w:val="24"/>
      <w:szCs w:val="24"/>
    </w:rPr>
  </w:style>
  <w:style w:type="paragraph" w:customStyle="1" w:styleId="TableHeadingText">
    <w:name w:val="TableHeadingText"/>
    <w:basedOn w:val="TableColumnHeading"/>
    <w:link w:val="TableHeadingTextChar"/>
    <w:qFormat/>
    <w:rsid w:val="00161739"/>
    <w:pPr>
      <w:keepNext/>
    </w:pPr>
    <w:rPr>
      <w:szCs w:val="20"/>
    </w:rPr>
  </w:style>
  <w:style w:type="paragraph" w:customStyle="1" w:styleId="TableTextDivHeading">
    <w:name w:val="Table Text Div Heading"/>
    <w:basedOn w:val="TableHeadingText"/>
    <w:link w:val="TableTextDivHeadingChar"/>
    <w:qFormat/>
    <w:rsid w:val="00161739"/>
    <w:rPr>
      <w:b w:val="0"/>
    </w:rPr>
  </w:style>
  <w:style w:type="character" w:customStyle="1" w:styleId="TableColumnHeadingChar">
    <w:name w:val="TableColumnHeading Char"/>
    <w:link w:val="TableColumnHeading"/>
    <w:rsid w:val="00161739"/>
    <w:rPr>
      <w:rFonts w:ascii="Arial" w:hAnsi="Arial"/>
      <w:b/>
      <w:szCs w:val="24"/>
    </w:rPr>
  </w:style>
  <w:style w:type="character" w:customStyle="1" w:styleId="TableHeadingTextChar">
    <w:name w:val="TableHeadingText Char"/>
    <w:link w:val="TableHeadingText"/>
    <w:rsid w:val="00161739"/>
    <w:rPr>
      <w:rFonts w:ascii="Arial" w:hAnsi="Arial"/>
      <w:b/>
    </w:rPr>
  </w:style>
  <w:style w:type="character" w:customStyle="1" w:styleId="TableTextDivHeadingChar">
    <w:name w:val="Table Text Div Heading Char"/>
    <w:link w:val="TableTextDivHeading"/>
    <w:rsid w:val="00161739"/>
    <w:rPr>
      <w:rFonts w:ascii="Arial" w:hAnsi="Arial"/>
    </w:rPr>
  </w:style>
  <w:style w:type="paragraph" w:customStyle="1" w:styleId="TableParagraph">
    <w:name w:val="Table Paragraph"/>
    <w:basedOn w:val="Normal"/>
    <w:qFormat/>
    <w:rsid w:val="00161739"/>
    <w:pPr>
      <w:widowControl w:val="0"/>
      <w:autoSpaceDE w:val="0"/>
      <w:autoSpaceDN w:val="0"/>
      <w:spacing w:before="61" w:after="0" w:line="240" w:lineRule="auto"/>
      <w:ind w:left="112"/>
    </w:pPr>
    <w:rPr>
      <w:rFonts w:ascii="Calibri" w:eastAsia="Calibri" w:hAnsi="Calibri" w:cs="Calibri"/>
      <w:sz w:val="22"/>
    </w:rPr>
  </w:style>
  <w:style w:type="table" w:customStyle="1" w:styleId="Style1">
    <w:name w:val="Style1"/>
    <w:basedOn w:val="TableNormal"/>
    <w:rsid w:val="00161739"/>
    <w:tblPr/>
  </w:style>
  <w:style w:type="table" w:customStyle="1" w:styleId="Style2">
    <w:name w:val="Style2"/>
    <w:basedOn w:val="TableNormal"/>
    <w:rsid w:val="00161739"/>
    <w:tblPr/>
  </w:style>
  <w:style w:type="table" w:customStyle="1" w:styleId="Style3">
    <w:name w:val="Style3"/>
    <w:basedOn w:val="TableNormal"/>
    <w:rsid w:val="00161739"/>
    <w:tblPr/>
  </w:style>
  <w:style w:type="table" w:customStyle="1" w:styleId="Style4">
    <w:name w:val="Style4"/>
    <w:basedOn w:val="TableNormal"/>
    <w:rsid w:val="00161739"/>
    <w:tblPr/>
    <w:tblStylePr w:type="firstCol">
      <w:rPr>
        <w:color w:val="FFFFFF"/>
      </w:rPr>
      <w:tblPr/>
      <w:tcPr>
        <w:shd w:val="clear" w:color="auto" w:fill="656565"/>
      </w:tcPr>
    </w:tblStylePr>
    <w:tblStylePr w:type="lastCol">
      <w:tblPr/>
      <w:tcPr>
        <w:shd w:val="clear" w:color="auto" w:fill="E0E0E0"/>
      </w:tcPr>
    </w:tblStylePr>
  </w:style>
  <w:style w:type="table" w:customStyle="1" w:styleId="ShadedGray">
    <w:name w:val="ShadedGray"/>
    <w:basedOn w:val="TableNormal"/>
    <w:rsid w:val="00161739"/>
    <w:tblPr/>
    <w:tblStylePr w:type="firstCol">
      <w:rPr>
        <w:color w:val="FFFFFF"/>
      </w:rPr>
      <w:tblPr/>
      <w:tcPr>
        <w:shd w:val="clear" w:color="auto" w:fill="656565"/>
      </w:tcPr>
    </w:tblStylePr>
    <w:tblStylePr w:type="lastCol">
      <w:tblPr/>
      <w:tcPr>
        <w:tcBorders>
          <w:top w:val="nil"/>
          <w:left w:val="nil"/>
          <w:bottom w:val="nil"/>
          <w:right w:val="nil"/>
          <w:insideH w:val="nil"/>
          <w:insideV w:val="nil"/>
        </w:tcBorders>
        <w:shd w:val="clear" w:color="auto" w:fill="E0E0E0"/>
      </w:tcPr>
    </w:tblStylePr>
  </w:style>
  <w:style w:type="table" w:customStyle="1" w:styleId="Style5">
    <w:name w:val="Style5"/>
    <w:basedOn w:val="TableNormal"/>
    <w:rsid w:val="00161739"/>
    <w:tblPr/>
    <w:tblStylePr w:type="firstRow">
      <w:rPr>
        <w:b/>
      </w:rPr>
      <w:tblPr/>
      <w:tcPr>
        <w:shd w:val="clear" w:color="auto" w:fill="D9E2F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247554">
      <w:bodyDiv w:val="1"/>
      <w:marLeft w:val="0"/>
      <w:marRight w:val="0"/>
      <w:marTop w:val="0"/>
      <w:marBottom w:val="0"/>
      <w:divBdr>
        <w:top w:val="none" w:sz="0" w:space="0" w:color="auto"/>
        <w:left w:val="none" w:sz="0" w:space="0" w:color="auto"/>
        <w:bottom w:val="none" w:sz="0" w:space="0" w:color="auto"/>
        <w:right w:val="none" w:sz="0" w:space="0" w:color="auto"/>
      </w:divBdr>
      <w:divsChild>
        <w:div w:id="1244679822">
          <w:marLeft w:val="0"/>
          <w:marRight w:val="0"/>
          <w:marTop w:val="0"/>
          <w:marBottom w:val="0"/>
          <w:divBdr>
            <w:top w:val="none" w:sz="0" w:space="0" w:color="auto"/>
            <w:left w:val="none" w:sz="0" w:space="0" w:color="auto"/>
            <w:bottom w:val="none" w:sz="0" w:space="0" w:color="auto"/>
            <w:right w:val="none" w:sz="0" w:space="0" w:color="auto"/>
          </w:divBdr>
          <w:divsChild>
            <w:div w:id="1883904114">
              <w:marLeft w:val="0"/>
              <w:marRight w:val="0"/>
              <w:marTop w:val="0"/>
              <w:marBottom w:val="0"/>
              <w:divBdr>
                <w:top w:val="none" w:sz="0" w:space="0" w:color="auto"/>
                <w:left w:val="none" w:sz="0" w:space="0" w:color="auto"/>
                <w:bottom w:val="none" w:sz="0" w:space="0" w:color="auto"/>
                <w:right w:val="none" w:sz="0" w:space="0" w:color="auto"/>
              </w:divBdr>
              <w:divsChild>
                <w:div w:id="130608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6527358">
          <w:marLeft w:val="0"/>
          <w:marRight w:val="0"/>
          <w:marTop w:val="0"/>
          <w:marBottom w:val="0"/>
          <w:divBdr>
            <w:top w:val="none" w:sz="0" w:space="0" w:color="auto"/>
            <w:left w:val="none" w:sz="0" w:space="0" w:color="auto"/>
            <w:bottom w:val="none" w:sz="0" w:space="0" w:color="auto"/>
            <w:right w:val="none" w:sz="0" w:space="0" w:color="auto"/>
          </w:divBdr>
          <w:divsChild>
            <w:div w:id="993332600">
              <w:marLeft w:val="0"/>
              <w:marRight w:val="0"/>
              <w:marTop w:val="0"/>
              <w:marBottom w:val="0"/>
              <w:divBdr>
                <w:top w:val="none" w:sz="0" w:space="0" w:color="auto"/>
                <w:left w:val="none" w:sz="0" w:space="0" w:color="auto"/>
                <w:bottom w:val="none" w:sz="0" w:space="0" w:color="auto"/>
                <w:right w:val="none" w:sz="0" w:space="0" w:color="auto"/>
              </w:divBdr>
              <w:divsChild>
                <w:div w:id="1181775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2004851">
          <w:marLeft w:val="0"/>
          <w:marRight w:val="0"/>
          <w:marTop w:val="0"/>
          <w:marBottom w:val="0"/>
          <w:divBdr>
            <w:top w:val="none" w:sz="0" w:space="0" w:color="auto"/>
            <w:left w:val="none" w:sz="0" w:space="0" w:color="auto"/>
            <w:bottom w:val="none" w:sz="0" w:space="0" w:color="auto"/>
            <w:right w:val="none" w:sz="0" w:space="0" w:color="auto"/>
          </w:divBdr>
          <w:divsChild>
            <w:div w:id="528300068">
              <w:marLeft w:val="0"/>
              <w:marRight w:val="0"/>
              <w:marTop w:val="0"/>
              <w:marBottom w:val="0"/>
              <w:divBdr>
                <w:top w:val="none" w:sz="0" w:space="0" w:color="auto"/>
                <w:left w:val="none" w:sz="0" w:space="0" w:color="auto"/>
                <w:bottom w:val="none" w:sz="0" w:space="0" w:color="auto"/>
                <w:right w:val="none" w:sz="0" w:space="0" w:color="auto"/>
              </w:divBdr>
              <w:divsChild>
                <w:div w:id="2054891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266139">
          <w:marLeft w:val="0"/>
          <w:marRight w:val="0"/>
          <w:marTop w:val="0"/>
          <w:marBottom w:val="0"/>
          <w:divBdr>
            <w:top w:val="none" w:sz="0" w:space="0" w:color="auto"/>
            <w:left w:val="none" w:sz="0" w:space="0" w:color="auto"/>
            <w:bottom w:val="none" w:sz="0" w:space="0" w:color="auto"/>
            <w:right w:val="none" w:sz="0" w:space="0" w:color="auto"/>
          </w:divBdr>
          <w:divsChild>
            <w:div w:id="157503536">
              <w:marLeft w:val="0"/>
              <w:marRight w:val="0"/>
              <w:marTop w:val="0"/>
              <w:marBottom w:val="0"/>
              <w:divBdr>
                <w:top w:val="none" w:sz="0" w:space="0" w:color="auto"/>
                <w:left w:val="none" w:sz="0" w:space="0" w:color="auto"/>
                <w:bottom w:val="none" w:sz="0" w:space="0" w:color="auto"/>
                <w:right w:val="none" w:sz="0" w:space="0" w:color="auto"/>
              </w:divBdr>
              <w:divsChild>
                <w:div w:id="1429695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934918">
      <w:bodyDiv w:val="1"/>
      <w:marLeft w:val="0"/>
      <w:marRight w:val="0"/>
      <w:marTop w:val="0"/>
      <w:marBottom w:val="0"/>
      <w:divBdr>
        <w:top w:val="none" w:sz="0" w:space="0" w:color="auto"/>
        <w:left w:val="none" w:sz="0" w:space="0" w:color="auto"/>
        <w:bottom w:val="none" w:sz="0" w:space="0" w:color="auto"/>
        <w:right w:val="none" w:sz="0" w:space="0" w:color="auto"/>
      </w:divBdr>
    </w:div>
    <w:div w:id="78450695">
      <w:bodyDiv w:val="1"/>
      <w:marLeft w:val="0"/>
      <w:marRight w:val="0"/>
      <w:marTop w:val="0"/>
      <w:marBottom w:val="0"/>
      <w:divBdr>
        <w:top w:val="none" w:sz="0" w:space="0" w:color="auto"/>
        <w:left w:val="none" w:sz="0" w:space="0" w:color="auto"/>
        <w:bottom w:val="none" w:sz="0" w:space="0" w:color="auto"/>
        <w:right w:val="none" w:sz="0" w:space="0" w:color="auto"/>
      </w:divBdr>
      <w:divsChild>
        <w:div w:id="323974925">
          <w:marLeft w:val="0"/>
          <w:marRight w:val="0"/>
          <w:marTop w:val="0"/>
          <w:marBottom w:val="0"/>
          <w:divBdr>
            <w:top w:val="none" w:sz="0" w:space="0" w:color="auto"/>
            <w:left w:val="none" w:sz="0" w:space="0" w:color="auto"/>
            <w:bottom w:val="none" w:sz="0" w:space="0" w:color="auto"/>
            <w:right w:val="none" w:sz="0" w:space="0" w:color="auto"/>
          </w:divBdr>
        </w:div>
      </w:divsChild>
    </w:div>
    <w:div w:id="116989736">
      <w:bodyDiv w:val="1"/>
      <w:marLeft w:val="0"/>
      <w:marRight w:val="0"/>
      <w:marTop w:val="0"/>
      <w:marBottom w:val="0"/>
      <w:divBdr>
        <w:top w:val="none" w:sz="0" w:space="0" w:color="auto"/>
        <w:left w:val="none" w:sz="0" w:space="0" w:color="auto"/>
        <w:bottom w:val="none" w:sz="0" w:space="0" w:color="auto"/>
        <w:right w:val="none" w:sz="0" w:space="0" w:color="auto"/>
      </w:divBdr>
      <w:divsChild>
        <w:div w:id="670135251">
          <w:marLeft w:val="0"/>
          <w:marRight w:val="0"/>
          <w:marTop w:val="0"/>
          <w:marBottom w:val="0"/>
          <w:divBdr>
            <w:top w:val="none" w:sz="0" w:space="0" w:color="auto"/>
            <w:left w:val="none" w:sz="0" w:space="0" w:color="auto"/>
            <w:bottom w:val="none" w:sz="0" w:space="0" w:color="auto"/>
            <w:right w:val="none" w:sz="0" w:space="0" w:color="auto"/>
          </w:divBdr>
        </w:div>
      </w:divsChild>
    </w:div>
    <w:div w:id="134179790">
      <w:bodyDiv w:val="1"/>
      <w:marLeft w:val="0"/>
      <w:marRight w:val="0"/>
      <w:marTop w:val="0"/>
      <w:marBottom w:val="0"/>
      <w:divBdr>
        <w:top w:val="none" w:sz="0" w:space="0" w:color="auto"/>
        <w:left w:val="none" w:sz="0" w:space="0" w:color="auto"/>
        <w:bottom w:val="none" w:sz="0" w:space="0" w:color="auto"/>
        <w:right w:val="none" w:sz="0" w:space="0" w:color="auto"/>
      </w:divBdr>
    </w:div>
    <w:div w:id="236138056">
      <w:bodyDiv w:val="1"/>
      <w:marLeft w:val="0"/>
      <w:marRight w:val="0"/>
      <w:marTop w:val="0"/>
      <w:marBottom w:val="0"/>
      <w:divBdr>
        <w:top w:val="none" w:sz="0" w:space="0" w:color="auto"/>
        <w:left w:val="none" w:sz="0" w:space="0" w:color="auto"/>
        <w:bottom w:val="none" w:sz="0" w:space="0" w:color="auto"/>
        <w:right w:val="none" w:sz="0" w:space="0" w:color="auto"/>
      </w:divBdr>
      <w:divsChild>
        <w:div w:id="2063287888">
          <w:marLeft w:val="0"/>
          <w:marRight w:val="0"/>
          <w:marTop w:val="0"/>
          <w:marBottom w:val="0"/>
          <w:divBdr>
            <w:top w:val="none" w:sz="0" w:space="0" w:color="auto"/>
            <w:left w:val="none" w:sz="0" w:space="0" w:color="auto"/>
            <w:bottom w:val="none" w:sz="0" w:space="0" w:color="auto"/>
            <w:right w:val="none" w:sz="0" w:space="0" w:color="auto"/>
          </w:divBdr>
        </w:div>
      </w:divsChild>
    </w:div>
    <w:div w:id="241570475">
      <w:bodyDiv w:val="1"/>
      <w:marLeft w:val="0"/>
      <w:marRight w:val="0"/>
      <w:marTop w:val="0"/>
      <w:marBottom w:val="0"/>
      <w:divBdr>
        <w:top w:val="none" w:sz="0" w:space="0" w:color="auto"/>
        <w:left w:val="none" w:sz="0" w:space="0" w:color="auto"/>
        <w:bottom w:val="none" w:sz="0" w:space="0" w:color="auto"/>
        <w:right w:val="none" w:sz="0" w:space="0" w:color="auto"/>
      </w:divBdr>
    </w:div>
    <w:div w:id="244848814">
      <w:bodyDiv w:val="1"/>
      <w:marLeft w:val="0"/>
      <w:marRight w:val="0"/>
      <w:marTop w:val="0"/>
      <w:marBottom w:val="0"/>
      <w:divBdr>
        <w:top w:val="none" w:sz="0" w:space="0" w:color="auto"/>
        <w:left w:val="none" w:sz="0" w:space="0" w:color="auto"/>
        <w:bottom w:val="none" w:sz="0" w:space="0" w:color="auto"/>
        <w:right w:val="none" w:sz="0" w:space="0" w:color="auto"/>
      </w:divBdr>
      <w:divsChild>
        <w:div w:id="71777378">
          <w:marLeft w:val="0"/>
          <w:marRight w:val="0"/>
          <w:marTop w:val="0"/>
          <w:marBottom w:val="0"/>
          <w:divBdr>
            <w:top w:val="none" w:sz="0" w:space="0" w:color="auto"/>
            <w:left w:val="none" w:sz="0" w:space="0" w:color="auto"/>
            <w:bottom w:val="none" w:sz="0" w:space="0" w:color="auto"/>
            <w:right w:val="none" w:sz="0" w:space="0" w:color="auto"/>
          </w:divBdr>
          <w:divsChild>
            <w:div w:id="163586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4003489">
      <w:bodyDiv w:val="1"/>
      <w:marLeft w:val="0"/>
      <w:marRight w:val="0"/>
      <w:marTop w:val="0"/>
      <w:marBottom w:val="0"/>
      <w:divBdr>
        <w:top w:val="none" w:sz="0" w:space="0" w:color="auto"/>
        <w:left w:val="none" w:sz="0" w:space="0" w:color="auto"/>
        <w:bottom w:val="none" w:sz="0" w:space="0" w:color="auto"/>
        <w:right w:val="none" w:sz="0" w:space="0" w:color="auto"/>
      </w:divBdr>
      <w:divsChild>
        <w:div w:id="1698043859">
          <w:marLeft w:val="0"/>
          <w:marRight w:val="0"/>
          <w:marTop w:val="0"/>
          <w:marBottom w:val="0"/>
          <w:divBdr>
            <w:top w:val="none" w:sz="0" w:space="0" w:color="auto"/>
            <w:left w:val="none" w:sz="0" w:space="0" w:color="auto"/>
            <w:bottom w:val="none" w:sz="0" w:space="0" w:color="auto"/>
            <w:right w:val="none" w:sz="0" w:space="0" w:color="auto"/>
          </w:divBdr>
          <w:divsChild>
            <w:div w:id="487403085">
              <w:marLeft w:val="0"/>
              <w:marRight w:val="0"/>
              <w:marTop w:val="0"/>
              <w:marBottom w:val="0"/>
              <w:divBdr>
                <w:top w:val="none" w:sz="0" w:space="0" w:color="auto"/>
                <w:left w:val="none" w:sz="0" w:space="0" w:color="auto"/>
                <w:bottom w:val="none" w:sz="0" w:space="0" w:color="auto"/>
                <w:right w:val="none" w:sz="0" w:space="0" w:color="auto"/>
              </w:divBdr>
              <w:divsChild>
                <w:div w:id="2039547288">
                  <w:marLeft w:val="0"/>
                  <w:marRight w:val="0"/>
                  <w:marTop w:val="0"/>
                  <w:marBottom w:val="0"/>
                  <w:divBdr>
                    <w:top w:val="none" w:sz="0" w:space="0" w:color="auto"/>
                    <w:left w:val="none" w:sz="0" w:space="0" w:color="auto"/>
                    <w:bottom w:val="none" w:sz="0" w:space="0" w:color="auto"/>
                    <w:right w:val="none" w:sz="0" w:space="0" w:color="auto"/>
                  </w:divBdr>
                  <w:divsChild>
                    <w:div w:id="1529173271">
                      <w:marLeft w:val="0"/>
                      <w:marRight w:val="0"/>
                      <w:marTop w:val="0"/>
                      <w:marBottom w:val="0"/>
                      <w:divBdr>
                        <w:top w:val="none" w:sz="0" w:space="0" w:color="auto"/>
                        <w:left w:val="none" w:sz="0" w:space="0" w:color="auto"/>
                        <w:bottom w:val="none" w:sz="0" w:space="0" w:color="auto"/>
                        <w:right w:val="none" w:sz="0" w:space="0" w:color="auto"/>
                      </w:divBdr>
                      <w:divsChild>
                        <w:div w:id="1793552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5737101">
      <w:bodyDiv w:val="1"/>
      <w:marLeft w:val="0"/>
      <w:marRight w:val="0"/>
      <w:marTop w:val="0"/>
      <w:marBottom w:val="0"/>
      <w:divBdr>
        <w:top w:val="none" w:sz="0" w:space="0" w:color="auto"/>
        <w:left w:val="none" w:sz="0" w:space="0" w:color="auto"/>
        <w:bottom w:val="none" w:sz="0" w:space="0" w:color="auto"/>
        <w:right w:val="none" w:sz="0" w:space="0" w:color="auto"/>
      </w:divBdr>
    </w:div>
    <w:div w:id="430467193">
      <w:bodyDiv w:val="1"/>
      <w:marLeft w:val="0"/>
      <w:marRight w:val="0"/>
      <w:marTop w:val="0"/>
      <w:marBottom w:val="0"/>
      <w:divBdr>
        <w:top w:val="none" w:sz="0" w:space="0" w:color="auto"/>
        <w:left w:val="none" w:sz="0" w:space="0" w:color="auto"/>
        <w:bottom w:val="none" w:sz="0" w:space="0" w:color="auto"/>
        <w:right w:val="none" w:sz="0" w:space="0" w:color="auto"/>
      </w:divBdr>
      <w:divsChild>
        <w:div w:id="850604803">
          <w:marLeft w:val="0"/>
          <w:marRight w:val="0"/>
          <w:marTop w:val="0"/>
          <w:marBottom w:val="0"/>
          <w:divBdr>
            <w:top w:val="none" w:sz="0" w:space="0" w:color="auto"/>
            <w:left w:val="none" w:sz="0" w:space="0" w:color="auto"/>
            <w:bottom w:val="none" w:sz="0" w:space="0" w:color="auto"/>
            <w:right w:val="none" w:sz="0" w:space="0" w:color="auto"/>
          </w:divBdr>
          <w:divsChild>
            <w:div w:id="201641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6262732">
      <w:bodyDiv w:val="1"/>
      <w:marLeft w:val="0"/>
      <w:marRight w:val="0"/>
      <w:marTop w:val="0"/>
      <w:marBottom w:val="0"/>
      <w:divBdr>
        <w:top w:val="none" w:sz="0" w:space="0" w:color="auto"/>
        <w:left w:val="none" w:sz="0" w:space="0" w:color="auto"/>
        <w:bottom w:val="none" w:sz="0" w:space="0" w:color="auto"/>
        <w:right w:val="none" w:sz="0" w:space="0" w:color="auto"/>
      </w:divBdr>
    </w:div>
    <w:div w:id="568347749">
      <w:bodyDiv w:val="1"/>
      <w:marLeft w:val="0"/>
      <w:marRight w:val="0"/>
      <w:marTop w:val="0"/>
      <w:marBottom w:val="0"/>
      <w:divBdr>
        <w:top w:val="none" w:sz="0" w:space="0" w:color="auto"/>
        <w:left w:val="none" w:sz="0" w:space="0" w:color="auto"/>
        <w:bottom w:val="none" w:sz="0" w:space="0" w:color="auto"/>
        <w:right w:val="none" w:sz="0" w:space="0" w:color="auto"/>
      </w:divBdr>
    </w:div>
    <w:div w:id="569846034">
      <w:bodyDiv w:val="1"/>
      <w:marLeft w:val="0"/>
      <w:marRight w:val="0"/>
      <w:marTop w:val="0"/>
      <w:marBottom w:val="0"/>
      <w:divBdr>
        <w:top w:val="none" w:sz="0" w:space="0" w:color="auto"/>
        <w:left w:val="none" w:sz="0" w:space="0" w:color="auto"/>
        <w:bottom w:val="none" w:sz="0" w:space="0" w:color="auto"/>
        <w:right w:val="none" w:sz="0" w:space="0" w:color="auto"/>
      </w:divBdr>
      <w:divsChild>
        <w:div w:id="684021712">
          <w:marLeft w:val="0"/>
          <w:marRight w:val="0"/>
          <w:marTop w:val="0"/>
          <w:marBottom w:val="0"/>
          <w:divBdr>
            <w:top w:val="none" w:sz="0" w:space="0" w:color="auto"/>
            <w:left w:val="none" w:sz="0" w:space="0" w:color="auto"/>
            <w:bottom w:val="none" w:sz="0" w:space="0" w:color="auto"/>
            <w:right w:val="none" w:sz="0" w:space="0" w:color="auto"/>
          </w:divBdr>
        </w:div>
      </w:divsChild>
    </w:div>
    <w:div w:id="591008194">
      <w:bodyDiv w:val="1"/>
      <w:marLeft w:val="0"/>
      <w:marRight w:val="0"/>
      <w:marTop w:val="0"/>
      <w:marBottom w:val="0"/>
      <w:divBdr>
        <w:top w:val="none" w:sz="0" w:space="0" w:color="auto"/>
        <w:left w:val="none" w:sz="0" w:space="0" w:color="auto"/>
        <w:bottom w:val="none" w:sz="0" w:space="0" w:color="auto"/>
        <w:right w:val="none" w:sz="0" w:space="0" w:color="auto"/>
      </w:divBdr>
    </w:div>
    <w:div w:id="630285234">
      <w:bodyDiv w:val="1"/>
      <w:marLeft w:val="0"/>
      <w:marRight w:val="0"/>
      <w:marTop w:val="0"/>
      <w:marBottom w:val="0"/>
      <w:divBdr>
        <w:top w:val="none" w:sz="0" w:space="0" w:color="auto"/>
        <w:left w:val="none" w:sz="0" w:space="0" w:color="auto"/>
        <w:bottom w:val="none" w:sz="0" w:space="0" w:color="auto"/>
        <w:right w:val="none" w:sz="0" w:space="0" w:color="auto"/>
      </w:divBdr>
    </w:div>
    <w:div w:id="634143925">
      <w:bodyDiv w:val="1"/>
      <w:marLeft w:val="0"/>
      <w:marRight w:val="0"/>
      <w:marTop w:val="0"/>
      <w:marBottom w:val="0"/>
      <w:divBdr>
        <w:top w:val="none" w:sz="0" w:space="0" w:color="auto"/>
        <w:left w:val="none" w:sz="0" w:space="0" w:color="auto"/>
        <w:bottom w:val="none" w:sz="0" w:space="0" w:color="auto"/>
        <w:right w:val="none" w:sz="0" w:space="0" w:color="auto"/>
      </w:divBdr>
    </w:div>
    <w:div w:id="698091959">
      <w:bodyDiv w:val="1"/>
      <w:marLeft w:val="0"/>
      <w:marRight w:val="0"/>
      <w:marTop w:val="0"/>
      <w:marBottom w:val="0"/>
      <w:divBdr>
        <w:top w:val="none" w:sz="0" w:space="0" w:color="auto"/>
        <w:left w:val="none" w:sz="0" w:space="0" w:color="auto"/>
        <w:bottom w:val="none" w:sz="0" w:space="0" w:color="auto"/>
        <w:right w:val="none" w:sz="0" w:space="0" w:color="auto"/>
      </w:divBdr>
      <w:divsChild>
        <w:div w:id="140736611">
          <w:marLeft w:val="0"/>
          <w:marRight w:val="0"/>
          <w:marTop w:val="0"/>
          <w:marBottom w:val="0"/>
          <w:divBdr>
            <w:top w:val="none" w:sz="0" w:space="0" w:color="auto"/>
            <w:left w:val="none" w:sz="0" w:space="0" w:color="auto"/>
            <w:bottom w:val="none" w:sz="0" w:space="0" w:color="auto"/>
            <w:right w:val="none" w:sz="0" w:space="0" w:color="auto"/>
          </w:divBdr>
          <w:divsChild>
            <w:div w:id="44566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5590725">
      <w:bodyDiv w:val="1"/>
      <w:marLeft w:val="0"/>
      <w:marRight w:val="0"/>
      <w:marTop w:val="0"/>
      <w:marBottom w:val="0"/>
      <w:divBdr>
        <w:top w:val="none" w:sz="0" w:space="0" w:color="auto"/>
        <w:left w:val="none" w:sz="0" w:space="0" w:color="auto"/>
        <w:bottom w:val="none" w:sz="0" w:space="0" w:color="auto"/>
        <w:right w:val="none" w:sz="0" w:space="0" w:color="auto"/>
      </w:divBdr>
      <w:divsChild>
        <w:div w:id="1636176605">
          <w:marLeft w:val="0"/>
          <w:marRight w:val="0"/>
          <w:marTop w:val="0"/>
          <w:marBottom w:val="0"/>
          <w:divBdr>
            <w:top w:val="none" w:sz="0" w:space="0" w:color="auto"/>
            <w:left w:val="none" w:sz="0" w:space="0" w:color="auto"/>
            <w:bottom w:val="none" w:sz="0" w:space="0" w:color="auto"/>
            <w:right w:val="none" w:sz="0" w:space="0" w:color="auto"/>
          </w:divBdr>
          <w:divsChild>
            <w:div w:id="501893730">
              <w:marLeft w:val="0"/>
              <w:marRight w:val="0"/>
              <w:marTop w:val="0"/>
              <w:marBottom w:val="0"/>
              <w:divBdr>
                <w:top w:val="none" w:sz="0" w:space="0" w:color="auto"/>
                <w:left w:val="none" w:sz="0" w:space="0" w:color="auto"/>
                <w:bottom w:val="none" w:sz="0" w:space="0" w:color="auto"/>
                <w:right w:val="none" w:sz="0" w:space="0" w:color="auto"/>
              </w:divBdr>
              <w:divsChild>
                <w:div w:id="2036811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280907">
      <w:bodyDiv w:val="1"/>
      <w:marLeft w:val="0"/>
      <w:marRight w:val="0"/>
      <w:marTop w:val="0"/>
      <w:marBottom w:val="0"/>
      <w:divBdr>
        <w:top w:val="none" w:sz="0" w:space="0" w:color="auto"/>
        <w:left w:val="none" w:sz="0" w:space="0" w:color="auto"/>
        <w:bottom w:val="none" w:sz="0" w:space="0" w:color="auto"/>
        <w:right w:val="none" w:sz="0" w:space="0" w:color="auto"/>
      </w:divBdr>
      <w:divsChild>
        <w:div w:id="588544197">
          <w:marLeft w:val="0"/>
          <w:marRight w:val="0"/>
          <w:marTop w:val="0"/>
          <w:marBottom w:val="0"/>
          <w:divBdr>
            <w:top w:val="none" w:sz="0" w:space="0" w:color="auto"/>
            <w:left w:val="none" w:sz="0" w:space="0" w:color="auto"/>
            <w:bottom w:val="none" w:sz="0" w:space="0" w:color="auto"/>
            <w:right w:val="none" w:sz="0" w:space="0" w:color="auto"/>
          </w:divBdr>
        </w:div>
      </w:divsChild>
    </w:div>
    <w:div w:id="754208806">
      <w:bodyDiv w:val="1"/>
      <w:marLeft w:val="0"/>
      <w:marRight w:val="0"/>
      <w:marTop w:val="0"/>
      <w:marBottom w:val="0"/>
      <w:divBdr>
        <w:top w:val="none" w:sz="0" w:space="0" w:color="auto"/>
        <w:left w:val="none" w:sz="0" w:space="0" w:color="auto"/>
        <w:bottom w:val="none" w:sz="0" w:space="0" w:color="auto"/>
        <w:right w:val="none" w:sz="0" w:space="0" w:color="auto"/>
      </w:divBdr>
      <w:divsChild>
        <w:div w:id="78261232">
          <w:marLeft w:val="0"/>
          <w:marRight w:val="0"/>
          <w:marTop w:val="0"/>
          <w:marBottom w:val="0"/>
          <w:divBdr>
            <w:top w:val="none" w:sz="0" w:space="0" w:color="auto"/>
            <w:left w:val="none" w:sz="0" w:space="0" w:color="auto"/>
            <w:bottom w:val="none" w:sz="0" w:space="0" w:color="auto"/>
            <w:right w:val="none" w:sz="0" w:space="0" w:color="auto"/>
          </w:divBdr>
          <w:divsChild>
            <w:div w:id="1951742396">
              <w:marLeft w:val="0"/>
              <w:marRight w:val="0"/>
              <w:marTop w:val="0"/>
              <w:marBottom w:val="0"/>
              <w:divBdr>
                <w:top w:val="none" w:sz="0" w:space="0" w:color="auto"/>
                <w:left w:val="none" w:sz="0" w:space="0" w:color="auto"/>
                <w:bottom w:val="none" w:sz="0" w:space="0" w:color="auto"/>
                <w:right w:val="none" w:sz="0" w:space="0" w:color="auto"/>
              </w:divBdr>
              <w:divsChild>
                <w:div w:id="1532301726">
                  <w:marLeft w:val="0"/>
                  <w:marRight w:val="0"/>
                  <w:marTop w:val="0"/>
                  <w:marBottom w:val="0"/>
                  <w:divBdr>
                    <w:top w:val="none" w:sz="0" w:space="0" w:color="auto"/>
                    <w:left w:val="none" w:sz="0" w:space="0" w:color="auto"/>
                    <w:bottom w:val="none" w:sz="0" w:space="0" w:color="auto"/>
                    <w:right w:val="none" w:sz="0" w:space="0" w:color="auto"/>
                  </w:divBdr>
                  <w:divsChild>
                    <w:div w:id="204146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4419425">
      <w:bodyDiv w:val="1"/>
      <w:marLeft w:val="0"/>
      <w:marRight w:val="0"/>
      <w:marTop w:val="0"/>
      <w:marBottom w:val="0"/>
      <w:divBdr>
        <w:top w:val="none" w:sz="0" w:space="0" w:color="auto"/>
        <w:left w:val="none" w:sz="0" w:space="0" w:color="auto"/>
        <w:bottom w:val="none" w:sz="0" w:space="0" w:color="auto"/>
        <w:right w:val="none" w:sz="0" w:space="0" w:color="auto"/>
      </w:divBdr>
      <w:divsChild>
        <w:div w:id="1568374320">
          <w:marLeft w:val="0"/>
          <w:marRight w:val="0"/>
          <w:marTop w:val="0"/>
          <w:marBottom w:val="0"/>
          <w:divBdr>
            <w:top w:val="none" w:sz="0" w:space="0" w:color="auto"/>
            <w:left w:val="none" w:sz="0" w:space="0" w:color="auto"/>
            <w:bottom w:val="none" w:sz="0" w:space="0" w:color="auto"/>
            <w:right w:val="none" w:sz="0" w:space="0" w:color="auto"/>
          </w:divBdr>
        </w:div>
      </w:divsChild>
    </w:div>
    <w:div w:id="795761607">
      <w:bodyDiv w:val="1"/>
      <w:marLeft w:val="0"/>
      <w:marRight w:val="0"/>
      <w:marTop w:val="0"/>
      <w:marBottom w:val="0"/>
      <w:divBdr>
        <w:top w:val="none" w:sz="0" w:space="0" w:color="auto"/>
        <w:left w:val="none" w:sz="0" w:space="0" w:color="auto"/>
        <w:bottom w:val="none" w:sz="0" w:space="0" w:color="auto"/>
        <w:right w:val="none" w:sz="0" w:space="0" w:color="auto"/>
      </w:divBdr>
      <w:divsChild>
        <w:div w:id="2005543189">
          <w:marLeft w:val="0"/>
          <w:marRight w:val="0"/>
          <w:marTop w:val="0"/>
          <w:marBottom w:val="0"/>
          <w:divBdr>
            <w:top w:val="none" w:sz="0" w:space="0" w:color="auto"/>
            <w:left w:val="none" w:sz="0" w:space="0" w:color="auto"/>
            <w:bottom w:val="none" w:sz="0" w:space="0" w:color="auto"/>
            <w:right w:val="none" w:sz="0" w:space="0" w:color="auto"/>
          </w:divBdr>
        </w:div>
      </w:divsChild>
    </w:div>
    <w:div w:id="845091995">
      <w:bodyDiv w:val="1"/>
      <w:marLeft w:val="0"/>
      <w:marRight w:val="0"/>
      <w:marTop w:val="0"/>
      <w:marBottom w:val="0"/>
      <w:divBdr>
        <w:top w:val="none" w:sz="0" w:space="0" w:color="auto"/>
        <w:left w:val="none" w:sz="0" w:space="0" w:color="auto"/>
        <w:bottom w:val="none" w:sz="0" w:space="0" w:color="auto"/>
        <w:right w:val="none" w:sz="0" w:space="0" w:color="auto"/>
      </w:divBdr>
    </w:div>
    <w:div w:id="861280829">
      <w:bodyDiv w:val="1"/>
      <w:marLeft w:val="0"/>
      <w:marRight w:val="0"/>
      <w:marTop w:val="0"/>
      <w:marBottom w:val="0"/>
      <w:divBdr>
        <w:top w:val="none" w:sz="0" w:space="0" w:color="auto"/>
        <w:left w:val="none" w:sz="0" w:space="0" w:color="auto"/>
        <w:bottom w:val="none" w:sz="0" w:space="0" w:color="auto"/>
        <w:right w:val="none" w:sz="0" w:space="0" w:color="auto"/>
      </w:divBdr>
    </w:div>
    <w:div w:id="873351394">
      <w:bodyDiv w:val="1"/>
      <w:marLeft w:val="0"/>
      <w:marRight w:val="0"/>
      <w:marTop w:val="0"/>
      <w:marBottom w:val="0"/>
      <w:divBdr>
        <w:top w:val="none" w:sz="0" w:space="0" w:color="auto"/>
        <w:left w:val="none" w:sz="0" w:space="0" w:color="auto"/>
        <w:bottom w:val="none" w:sz="0" w:space="0" w:color="auto"/>
        <w:right w:val="none" w:sz="0" w:space="0" w:color="auto"/>
      </w:divBdr>
    </w:div>
    <w:div w:id="881870236">
      <w:bodyDiv w:val="1"/>
      <w:marLeft w:val="0"/>
      <w:marRight w:val="0"/>
      <w:marTop w:val="0"/>
      <w:marBottom w:val="0"/>
      <w:divBdr>
        <w:top w:val="none" w:sz="0" w:space="0" w:color="auto"/>
        <w:left w:val="none" w:sz="0" w:space="0" w:color="auto"/>
        <w:bottom w:val="none" w:sz="0" w:space="0" w:color="auto"/>
        <w:right w:val="none" w:sz="0" w:space="0" w:color="auto"/>
      </w:divBdr>
    </w:div>
    <w:div w:id="891889173">
      <w:bodyDiv w:val="1"/>
      <w:marLeft w:val="0"/>
      <w:marRight w:val="0"/>
      <w:marTop w:val="0"/>
      <w:marBottom w:val="0"/>
      <w:divBdr>
        <w:top w:val="none" w:sz="0" w:space="0" w:color="auto"/>
        <w:left w:val="none" w:sz="0" w:space="0" w:color="auto"/>
        <w:bottom w:val="none" w:sz="0" w:space="0" w:color="auto"/>
        <w:right w:val="none" w:sz="0" w:space="0" w:color="auto"/>
      </w:divBdr>
      <w:divsChild>
        <w:div w:id="1476025085">
          <w:marLeft w:val="0"/>
          <w:marRight w:val="0"/>
          <w:marTop w:val="0"/>
          <w:marBottom w:val="0"/>
          <w:divBdr>
            <w:top w:val="none" w:sz="0" w:space="0" w:color="auto"/>
            <w:left w:val="none" w:sz="0" w:space="0" w:color="auto"/>
            <w:bottom w:val="none" w:sz="0" w:space="0" w:color="auto"/>
            <w:right w:val="none" w:sz="0" w:space="0" w:color="auto"/>
          </w:divBdr>
          <w:divsChild>
            <w:div w:id="782460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9215562">
      <w:bodyDiv w:val="1"/>
      <w:marLeft w:val="0"/>
      <w:marRight w:val="0"/>
      <w:marTop w:val="0"/>
      <w:marBottom w:val="0"/>
      <w:divBdr>
        <w:top w:val="none" w:sz="0" w:space="0" w:color="auto"/>
        <w:left w:val="none" w:sz="0" w:space="0" w:color="auto"/>
        <w:bottom w:val="none" w:sz="0" w:space="0" w:color="auto"/>
        <w:right w:val="none" w:sz="0" w:space="0" w:color="auto"/>
      </w:divBdr>
      <w:divsChild>
        <w:div w:id="924608214">
          <w:marLeft w:val="0"/>
          <w:marRight w:val="0"/>
          <w:marTop w:val="0"/>
          <w:marBottom w:val="0"/>
          <w:divBdr>
            <w:top w:val="none" w:sz="0" w:space="0" w:color="auto"/>
            <w:left w:val="none" w:sz="0" w:space="0" w:color="auto"/>
            <w:bottom w:val="none" w:sz="0" w:space="0" w:color="auto"/>
            <w:right w:val="none" w:sz="0" w:space="0" w:color="auto"/>
          </w:divBdr>
          <w:divsChild>
            <w:div w:id="760301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282157">
      <w:bodyDiv w:val="1"/>
      <w:marLeft w:val="0"/>
      <w:marRight w:val="0"/>
      <w:marTop w:val="0"/>
      <w:marBottom w:val="0"/>
      <w:divBdr>
        <w:top w:val="none" w:sz="0" w:space="0" w:color="auto"/>
        <w:left w:val="none" w:sz="0" w:space="0" w:color="auto"/>
        <w:bottom w:val="none" w:sz="0" w:space="0" w:color="auto"/>
        <w:right w:val="none" w:sz="0" w:space="0" w:color="auto"/>
      </w:divBdr>
    </w:div>
    <w:div w:id="982662813">
      <w:bodyDiv w:val="1"/>
      <w:marLeft w:val="0"/>
      <w:marRight w:val="0"/>
      <w:marTop w:val="0"/>
      <w:marBottom w:val="0"/>
      <w:divBdr>
        <w:top w:val="none" w:sz="0" w:space="0" w:color="auto"/>
        <w:left w:val="none" w:sz="0" w:space="0" w:color="auto"/>
        <w:bottom w:val="none" w:sz="0" w:space="0" w:color="auto"/>
        <w:right w:val="none" w:sz="0" w:space="0" w:color="auto"/>
      </w:divBdr>
      <w:divsChild>
        <w:div w:id="194739273">
          <w:marLeft w:val="0"/>
          <w:marRight w:val="0"/>
          <w:marTop w:val="0"/>
          <w:marBottom w:val="0"/>
          <w:divBdr>
            <w:top w:val="none" w:sz="0" w:space="0" w:color="auto"/>
            <w:left w:val="none" w:sz="0" w:space="0" w:color="auto"/>
            <w:bottom w:val="none" w:sz="0" w:space="0" w:color="auto"/>
            <w:right w:val="none" w:sz="0" w:space="0" w:color="auto"/>
          </w:divBdr>
        </w:div>
      </w:divsChild>
    </w:div>
    <w:div w:id="990409301">
      <w:bodyDiv w:val="1"/>
      <w:marLeft w:val="0"/>
      <w:marRight w:val="0"/>
      <w:marTop w:val="0"/>
      <w:marBottom w:val="0"/>
      <w:divBdr>
        <w:top w:val="none" w:sz="0" w:space="0" w:color="auto"/>
        <w:left w:val="none" w:sz="0" w:space="0" w:color="auto"/>
        <w:bottom w:val="none" w:sz="0" w:space="0" w:color="auto"/>
        <w:right w:val="none" w:sz="0" w:space="0" w:color="auto"/>
      </w:divBdr>
      <w:divsChild>
        <w:div w:id="1518470713">
          <w:marLeft w:val="0"/>
          <w:marRight w:val="0"/>
          <w:marTop w:val="0"/>
          <w:marBottom w:val="0"/>
          <w:divBdr>
            <w:top w:val="none" w:sz="0" w:space="0" w:color="auto"/>
            <w:left w:val="none" w:sz="0" w:space="0" w:color="auto"/>
            <w:bottom w:val="none" w:sz="0" w:space="0" w:color="auto"/>
            <w:right w:val="none" w:sz="0" w:space="0" w:color="auto"/>
          </w:divBdr>
        </w:div>
      </w:divsChild>
    </w:div>
    <w:div w:id="1055928725">
      <w:bodyDiv w:val="1"/>
      <w:marLeft w:val="0"/>
      <w:marRight w:val="0"/>
      <w:marTop w:val="0"/>
      <w:marBottom w:val="0"/>
      <w:divBdr>
        <w:top w:val="none" w:sz="0" w:space="0" w:color="auto"/>
        <w:left w:val="none" w:sz="0" w:space="0" w:color="auto"/>
        <w:bottom w:val="none" w:sz="0" w:space="0" w:color="auto"/>
        <w:right w:val="none" w:sz="0" w:space="0" w:color="auto"/>
      </w:divBdr>
    </w:div>
    <w:div w:id="1076591574">
      <w:bodyDiv w:val="1"/>
      <w:marLeft w:val="0"/>
      <w:marRight w:val="0"/>
      <w:marTop w:val="0"/>
      <w:marBottom w:val="0"/>
      <w:divBdr>
        <w:top w:val="none" w:sz="0" w:space="0" w:color="auto"/>
        <w:left w:val="none" w:sz="0" w:space="0" w:color="auto"/>
        <w:bottom w:val="none" w:sz="0" w:space="0" w:color="auto"/>
        <w:right w:val="none" w:sz="0" w:space="0" w:color="auto"/>
      </w:divBdr>
    </w:div>
    <w:div w:id="1079640541">
      <w:bodyDiv w:val="1"/>
      <w:marLeft w:val="0"/>
      <w:marRight w:val="0"/>
      <w:marTop w:val="0"/>
      <w:marBottom w:val="0"/>
      <w:divBdr>
        <w:top w:val="none" w:sz="0" w:space="0" w:color="auto"/>
        <w:left w:val="none" w:sz="0" w:space="0" w:color="auto"/>
        <w:bottom w:val="none" w:sz="0" w:space="0" w:color="auto"/>
        <w:right w:val="none" w:sz="0" w:space="0" w:color="auto"/>
      </w:divBdr>
    </w:div>
    <w:div w:id="1148936046">
      <w:bodyDiv w:val="1"/>
      <w:marLeft w:val="0"/>
      <w:marRight w:val="0"/>
      <w:marTop w:val="0"/>
      <w:marBottom w:val="0"/>
      <w:divBdr>
        <w:top w:val="none" w:sz="0" w:space="0" w:color="auto"/>
        <w:left w:val="none" w:sz="0" w:space="0" w:color="auto"/>
        <w:bottom w:val="none" w:sz="0" w:space="0" w:color="auto"/>
        <w:right w:val="none" w:sz="0" w:space="0" w:color="auto"/>
      </w:divBdr>
    </w:div>
    <w:div w:id="1177118465">
      <w:bodyDiv w:val="1"/>
      <w:marLeft w:val="0"/>
      <w:marRight w:val="0"/>
      <w:marTop w:val="0"/>
      <w:marBottom w:val="0"/>
      <w:divBdr>
        <w:top w:val="none" w:sz="0" w:space="0" w:color="auto"/>
        <w:left w:val="none" w:sz="0" w:space="0" w:color="auto"/>
        <w:bottom w:val="none" w:sz="0" w:space="0" w:color="auto"/>
        <w:right w:val="none" w:sz="0" w:space="0" w:color="auto"/>
      </w:divBdr>
    </w:div>
    <w:div w:id="1201354473">
      <w:bodyDiv w:val="1"/>
      <w:marLeft w:val="0"/>
      <w:marRight w:val="0"/>
      <w:marTop w:val="0"/>
      <w:marBottom w:val="0"/>
      <w:divBdr>
        <w:top w:val="none" w:sz="0" w:space="0" w:color="auto"/>
        <w:left w:val="none" w:sz="0" w:space="0" w:color="auto"/>
        <w:bottom w:val="none" w:sz="0" w:space="0" w:color="auto"/>
        <w:right w:val="none" w:sz="0" w:space="0" w:color="auto"/>
      </w:divBdr>
      <w:divsChild>
        <w:div w:id="1018894763">
          <w:marLeft w:val="0"/>
          <w:marRight w:val="0"/>
          <w:marTop w:val="0"/>
          <w:marBottom w:val="0"/>
          <w:divBdr>
            <w:top w:val="none" w:sz="0" w:space="0" w:color="auto"/>
            <w:left w:val="none" w:sz="0" w:space="0" w:color="auto"/>
            <w:bottom w:val="none" w:sz="0" w:space="0" w:color="auto"/>
            <w:right w:val="none" w:sz="0" w:space="0" w:color="auto"/>
          </w:divBdr>
          <w:divsChild>
            <w:div w:id="349992997">
              <w:marLeft w:val="0"/>
              <w:marRight w:val="0"/>
              <w:marTop w:val="0"/>
              <w:marBottom w:val="0"/>
              <w:divBdr>
                <w:top w:val="none" w:sz="0" w:space="0" w:color="auto"/>
                <w:left w:val="none" w:sz="0" w:space="0" w:color="auto"/>
                <w:bottom w:val="none" w:sz="0" w:space="0" w:color="auto"/>
                <w:right w:val="none" w:sz="0" w:space="0" w:color="auto"/>
              </w:divBdr>
              <w:divsChild>
                <w:div w:id="2073692518">
                  <w:marLeft w:val="0"/>
                  <w:marRight w:val="0"/>
                  <w:marTop w:val="0"/>
                  <w:marBottom w:val="0"/>
                  <w:divBdr>
                    <w:top w:val="none" w:sz="0" w:space="0" w:color="auto"/>
                    <w:left w:val="none" w:sz="0" w:space="0" w:color="auto"/>
                    <w:bottom w:val="none" w:sz="0" w:space="0" w:color="auto"/>
                    <w:right w:val="none" w:sz="0" w:space="0" w:color="auto"/>
                  </w:divBdr>
                  <w:divsChild>
                    <w:div w:id="2007634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1233344">
      <w:bodyDiv w:val="1"/>
      <w:marLeft w:val="0"/>
      <w:marRight w:val="0"/>
      <w:marTop w:val="0"/>
      <w:marBottom w:val="0"/>
      <w:divBdr>
        <w:top w:val="none" w:sz="0" w:space="0" w:color="auto"/>
        <w:left w:val="none" w:sz="0" w:space="0" w:color="auto"/>
        <w:bottom w:val="none" w:sz="0" w:space="0" w:color="auto"/>
        <w:right w:val="none" w:sz="0" w:space="0" w:color="auto"/>
      </w:divBdr>
      <w:divsChild>
        <w:div w:id="1434397180">
          <w:marLeft w:val="0"/>
          <w:marRight w:val="0"/>
          <w:marTop w:val="0"/>
          <w:marBottom w:val="0"/>
          <w:divBdr>
            <w:top w:val="none" w:sz="0" w:space="0" w:color="auto"/>
            <w:left w:val="none" w:sz="0" w:space="0" w:color="auto"/>
            <w:bottom w:val="none" w:sz="0" w:space="0" w:color="auto"/>
            <w:right w:val="none" w:sz="0" w:space="0" w:color="auto"/>
          </w:divBdr>
          <w:divsChild>
            <w:div w:id="1598127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758769">
      <w:bodyDiv w:val="1"/>
      <w:marLeft w:val="0"/>
      <w:marRight w:val="0"/>
      <w:marTop w:val="0"/>
      <w:marBottom w:val="0"/>
      <w:divBdr>
        <w:top w:val="none" w:sz="0" w:space="0" w:color="auto"/>
        <w:left w:val="none" w:sz="0" w:space="0" w:color="auto"/>
        <w:bottom w:val="none" w:sz="0" w:space="0" w:color="auto"/>
        <w:right w:val="none" w:sz="0" w:space="0" w:color="auto"/>
      </w:divBdr>
    </w:div>
    <w:div w:id="1336180140">
      <w:bodyDiv w:val="1"/>
      <w:marLeft w:val="0"/>
      <w:marRight w:val="0"/>
      <w:marTop w:val="0"/>
      <w:marBottom w:val="0"/>
      <w:divBdr>
        <w:top w:val="none" w:sz="0" w:space="0" w:color="auto"/>
        <w:left w:val="none" w:sz="0" w:space="0" w:color="auto"/>
        <w:bottom w:val="none" w:sz="0" w:space="0" w:color="auto"/>
        <w:right w:val="none" w:sz="0" w:space="0" w:color="auto"/>
      </w:divBdr>
    </w:div>
    <w:div w:id="1360014167">
      <w:bodyDiv w:val="1"/>
      <w:marLeft w:val="0"/>
      <w:marRight w:val="0"/>
      <w:marTop w:val="0"/>
      <w:marBottom w:val="0"/>
      <w:divBdr>
        <w:top w:val="none" w:sz="0" w:space="0" w:color="auto"/>
        <w:left w:val="none" w:sz="0" w:space="0" w:color="auto"/>
        <w:bottom w:val="none" w:sz="0" w:space="0" w:color="auto"/>
        <w:right w:val="none" w:sz="0" w:space="0" w:color="auto"/>
      </w:divBdr>
    </w:div>
    <w:div w:id="1398867880">
      <w:bodyDiv w:val="1"/>
      <w:marLeft w:val="0"/>
      <w:marRight w:val="0"/>
      <w:marTop w:val="0"/>
      <w:marBottom w:val="0"/>
      <w:divBdr>
        <w:top w:val="none" w:sz="0" w:space="0" w:color="auto"/>
        <w:left w:val="none" w:sz="0" w:space="0" w:color="auto"/>
        <w:bottom w:val="none" w:sz="0" w:space="0" w:color="auto"/>
        <w:right w:val="none" w:sz="0" w:space="0" w:color="auto"/>
      </w:divBdr>
    </w:div>
    <w:div w:id="1415124130">
      <w:bodyDiv w:val="1"/>
      <w:marLeft w:val="0"/>
      <w:marRight w:val="0"/>
      <w:marTop w:val="0"/>
      <w:marBottom w:val="0"/>
      <w:divBdr>
        <w:top w:val="none" w:sz="0" w:space="0" w:color="auto"/>
        <w:left w:val="none" w:sz="0" w:space="0" w:color="auto"/>
        <w:bottom w:val="none" w:sz="0" w:space="0" w:color="auto"/>
        <w:right w:val="none" w:sz="0" w:space="0" w:color="auto"/>
      </w:divBdr>
      <w:divsChild>
        <w:div w:id="1971933018">
          <w:marLeft w:val="0"/>
          <w:marRight w:val="0"/>
          <w:marTop w:val="0"/>
          <w:marBottom w:val="0"/>
          <w:divBdr>
            <w:top w:val="none" w:sz="0" w:space="0" w:color="auto"/>
            <w:left w:val="none" w:sz="0" w:space="0" w:color="auto"/>
            <w:bottom w:val="none" w:sz="0" w:space="0" w:color="auto"/>
            <w:right w:val="none" w:sz="0" w:space="0" w:color="auto"/>
          </w:divBdr>
          <w:divsChild>
            <w:div w:id="798039078">
              <w:marLeft w:val="0"/>
              <w:marRight w:val="0"/>
              <w:marTop w:val="0"/>
              <w:marBottom w:val="0"/>
              <w:divBdr>
                <w:top w:val="none" w:sz="0" w:space="0" w:color="auto"/>
                <w:left w:val="none" w:sz="0" w:space="0" w:color="auto"/>
                <w:bottom w:val="none" w:sz="0" w:space="0" w:color="auto"/>
                <w:right w:val="none" w:sz="0" w:space="0" w:color="auto"/>
              </w:divBdr>
              <w:divsChild>
                <w:div w:id="1462580059">
                  <w:marLeft w:val="0"/>
                  <w:marRight w:val="0"/>
                  <w:marTop w:val="0"/>
                  <w:marBottom w:val="0"/>
                  <w:divBdr>
                    <w:top w:val="none" w:sz="0" w:space="0" w:color="auto"/>
                    <w:left w:val="none" w:sz="0" w:space="0" w:color="auto"/>
                    <w:bottom w:val="none" w:sz="0" w:space="0" w:color="auto"/>
                    <w:right w:val="none" w:sz="0" w:space="0" w:color="auto"/>
                  </w:divBdr>
                  <w:divsChild>
                    <w:div w:id="2136168216">
                      <w:marLeft w:val="0"/>
                      <w:marRight w:val="0"/>
                      <w:marTop w:val="0"/>
                      <w:marBottom w:val="0"/>
                      <w:divBdr>
                        <w:top w:val="none" w:sz="0" w:space="0" w:color="auto"/>
                        <w:left w:val="none" w:sz="0" w:space="0" w:color="auto"/>
                        <w:bottom w:val="none" w:sz="0" w:space="0" w:color="auto"/>
                        <w:right w:val="none" w:sz="0" w:space="0" w:color="auto"/>
                      </w:divBdr>
                      <w:divsChild>
                        <w:div w:id="186706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7771552">
      <w:bodyDiv w:val="1"/>
      <w:marLeft w:val="0"/>
      <w:marRight w:val="0"/>
      <w:marTop w:val="0"/>
      <w:marBottom w:val="0"/>
      <w:divBdr>
        <w:top w:val="none" w:sz="0" w:space="0" w:color="auto"/>
        <w:left w:val="none" w:sz="0" w:space="0" w:color="auto"/>
        <w:bottom w:val="none" w:sz="0" w:space="0" w:color="auto"/>
        <w:right w:val="none" w:sz="0" w:space="0" w:color="auto"/>
      </w:divBdr>
      <w:divsChild>
        <w:div w:id="2061438919">
          <w:marLeft w:val="0"/>
          <w:marRight w:val="0"/>
          <w:marTop w:val="0"/>
          <w:marBottom w:val="0"/>
          <w:divBdr>
            <w:top w:val="none" w:sz="0" w:space="0" w:color="auto"/>
            <w:left w:val="none" w:sz="0" w:space="0" w:color="auto"/>
            <w:bottom w:val="none" w:sz="0" w:space="0" w:color="auto"/>
            <w:right w:val="none" w:sz="0" w:space="0" w:color="auto"/>
          </w:divBdr>
          <w:divsChild>
            <w:div w:id="192448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770364">
      <w:bodyDiv w:val="1"/>
      <w:marLeft w:val="0"/>
      <w:marRight w:val="0"/>
      <w:marTop w:val="0"/>
      <w:marBottom w:val="0"/>
      <w:divBdr>
        <w:top w:val="none" w:sz="0" w:space="0" w:color="auto"/>
        <w:left w:val="none" w:sz="0" w:space="0" w:color="auto"/>
        <w:bottom w:val="none" w:sz="0" w:space="0" w:color="auto"/>
        <w:right w:val="none" w:sz="0" w:space="0" w:color="auto"/>
      </w:divBdr>
      <w:divsChild>
        <w:div w:id="612447144">
          <w:marLeft w:val="0"/>
          <w:marRight w:val="0"/>
          <w:marTop w:val="0"/>
          <w:marBottom w:val="0"/>
          <w:divBdr>
            <w:top w:val="none" w:sz="0" w:space="0" w:color="auto"/>
            <w:left w:val="none" w:sz="0" w:space="0" w:color="auto"/>
            <w:bottom w:val="none" w:sz="0" w:space="0" w:color="auto"/>
            <w:right w:val="none" w:sz="0" w:space="0" w:color="auto"/>
          </w:divBdr>
          <w:divsChild>
            <w:div w:id="2104571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7835315">
      <w:bodyDiv w:val="1"/>
      <w:marLeft w:val="0"/>
      <w:marRight w:val="0"/>
      <w:marTop w:val="0"/>
      <w:marBottom w:val="0"/>
      <w:divBdr>
        <w:top w:val="none" w:sz="0" w:space="0" w:color="auto"/>
        <w:left w:val="none" w:sz="0" w:space="0" w:color="auto"/>
        <w:bottom w:val="none" w:sz="0" w:space="0" w:color="auto"/>
        <w:right w:val="none" w:sz="0" w:space="0" w:color="auto"/>
      </w:divBdr>
      <w:divsChild>
        <w:div w:id="947393066">
          <w:marLeft w:val="0"/>
          <w:marRight w:val="0"/>
          <w:marTop w:val="0"/>
          <w:marBottom w:val="0"/>
          <w:divBdr>
            <w:top w:val="none" w:sz="0" w:space="0" w:color="auto"/>
            <w:left w:val="none" w:sz="0" w:space="0" w:color="auto"/>
            <w:bottom w:val="none" w:sz="0" w:space="0" w:color="auto"/>
            <w:right w:val="none" w:sz="0" w:space="0" w:color="auto"/>
          </w:divBdr>
          <w:divsChild>
            <w:div w:id="1882473705">
              <w:marLeft w:val="0"/>
              <w:marRight w:val="0"/>
              <w:marTop w:val="0"/>
              <w:marBottom w:val="0"/>
              <w:divBdr>
                <w:top w:val="none" w:sz="0" w:space="0" w:color="auto"/>
                <w:left w:val="none" w:sz="0" w:space="0" w:color="auto"/>
                <w:bottom w:val="none" w:sz="0" w:space="0" w:color="auto"/>
                <w:right w:val="none" w:sz="0" w:space="0" w:color="auto"/>
              </w:divBdr>
              <w:divsChild>
                <w:div w:id="689113929">
                  <w:marLeft w:val="0"/>
                  <w:marRight w:val="0"/>
                  <w:marTop w:val="0"/>
                  <w:marBottom w:val="0"/>
                  <w:divBdr>
                    <w:top w:val="none" w:sz="0" w:space="0" w:color="auto"/>
                    <w:left w:val="none" w:sz="0" w:space="0" w:color="auto"/>
                    <w:bottom w:val="none" w:sz="0" w:space="0" w:color="auto"/>
                    <w:right w:val="none" w:sz="0" w:space="0" w:color="auto"/>
                  </w:divBdr>
                  <w:divsChild>
                    <w:div w:id="2050301978">
                      <w:marLeft w:val="0"/>
                      <w:marRight w:val="0"/>
                      <w:marTop w:val="0"/>
                      <w:marBottom w:val="0"/>
                      <w:divBdr>
                        <w:top w:val="none" w:sz="0" w:space="0" w:color="auto"/>
                        <w:left w:val="none" w:sz="0" w:space="0" w:color="auto"/>
                        <w:bottom w:val="none" w:sz="0" w:space="0" w:color="auto"/>
                        <w:right w:val="none" w:sz="0" w:space="0" w:color="auto"/>
                      </w:divBdr>
                      <w:divsChild>
                        <w:div w:id="26242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4194300">
      <w:bodyDiv w:val="1"/>
      <w:marLeft w:val="0"/>
      <w:marRight w:val="0"/>
      <w:marTop w:val="0"/>
      <w:marBottom w:val="0"/>
      <w:divBdr>
        <w:top w:val="none" w:sz="0" w:space="0" w:color="auto"/>
        <w:left w:val="none" w:sz="0" w:space="0" w:color="auto"/>
        <w:bottom w:val="none" w:sz="0" w:space="0" w:color="auto"/>
        <w:right w:val="none" w:sz="0" w:space="0" w:color="auto"/>
      </w:divBdr>
      <w:divsChild>
        <w:div w:id="1754205748">
          <w:marLeft w:val="0"/>
          <w:marRight w:val="0"/>
          <w:marTop w:val="0"/>
          <w:marBottom w:val="0"/>
          <w:divBdr>
            <w:top w:val="none" w:sz="0" w:space="0" w:color="auto"/>
            <w:left w:val="none" w:sz="0" w:space="0" w:color="auto"/>
            <w:bottom w:val="none" w:sz="0" w:space="0" w:color="auto"/>
            <w:right w:val="none" w:sz="0" w:space="0" w:color="auto"/>
          </w:divBdr>
          <w:divsChild>
            <w:div w:id="742917236">
              <w:marLeft w:val="0"/>
              <w:marRight w:val="0"/>
              <w:marTop w:val="0"/>
              <w:marBottom w:val="0"/>
              <w:divBdr>
                <w:top w:val="none" w:sz="0" w:space="0" w:color="auto"/>
                <w:left w:val="none" w:sz="0" w:space="0" w:color="auto"/>
                <w:bottom w:val="none" w:sz="0" w:space="0" w:color="auto"/>
                <w:right w:val="none" w:sz="0" w:space="0" w:color="auto"/>
              </w:divBdr>
              <w:divsChild>
                <w:div w:id="1521049614">
                  <w:marLeft w:val="0"/>
                  <w:marRight w:val="0"/>
                  <w:marTop w:val="0"/>
                  <w:marBottom w:val="0"/>
                  <w:divBdr>
                    <w:top w:val="none" w:sz="0" w:space="0" w:color="auto"/>
                    <w:left w:val="none" w:sz="0" w:space="0" w:color="auto"/>
                    <w:bottom w:val="none" w:sz="0" w:space="0" w:color="auto"/>
                    <w:right w:val="none" w:sz="0" w:space="0" w:color="auto"/>
                  </w:divBdr>
                  <w:divsChild>
                    <w:div w:id="1008217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7367362">
      <w:bodyDiv w:val="1"/>
      <w:marLeft w:val="0"/>
      <w:marRight w:val="0"/>
      <w:marTop w:val="0"/>
      <w:marBottom w:val="0"/>
      <w:divBdr>
        <w:top w:val="none" w:sz="0" w:space="0" w:color="auto"/>
        <w:left w:val="none" w:sz="0" w:space="0" w:color="auto"/>
        <w:bottom w:val="none" w:sz="0" w:space="0" w:color="auto"/>
        <w:right w:val="none" w:sz="0" w:space="0" w:color="auto"/>
      </w:divBdr>
    </w:div>
    <w:div w:id="1769078809">
      <w:bodyDiv w:val="1"/>
      <w:marLeft w:val="0"/>
      <w:marRight w:val="0"/>
      <w:marTop w:val="0"/>
      <w:marBottom w:val="0"/>
      <w:divBdr>
        <w:top w:val="none" w:sz="0" w:space="0" w:color="auto"/>
        <w:left w:val="none" w:sz="0" w:space="0" w:color="auto"/>
        <w:bottom w:val="none" w:sz="0" w:space="0" w:color="auto"/>
        <w:right w:val="none" w:sz="0" w:space="0" w:color="auto"/>
      </w:divBdr>
    </w:div>
    <w:div w:id="1781872167">
      <w:bodyDiv w:val="1"/>
      <w:marLeft w:val="0"/>
      <w:marRight w:val="0"/>
      <w:marTop w:val="0"/>
      <w:marBottom w:val="0"/>
      <w:divBdr>
        <w:top w:val="none" w:sz="0" w:space="0" w:color="auto"/>
        <w:left w:val="none" w:sz="0" w:space="0" w:color="auto"/>
        <w:bottom w:val="none" w:sz="0" w:space="0" w:color="auto"/>
        <w:right w:val="none" w:sz="0" w:space="0" w:color="auto"/>
      </w:divBdr>
    </w:div>
    <w:div w:id="1829444783">
      <w:bodyDiv w:val="1"/>
      <w:marLeft w:val="0"/>
      <w:marRight w:val="0"/>
      <w:marTop w:val="0"/>
      <w:marBottom w:val="0"/>
      <w:divBdr>
        <w:top w:val="none" w:sz="0" w:space="0" w:color="auto"/>
        <w:left w:val="none" w:sz="0" w:space="0" w:color="auto"/>
        <w:bottom w:val="none" w:sz="0" w:space="0" w:color="auto"/>
        <w:right w:val="none" w:sz="0" w:space="0" w:color="auto"/>
      </w:divBdr>
    </w:div>
    <w:div w:id="1829591305">
      <w:bodyDiv w:val="1"/>
      <w:marLeft w:val="0"/>
      <w:marRight w:val="0"/>
      <w:marTop w:val="0"/>
      <w:marBottom w:val="0"/>
      <w:divBdr>
        <w:top w:val="none" w:sz="0" w:space="0" w:color="auto"/>
        <w:left w:val="none" w:sz="0" w:space="0" w:color="auto"/>
        <w:bottom w:val="none" w:sz="0" w:space="0" w:color="auto"/>
        <w:right w:val="none" w:sz="0" w:space="0" w:color="auto"/>
      </w:divBdr>
      <w:divsChild>
        <w:div w:id="284888922">
          <w:marLeft w:val="0"/>
          <w:marRight w:val="0"/>
          <w:marTop w:val="0"/>
          <w:marBottom w:val="0"/>
          <w:divBdr>
            <w:top w:val="none" w:sz="0" w:space="0" w:color="auto"/>
            <w:left w:val="none" w:sz="0" w:space="0" w:color="auto"/>
            <w:bottom w:val="none" w:sz="0" w:space="0" w:color="auto"/>
            <w:right w:val="none" w:sz="0" w:space="0" w:color="auto"/>
          </w:divBdr>
          <w:divsChild>
            <w:div w:id="1852332662">
              <w:marLeft w:val="0"/>
              <w:marRight w:val="0"/>
              <w:marTop w:val="0"/>
              <w:marBottom w:val="0"/>
              <w:divBdr>
                <w:top w:val="none" w:sz="0" w:space="0" w:color="auto"/>
                <w:left w:val="none" w:sz="0" w:space="0" w:color="auto"/>
                <w:bottom w:val="none" w:sz="0" w:space="0" w:color="auto"/>
                <w:right w:val="none" w:sz="0" w:space="0" w:color="auto"/>
              </w:divBdr>
            </w:div>
          </w:divsChild>
        </w:div>
        <w:div w:id="1693651355">
          <w:marLeft w:val="0"/>
          <w:marRight w:val="0"/>
          <w:marTop w:val="0"/>
          <w:marBottom w:val="0"/>
          <w:divBdr>
            <w:top w:val="none" w:sz="0" w:space="0" w:color="auto"/>
            <w:left w:val="none" w:sz="0" w:space="0" w:color="auto"/>
            <w:bottom w:val="none" w:sz="0" w:space="0" w:color="auto"/>
            <w:right w:val="none" w:sz="0" w:space="0" w:color="auto"/>
          </w:divBdr>
        </w:div>
      </w:divsChild>
    </w:div>
    <w:div w:id="1890458404">
      <w:bodyDiv w:val="1"/>
      <w:marLeft w:val="0"/>
      <w:marRight w:val="0"/>
      <w:marTop w:val="0"/>
      <w:marBottom w:val="0"/>
      <w:divBdr>
        <w:top w:val="none" w:sz="0" w:space="0" w:color="auto"/>
        <w:left w:val="none" w:sz="0" w:space="0" w:color="auto"/>
        <w:bottom w:val="none" w:sz="0" w:space="0" w:color="auto"/>
        <w:right w:val="none" w:sz="0" w:space="0" w:color="auto"/>
      </w:divBdr>
      <w:divsChild>
        <w:div w:id="1781490331">
          <w:marLeft w:val="0"/>
          <w:marRight w:val="0"/>
          <w:marTop w:val="0"/>
          <w:marBottom w:val="0"/>
          <w:divBdr>
            <w:top w:val="none" w:sz="0" w:space="0" w:color="auto"/>
            <w:left w:val="none" w:sz="0" w:space="0" w:color="auto"/>
            <w:bottom w:val="none" w:sz="0" w:space="0" w:color="auto"/>
            <w:right w:val="none" w:sz="0" w:space="0" w:color="auto"/>
          </w:divBdr>
        </w:div>
      </w:divsChild>
    </w:div>
    <w:div w:id="1957368592">
      <w:bodyDiv w:val="1"/>
      <w:marLeft w:val="0"/>
      <w:marRight w:val="0"/>
      <w:marTop w:val="0"/>
      <w:marBottom w:val="0"/>
      <w:divBdr>
        <w:top w:val="none" w:sz="0" w:space="0" w:color="auto"/>
        <w:left w:val="none" w:sz="0" w:space="0" w:color="auto"/>
        <w:bottom w:val="none" w:sz="0" w:space="0" w:color="auto"/>
        <w:right w:val="none" w:sz="0" w:space="0" w:color="auto"/>
      </w:divBdr>
    </w:div>
    <w:div w:id="1971091892">
      <w:bodyDiv w:val="1"/>
      <w:marLeft w:val="0"/>
      <w:marRight w:val="0"/>
      <w:marTop w:val="0"/>
      <w:marBottom w:val="0"/>
      <w:divBdr>
        <w:top w:val="none" w:sz="0" w:space="0" w:color="auto"/>
        <w:left w:val="none" w:sz="0" w:space="0" w:color="auto"/>
        <w:bottom w:val="none" w:sz="0" w:space="0" w:color="auto"/>
        <w:right w:val="none" w:sz="0" w:space="0" w:color="auto"/>
      </w:divBdr>
      <w:divsChild>
        <w:div w:id="739668525">
          <w:marLeft w:val="0"/>
          <w:marRight w:val="0"/>
          <w:marTop w:val="0"/>
          <w:marBottom w:val="0"/>
          <w:divBdr>
            <w:top w:val="none" w:sz="0" w:space="0" w:color="auto"/>
            <w:left w:val="none" w:sz="0" w:space="0" w:color="auto"/>
            <w:bottom w:val="none" w:sz="0" w:space="0" w:color="auto"/>
            <w:right w:val="none" w:sz="0" w:space="0" w:color="auto"/>
          </w:divBdr>
        </w:div>
        <w:div w:id="1147823067">
          <w:marLeft w:val="0"/>
          <w:marRight w:val="0"/>
          <w:marTop w:val="150"/>
          <w:marBottom w:val="0"/>
          <w:divBdr>
            <w:top w:val="none" w:sz="0" w:space="0" w:color="auto"/>
            <w:left w:val="none" w:sz="0" w:space="0" w:color="auto"/>
            <w:bottom w:val="none" w:sz="0" w:space="0" w:color="auto"/>
            <w:right w:val="none" w:sz="0" w:space="0" w:color="auto"/>
          </w:divBdr>
        </w:div>
      </w:divsChild>
    </w:div>
    <w:div w:id="2035614415">
      <w:bodyDiv w:val="1"/>
      <w:marLeft w:val="0"/>
      <w:marRight w:val="0"/>
      <w:marTop w:val="0"/>
      <w:marBottom w:val="0"/>
      <w:divBdr>
        <w:top w:val="none" w:sz="0" w:space="0" w:color="auto"/>
        <w:left w:val="none" w:sz="0" w:space="0" w:color="auto"/>
        <w:bottom w:val="none" w:sz="0" w:space="0" w:color="auto"/>
        <w:right w:val="none" w:sz="0" w:space="0" w:color="auto"/>
      </w:divBdr>
    </w:div>
    <w:div w:id="2096707102">
      <w:bodyDiv w:val="1"/>
      <w:marLeft w:val="0"/>
      <w:marRight w:val="0"/>
      <w:marTop w:val="0"/>
      <w:marBottom w:val="0"/>
      <w:divBdr>
        <w:top w:val="none" w:sz="0" w:space="0" w:color="auto"/>
        <w:left w:val="none" w:sz="0" w:space="0" w:color="auto"/>
        <w:bottom w:val="none" w:sz="0" w:space="0" w:color="auto"/>
        <w:right w:val="none" w:sz="0" w:space="0" w:color="auto"/>
      </w:divBdr>
    </w:div>
    <w:div w:id="2108114478">
      <w:bodyDiv w:val="1"/>
      <w:marLeft w:val="0"/>
      <w:marRight w:val="0"/>
      <w:marTop w:val="0"/>
      <w:marBottom w:val="0"/>
      <w:divBdr>
        <w:top w:val="none" w:sz="0" w:space="0" w:color="auto"/>
        <w:left w:val="none" w:sz="0" w:space="0" w:color="auto"/>
        <w:bottom w:val="none" w:sz="0" w:space="0" w:color="auto"/>
        <w:right w:val="none" w:sz="0" w:space="0" w:color="auto"/>
      </w:divBdr>
      <w:divsChild>
        <w:div w:id="263851462">
          <w:marLeft w:val="0"/>
          <w:marRight w:val="0"/>
          <w:marTop w:val="0"/>
          <w:marBottom w:val="0"/>
          <w:divBdr>
            <w:top w:val="none" w:sz="0" w:space="0" w:color="auto"/>
            <w:left w:val="none" w:sz="0" w:space="0" w:color="auto"/>
            <w:bottom w:val="none" w:sz="0" w:space="0" w:color="auto"/>
            <w:right w:val="none" w:sz="0" w:space="0" w:color="auto"/>
          </w:divBdr>
        </w:div>
      </w:divsChild>
    </w:div>
    <w:div w:id="2118060282">
      <w:bodyDiv w:val="1"/>
      <w:marLeft w:val="0"/>
      <w:marRight w:val="0"/>
      <w:marTop w:val="0"/>
      <w:marBottom w:val="0"/>
      <w:divBdr>
        <w:top w:val="none" w:sz="0" w:space="0" w:color="auto"/>
        <w:left w:val="none" w:sz="0" w:space="0" w:color="auto"/>
        <w:bottom w:val="none" w:sz="0" w:space="0" w:color="auto"/>
        <w:right w:val="none" w:sz="0" w:space="0" w:color="auto"/>
      </w:divBdr>
      <w:divsChild>
        <w:div w:id="837115510">
          <w:marLeft w:val="0"/>
          <w:marRight w:val="0"/>
          <w:marTop w:val="0"/>
          <w:marBottom w:val="0"/>
          <w:divBdr>
            <w:top w:val="none" w:sz="0" w:space="0" w:color="auto"/>
            <w:left w:val="none" w:sz="0" w:space="0" w:color="auto"/>
            <w:bottom w:val="none" w:sz="0" w:space="0" w:color="auto"/>
            <w:right w:val="none" w:sz="0" w:space="0" w:color="auto"/>
          </w:divBdr>
          <w:divsChild>
            <w:div w:id="727848279">
              <w:marLeft w:val="0"/>
              <w:marRight w:val="0"/>
              <w:marTop w:val="0"/>
              <w:marBottom w:val="0"/>
              <w:divBdr>
                <w:top w:val="none" w:sz="0" w:space="0" w:color="auto"/>
                <w:left w:val="none" w:sz="0" w:space="0" w:color="auto"/>
                <w:bottom w:val="none" w:sz="0" w:space="0" w:color="auto"/>
                <w:right w:val="none" w:sz="0" w:space="0" w:color="auto"/>
              </w:divBdr>
              <w:divsChild>
                <w:div w:id="1740588652">
                  <w:marLeft w:val="0"/>
                  <w:marRight w:val="0"/>
                  <w:marTop w:val="0"/>
                  <w:marBottom w:val="0"/>
                  <w:divBdr>
                    <w:top w:val="none" w:sz="0" w:space="0" w:color="auto"/>
                    <w:left w:val="none" w:sz="0" w:space="0" w:color="auto"/>
                    <w:bottom w:val="none" w:sz="0" w:space="0" w:color="auto"/>
                    <w:right w:val="none" w:sz="0" w:space="0" w:color="auto"/>
                  </w:divBdr>
                  <w:divsChild>
                    <w:div w:id="342631953">
                      <w:marLeft w:val="0"/>
                      <w:marRight w:val="0"/>
                      <w:marTop w:val="0"/>
                      <w:marBottom w:val="0"/>
                      <w:divBdr>
                        <w:top w:val="none" w:sz="0" w:space="0" w:color="auto"/>
                        <w:left w:val="none" w:sz="0" w:space="0" w:color="auto"/>
                        <w:bottom w:val="none" w:sz="0" w:space="0" w:color="auto"/>
                        <w:right w:val="none" w:sz="0" w:space="0" w:color="auto"/>
                      </w:divBdr>
                      <w:divsChild>
                        <w:div w:id="1502965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461468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ecqi.healthit.gov/ep-ec?qt-tabs_ep=ecqm-resources" TargetMode="External"/><Relationship Id="rId21" Type="http://schemas.openxmlformats.org/officeDocument/2006/relationships/header" Target="header5.xml"/><Relationship Id="rId42" Type="http://schemas.openxmlformats.org/officeDocument/2006/relationships/hyperlink" Target="https://ecqi.healthit.gov/cql/about" TargetMode="External"/><Relationship Id="rId47" Type="http://schemas.openxmlformats.org/officeDocument/2006/relationships/hyperlink" Target="https://www.snomed.org/five-step-briefing" TargetMode="External"/><Relationship Id="rId63" Type="http://schemas.openxmlformats.org/officeDocument/2006/relationships/hyperlink" Target="https://ecqi.healthit.gov/" TargetMode="External"/><Relationship Id="rId68" Type="http://schemas.openxmlformats.org/officeDocument/2006/relationships/hyperlink" Target="https://mmshub.cms.gov/measure-lifecycle/measure-specification/specifications-measure-category" TargetMode="External"/><Relationship Id="rId84" Type="http://schemas.openxmlformats.org/officeDocument/2006/relationships/hyperlink" Target="https://mmshub.cms.gov/glossary" TargetMode="External"/><Relationship Id="rId89" Type="http://schemas.openxmlformats.org/officeDocument/2006/relationships/header" Target="header24.xml"/><Relationship Id="rId16" Type="http://schemas.openxmlformats.org/officeDocument/2006/relationships/header" Target="header1.xml"/><Relationship Id="rId11" Type="http://schemas.openxmlformats.org/officeDocument/2006/relationships/settings" Target="settings.xml"/><Relationship Id="rId32" Type="http://schemas.openxmlformats.org/officeDocument/2006/relationships/header" Target="header9.xml"/><Relationship Id="rId37" Type="http://schemas.openxmlformats.org/officeDocument/2006/relationships/hyperlink" Target="https://ecqi.healthit.gov/qdm/about" TargetMode="External"/><Relationship Id="rId53" Type="http://schemas.openxmlformats.org/officeDocument/2006/relationships/hyperlink" Target="https://vsac.nlm.nih.gov/download/ecqm" TargetMode="External"/><Relationship Id="rId58" Type="http://schemas.openxmlformats.org/officeDocument/2006/relationships/header" Target="header11.xml"/><Relationship Id="rId74" Type="http://schemas.openxmlformats.org/officeDocument/2006/relationships/hyperlink" Target="https://ecqi.healthit.gov/ecqm/ec/2026/cms0155v14" TargetMode="External"/><Relationship Id="rId79" Type="http://schemas.openxmlformats.org/officeDocument/2006/relationships/hyperlink" Target="https://oncprojectracking.healthit.gov/" TargetMode="External"/><Relationship Id="rId5" Type="http://schemas.openxmlformats.org/officeDocument/2006/relationships/customXml" Target="../customXml/item5.xml"/><Relationship Id="rId90" Type="http://schemas.openxmlformats.org/officeDocument/2006/relationships/footer" Target="footer6.xml"/><Relationship Id="rId95" Type="http://schemas.openxmlformats.org/officeDocument/2006/relationships/theme" Target="theme/theme1.xml"/><Relationship Id="rId22" Type="http://schemas.openxmlformats.org/officeDocument/2006/relationships/header" Target="header6.xml"/><Relationship Id="rId27" Type="http://schemas.openxmlformats.org/officeDocument/2006/relationships/hyperlink" Target="https://ecqi.healthit.gov/eh-cah?qt-tabs_eh=ecqm-resources&amp;global_measure_group=eCQMs" TargetMode="External"/><Relationship Id="rId43" Type="http://schemas.openxmlformats.org/officeDocument/2006/relationships/hyperlink" Target="https://www.emeasuretool.cms.gov/training-resources" TargetMode="External"/><Relationship Id="rId48" Type="http://schemas.openxmlformats.org/officeDocument/2006/relationships/hyperlink" Target="https://www.loinc.org" TargetMode="External"/><Relationship Id="rId64" Type="http://schemas.openxmlformats.org/officeDocument/2006/relationships/header" Target="header13.xml"/><Relationship Id="rId69" Type="http://schemas.openxmlformats.org/officeDocument/2006/relationships/hyperlink" Target="https://ecqi.healthit.gov/ecqm/ec/2026/cms0122v14" TargetMode="External"/><Relationship Id="rId8" Type="http://schemas.openxmlformats.org/officeDocument/2006/relationships/customXml" Target="../customXml/item8.xml"/><Relationship Id="rId51" Type="http://schemas.openxmlformats.org/officeDocument/2006/relationships/hyperlink" Target="https://www.nlm.nih.gov/vsac/support/usingvsac/requestumlslicense.html" TargetMode="External"/><Relationship Id="rId72" Type="http://schemas.openxmlformats.org/officeDocument/2006/relationships/hyperlink" Target="https://ecqi.healthit.gov/ecqm/ec/2026/cms0155v14" TargetMode="External"/><Relationship Id="rId80" Type="http://schemas.openxmlformats.org/officeDocument/2006/relationships/header" Target="header19.xml"/><Relationship Id="rId85" Type="http://schemas.openxmlformats.org/officeDocument/2006/relationships/hyperlink" Target="https://ecqi.healthit.gov/ecqm/hosp-inpt/2026/cms0334v7" TargetMode="External"/><Relationship Id="rId93" Type="http://schemas.openxmlformats.org/officeDocument/2006/relationships/header" Target="header27.xml"/><Relationship Id="rId3" Type="http://schemas.openxmlformats.org/officeDocument/2006/relationships/customXml" Target="../customXml/item3.xml"/><Relationship Id="rId12" Type="http://schemas.openxmlformats.org/officeDocument/2006/relationships/webSettings" Target="webSettings.xml"/><Relationship Id="rId17" Type="http://schemas.openxmlformats.org/officeDocument/2006/relationships/header" Target="header2.xml"/><Relationship Id="rId25" Type="http://schemas.openxmlformats.org/officeDocument/2006/relationships/hyperlink" Target="https://mmshub.cms.gov/tools-and-resources/mms-supplemental-materials" TargetMode="External"/><Relationship Id="rId33" Type="http://schemas.openxmlformats.org/officeDocument/2006/relationships/footer" Target="footer3.xml"/><Relationship Id="rId38" Type="http://schemas.openxmlformats.org/officeDocument/2006/relationships/image" Target="media/image2.jpeg"/><Relationship Id="rId46" Type="http://schemas.openxmlformats.org/officeDocument/2006/relationships/hyperlink" Target="https://www.cdc.gov/nchs/icd/icd-10-cm/index.html" TargetMode="External"/><Relationship Id="rId59" Type="http://schemas.openxmlformats.org/officeDocument/2006/relationships/header" Target="header12.xml"/><Relationship Id="rId67" Type="http://schemas.openxmlformats.org/officeDocument/2006/relationships/hyperlink" Target="https://ecqi.healthit.gov/ecqm-tools-key-resources" TargetMode="External"/><Relationship Id="rId20" Type="http://schemas.openxmlformats.org/officeDocument/2006/relationships/header" Target="header4.xml"/><Relationship Id="rId41" Type="http://schemas.openxmlformats.org/officeDocument/2006/relationships/image" Target="media/image3.png"/><Relationship Id="rId54" Type="http://schemas.openxmlformats.org/officeDocument/2006/relationships/hyperlink" Target="https://ecqi.healthit.gov/value-set-information/about" TargetMode="External"/><Relationship Id="rId62" Type="http://schemas.openxmlformats.org/officeDocument/2006/relationships/hyperlink" Target="https://ecqi.healthit.gov/" TargetMode="External"/><Relationship Id="rId70" Type="http://schemas.openxmlformats.org/officeDocument/2006/relationships/hyperlink" Target="https://ecqi.healthit.gov/ecqm/hosp-inpt/2026/cms0826v3" TargetMode="External"/><Relationship Id="rId75" Type="http://schemas.openxmlformats.org/officeDocument/2006/relationships/hyperlink" Target="https://ecqi.healthit.gov/ecqm/hosp-inpt/2026/cms0871v5" TargetMode="External"/><Relationship Id="rId83" Type="http://schemas.openxmlformats.org/officeDocument/2006/relationships/hyperlink" Target="https://p4qm.org/measures" TargetMode="External"/><Relationship Id="rId88" Type="http://schemas.openxmlformats.org/officeDocument/2006/relationships/footer" Target="footer5.xml"/><Relationship Id="rId91" Type="http://schemas.openxmlformats.org/officeDocument/2006/relationships/header" Target="header25.xml"/><Relationship Id="rId1" Type="http://schemas.openxmlformats.org/officeDocument/2006/relationships/customXml" Target="../customXml/item1.xml"/><Relationship Id="rId6" Type="http://schemas.openxmlformats.org/officeDocument/2006/relationships/customXml" Target="../customXml/item6.xml"/><Relationship Id="rId15" Type="http://schemas.openxmlformats.org/officeDocument/2006/relationships/image" Target="media/image1.png"/><Relationship Id="rId23" Type="http://schemas.openxmlformats.org/officeDocument/2006/relationships/footer" Target="footer2.xml"/><Relationship Id="rId28" Type="http://schemas.openxmlformats.org/officeDocument/2006/relationships/hyperlink" Target="https://ecqi.healthit.gov/oqr?qt-tabs_oqr=outpatient-ecqms&amp;global_measure_group=eCQMs" TargetMode="External"/><Relationship Id="rId36" Type="http://schemas.openxmlformats.org/officeDocument/2006/relationships/hyperlink" Target="https://mmshub.cms.gov/blueprint-measure-lifecycle-overview" TargetMode="External"/><Relationship Id="rId49" Type="http://schemas.openxmlformats.org/officeDocument/2006/relationships/hyperlink" Target="https://www.nlm.nih.gov/vsac/support/usingvsac/requestumlslicense.html" TargetMode="External"/><Relationship Id="rId57" Type="http://schemas.openxmlformats.org/officeDocument/2006/relationships/header" Target="header10.xml"/><Relationship Id="rId10" Type="http://schemas.openxmlformats.org/officeDocument/2006/relationships/styles" Target="styles.xml"/><Relationship Id="rId31" Type="http://schemas.openxmlformats.org/officeDocument/2006/relationships/header" Target="header8.xml"/><Relationship Id="rId44" Type="http://schemas.openxmlformats.org/officeDocument/2006/relationships/hyperlink" Target="https://vsac.nlm.nih.gov/" TargetMode="External"/><Relationship Id="rId52" Type="http://schemas.openxmlformats.org/officeDocument/2006/relationships/hyperlink" Target="https://www.nlm.nih.gov/vsac/support/usingvsac/vsacsvsapiv2.html" TargetMode="External"/><Relationship Id="rId60" Type="http://schemas.openxmlformats.org/officeDocument/2006/relationships/footer" Target="footer4.xml"/><Relationship Id="rId65" Type="http://schemas.openxmlformats.org/officeDocument/2006/relationships/header" Target="header14.xml"/><Relationship Id="rId73" Type="http://schemas.openxmlformats.org/officeDocument/2006/relationships/hyperlink" Target="https://ecqi.healthit.gov/ecqm/ec/2026/cms0138v14" TargetMode="External"/><Relationship Id="rId78" Type="http://schemas.openxmlformats.org/officeDocument/2006/relationships/header" Target="header18.xml"/><Relationship Id="rId81" Type="http://schemas.openxmlformats.org/officeDocument/2006/relationships/header" Target="header20.xml"/><Relationship Id="rId86" Type="http://schemas.openxmlformats.org/officeDocument/2006/relationships/header" Target="header22.xml"/><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footer" Target="footer1.xml"/><Relationship Id="rId39" Type="http://schemas.openxmlformats.org/officeDocument/2006/relationships/hyperlink" Target="https://ecqi.healthit.gov/sites/default/files/QDM-v5.6-508.pdf" TargetMode="External"/><Relationship Id="rId34" Type="http://schemas.openxmlformats.org/officeDocument/2006/relationships/hyperlink" Target="https://ecqi.healthit.gov/ecqm-standards" TargetMode="External"/><Relationship Id="rId50" Type="http://schemas.openxmlformats.org/officeDocument/2006/relationships/hyperlink" Target="https://www.nlm.nih.gov/vsac/support/usingvsac/requestumlslicense.html" TargetMode="External"/><Relationship Id="rId55" Type="http://schemas.openxmlformats.org/officeDocument/2006/relationships/hyperlink" Target="https://ecqi.healthit.gov/ecqm/ec/2026/cms0154v14" TargetMode="External"/><Relationship Id="rId76" Type="http://schemas.openxmlformats.org/officeDocument/2006/relationships/header" Target="header16.xml"/><Relationship Id="rId7" Type="http://schemas.openxmlformats.org/officeDocument/2006/relationships/customXml" Target="../customXml/item7.xml"/><Relationship Id="rId71" Type="http://schemas.openxmlformats.org/officeDocument/2006/relationships/hyperlink" Target="https://ecqi.healthit.gov/ecqm/hosp-inpt/2026/cms0826v3" TargetMode="External"/><Relationship Id="rId92" Type="http://schemas.openxmlformats.org/officeDocument/2006/relationships/header" Target="header26.xml"/><Relationship Id="rId2" Type="http://schemas.openxmlformats.org/officeDocument/2006/relationships/customXml" Target="../customXml/item2.xml"/><Relationship Id="rId29" Type="http://schemas.openxmlformats.org/officeDocument/2006/relationships/hyperlink" Target="https://ecqi.healthit.gov/cql?qt-tabs_cql=1" TargetMode="External"/><Relationship Id="rId24" Type="http://schemas.openxmlformats.org/officeDocument/2006/relationships/hyperlink" Target="https://mmshub.cms.gov/blueprint-measure-lifecycle-overview" TargetMode="External"/><Relationship Id="rId40" Type="http://schemas.openxmlformats.org/officeDocument/2006/relationships/hyperlink" Target="https://ecqi.healthit.gov/ecqi-tools-key-resources?qt-teste=1" TargetMode="External"/><Relationship Id="rId45" Type="http://schemas.openxmlformats.org/officeDocument/2006/relationships/hyperlink" Target="https://www.ama-assn.org/practice-management/cpt-current-procedural-terminology" TargetMode="External"/><Relationship Id="rId66" Type="http://schemas.openxmlformats.org/officeDocument/2006/relationships/header" Target="header15.xml"/><Relationship Id="rId87" Type="http://schemas.openxmlformats.org/officeDocument/2006/relationships/header" Target="header23.xml"/><Relationship Id="rId61" Type="http://schemas.openxmlformats.org/officeDocument/2006/relationships/hyperlink" Target="https://ecqi.healthit.gov/" TargetMode="External"/><Relationship Id="rId82" Type="http://schemas.openxmlformats.org/officeDocument/2006/relationships/header" Target="header21.xml"/><Relationship Id="rId19" Type="http://schemas.openxmlformats.org/officeDocument/2006/relationships/header" Target="header3.xml"/><Relationship Id="rId14" Type="http://schemas.openxmlformats.org/officeDocument/2006/relationships/endnotes" Target="endnotes.xml"/><Relationship Id="rId30" Type="http://schemas.openxmlformats.org/officeDocument/2006/relationships/header" Target="header7.xml"/><Relationship Id="rId35" Type="http://schemas.openxmlformats.org/officeDocument/2006/relationships/hyperlink" Target="https://ecqi.healthit.gov/hqmf/about" TargetMode="External"/><Relationship Id="rId56" Type="http://schemas.openxmlformats.org/officeDocument/2006/relationships/hyperlink" Target="https://vsac.nlm.nih.gov/download/ecqm" TargetMode="External"/><Relationship Id="rId77" Type="http://schemas.openxmlformats.org/officeDocument/2006/relationships/header" Target="header17.xml"/></Relationships>
</file>

<file path=word/_rels/footnotes.xml.rels><?xml version="1.0" encoding="UTF-8" standalone="yes"?>
<Relationships xmlns="http://schemas.openxmlformats.org/package/2006/relationships"><Relationship Id="rId3" Type="http://schemas.openxmlformats.org/officeDocument/2006/relationships/hyperlink" Target="https://ecqi.healthit.gov/sites/default/files/QDM-v5.6-508.pdf" TargetMode="External"/><Relationship Id="rId2" Type="http://schemas.openxmlformats.org/officeDocument/2006/relationships/hyperlink" Target="https://ecqi.healthit.gov/sites/default/files/QDM-v5.6-508.pdf" TargetMode="External"/><Relationship Id="rId1" Type="http://schemas.openxmlformats.org/officeDocument/2006/relationships/hyperlink" Target="https://ecqi.healthit.gov/fhir" TargetMode="External"/><Relationship Id="rId5" Type="http://schemas.openxmlformats.org/officeDocument/2006/relationships/hyperlink" Target="https://ecqi.healthit.gov/glossary" TargetMode="External"/><Relationship Id="rId4" Type="http://schemas.openxmlformats.org/officeDocument/2006/relationships/hyperlink" Target="https://confluence.hl7.org/display/HL7/Understanding+the+Standards+Proces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bauman\Mathematica\Mathematica%20Templates%20-%20Documents\1MathU-Report.dotm" TargetMode="External"/></Relationships>
</file>

<file path=word/theme/theme1.xml><?xml version="1.0" encoding="utf-8"?>
<a:theme xmlns:a="http://schemas.openxmlformats.org/drawingml/2006/main" name="MathematicaUniversal">
  <a:themeElements>
    <a:clrScheme name="Custom 72">
      <a:dk1>
        <a:sysClr val="windowText" lastClr="000000"/>
      </a:dk1>
      <a:lt1>
        <a:sysClr val="window" lastClr="FFFFFF"/>
      </a:lt1>
      <a:dk2>
        <a:srgbClr val="046B5C"/>
      </a:dk2>
      <a:lt2>
        <a:srgbClr val="E0D4B5"/>
      </a:lt2>
      <a:accent1>
        <a:srgbClr val="0B2949"/>
      </a:accent1>
      <a:accent2>
        <a:srgbClr val="D02B27"/>
      </a:accent2>
      <a:accent3>
        <a:srgbClr val="5B6771"/>
      </a:accent3>
      <a:accent4>
        <a:srgbClr val="F1B51C"/>
      </a:accent4>
      <a:accent5>
        <a:srgbClr val="189394"/>
      </a:accent5>
      <a:accent6>
        <a:srgbClr val="17A673"/>
      </a:accent6>
      <a:hlink>
        <a:srgbClr val="0563C1"/>
      </a:hlink>
      <a:folHlink>
        <a:srgbClr val="0563C1"/>
      </a:folHlink>
    </a:clrScheme>
    <a:fontScheme name="All-Segoe-UI">
      <a:majorFont>
        <a:latin typeface="Segoe UI"/>
        <a:ea typeface=""/>
        <a:cs typeface=""/>
      </a:majorFont>
      <a:minorFont>
        <a:latin typeface="Segoe U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MathematicaUniversal" id="{BB05129C-F736-476A-B98F-8146642B56CC}" vid="{081D5247-F3CF-45D3-9D58-60382E69F0C8}"/>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ybP2+E046iAX/5NDKkCFaoUo2fQ==">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</go:docsCustomData>
</go:gDocsCustomXmlDataStorage>
</file>

<file path=customXml/item4.xml><?xml version="1.0" encoding="utf-8"?>
<ct:contentTypeSchema xmlns:ct="http://schemas.microsoft.com/office/2006/metadata/contentType" xmlns:ma="http://schemas.microsoft.com/office/2006/metadata/properties/metaAttributes" ct:_="" ma:_="" ma:contentTypeName="Document" ma:contentTypeID="0x0101009CB39C152DDB92498BB4EE3A298672FE" ma:contentTypeVersion="6" ma:contentTypeDescription="Create a new document." ma:contentTypeScope="" ma:versionID="ba40c1d6c2c41af2a2bf6e4870ebfbd2">
  <xsd:schema xmlns:xsd="http://www.w3.org/2001/XMLSchema" xmlns:xs="http://www.w3.org/2001/XMLSchema" xmlns:p="http://schemas.microsoft.com/office/2006/metadata/properties" xmlns:ns2="7a336a5f-c867-444e-95a4-d04440ed9068" targetNamespace="http://schemas.microsoft.com/office/2006/metadata/properties" ma:root="true" ma:fieldsID="9613b88179d0d324b0d7cb86c3a3fd34" ns2:_="">
    <xsd:import namespace="7a336a5f-c867-444e-95a4-d04440ed906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336a5f-c867-444e-95a4-d04440ed906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mso-contentType ?>
<FormTemplates xmlns="http://schemas.microsoft.com/sharepoint/v3/contenttype/forms">
  <Display>DocumentLibraryForm</Display>
  <Edit>DocumentLibraryForm</Edit>
  <New>DocumentLibraryForm</New>
</FormTemplates>
</file>

<file path=customXml/item7.xml><?xml version="1.0" encoding="utf-8"?>
<p:properties xmlns:p="http://schemas.microsoft.com/office/2006/metadata/properties" xmlns:xsi="http://www.w3.org/2001/XMLSchema-instance" xmlns:pc="http://schemas.microsoft.com/office/infopath/2007/PartnerControls">
  <documentManagement/>
</p:properties>
</file>

<file path=customXml/item8.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B6EB767-B165-42ED-A6E9-0633C7A1AA19}">
  <ds:schemaRefs>
    <ds:schemaRef ds:uri="http://schemas.microsoft.com/sharepoint/v3/contenttype/forms"/>
  </ds:schemaRefs>
</ds:datastoreItem>
</file>

<file path=customXml/itemProps2.xml><?xml version="1.0" encoding="utf-8"?>
<ds:datastoreItem xmlns:ds="http://schemas.openxmlformats.org/officeDocument/2006/customXml" ds:itemID="{3056193F-D246-4BBC-BD13-3BAB5A097A54}">
  <ds:schemaRefs>
    <ds:schemaRef ds:uri="http://purl.org/dc/elements/1.1/"/>
    <ds:schemaRef ds:uri="http://schemas.microsoft.com/office/2006/documentManagement/types"/>
    <ds:schemaRef ds:uri="http://purl.org/dc/terms/"/>
    <ds:schemaRef ds:uri="http://schemas.openxmlformats.org/package/2006/metadata/core-properties"/>
    <ds:schemaRef ds:uri="http://purl.org/dc/dcmitype/"/>
    <ds:schemaRef ds:uri="http://www.w3.org/XML/1998/namespace"/>
    <ds:schemaRef ds:uri="http://schemas.microsoft.com/office/infopath/2007/PartnerControls"/>
    <ds:schemaRef ds:uri="7a336a5f-c867-444e-95a4-d04440ed9068"/>
    <ds:schemaRef ds:uri="http://schemas.microsoft.com/office/2006/metadata/properties"/>
  </ds:schemaRefs>
</ds:datastoreItem>
</file>

<file path=customXml/itemProps3.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4.xml><?xml version="1.0" encoding="utf-8"?>
<ds:datastoreItem xmlns:ds="http://schemas.openxmlformats.org/officeDocument/2006/customXml" ds:itemID="{405FEC2D-812F-4A1F-A0AF-C61D00A451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336a5f-c867-444e-95a4-d04440ed90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BCFA58C-0793-479A-BCCB-9CEFFE04BFAC}">
  <ds:schemaRefs>
    <ds:schemaRef ds:uri="http://schemas.openxmlformats.org/officeDocument/2006/bibliography"/>
  </ds:schemaRefs>
</ds:datastoreItem>
</file>

<file path=customXml/itemProps6.xml><?xml version="1.0" encoding="utf-8"?>
<ds:datastoreItem xmlns:ds="http://schemas.openxmlformats.org/officeDocument/2006/customXml" ds:itemID="{2374606F-D05A-49AC-9EC6-5CA4B7EE51F8}">
  <ds:schemaRefs>
    <ds:schemaRef ds:uri="http://schemas.microsoft.com/sharepoint/v3/contenttype/forms"/>
  </ds:schemaRefs>
</ds:datastoreItem>
</file>

<file path=customXml/itemProps7.xml><?xml version="1.0" encoding="utf-8"?>
<ds:datastoreItem xmlns:ds="http://schemas.openxmlformats.org/officeDocument/2006/customXml" ds:itemID="{9EC8CEA9-781A-4E4F-ADAB-6081079060EA}">
  <ds:schemaRefs>
    <ds:schemaRef ds:uri="http://schemas.microsoft.com/office/2006/documentManagement/types"/>
    <ds:schemaRef ds:uri="http://purl.org/dc/dcmitype/"/>
    <ds:schemaRef ds:uri="7a336a5f-c867-444e-95a4-d04440ed9068"/>
    <ds:schemaRef ds:uri="http://www.w3.org/XML/1998/namespace"/>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purl.org/dc/terms/"/>
  </ds:schemaRefs>
</ds:datastoreItem>
</file>

<file path=customXml/itemProps8.xml><?xml version="1.0" encoding="utf-8"?>
<ds:datastoreItem xmlns:ds="http://schemas.openxmlformats.org/officeDocument/2006/customXml" ds:itemID="{5C247C07-3D9A-4E06-A4C0-D4C0B93278A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1MathU-Report.dotm</Template>
  <TotalTime>5444</TotalTime>
  <Pages>34</Pages>
  <Words>9756</Words>
  <Characters>63948</Characters>
  <Application>Microsoft Office Word</Application>
  <DocSecurity>0</DocSecurity>
  <Lines>1332</Lines>
  <Paragraphs>867</Paragraphs>
  <ScaleCrop>false</ScaleCrop>
  <HeadingPairs>
    <vt:vector size="2" baseType="variant">
      <vt:variant>
        <vt:lpstr>Title</vt:lpstr>
      </vt:variant>
      <vt:variant>
        <vt:i4>1</vt:i4>
      </vt:variant>
    </vt:vector>
  </HeadingPairs>
  <TitlesOfParts>
    <vt:vector size="1" baseType="lpstr">
      <vt:lpstr>Guide for Reading Electronic Clinical Quality Measures (eCQMs)</vt:lpstr>
    </vt:vector>
  </TitlesOfParts>
  <Company/>
  <LinksUpToDate>false</LinksUpToDate>
  <CharactersWithSpaces>72837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Guide for Reading Electronic Clinical Quality Measures (eCQMs)</dc:title>
  <dc:subject>Resource for Eligible Clinician and Hospital eCQM Implementers</dc:subject>
  <dc:creator>Centers for Medicare &amp; Medicaid Services/Office of the National Coordinator for Health Information Technology</dc:creator>
  <cp:keywords>eCQM; eligible clinicians; hospitals; outpatient; CQL; reading; guide; guidance; CMS; electronic; clinical; quality; measure; language</cp:keywords>
  <dc:description/>
  <cp:lastModifiedBy>Moriah Bauman - Mathematica</cp:lastModifiedBy>
  <cp:revision>56</cp:revision>
  <dcterms:created xsi:type="dcterms:W3CDTF">2025-10-10T21:28:00Z</dcterms:created>
  <dcterms:modified xsi:type="dcterms:W3CDTF">2026-01-05T19:36:00Z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0x0101009CB39C152DDB92498BB4EE3A298672FE</vt:lpwstr>
  </property>
  <property fmtid="{D5CDD505-2E9C-101B-9397-08002B2CF9AE}" pid="4" name="MediaServiceImageTags">
    <vt:lpwstr/>
  </property>
  <property fmtid="{D5CDD505-2E9C-101B-9397-08002B2CF9AE}" pid="5" name="docLang">
    <vt:lpwstr>en</vt:lpwstr>
  </property>
  <property fmtid="{D5CDD505-2E9C-101B-9397-08002B2CF9AE}" pid="6" name="GrammarlyDocumentId">
    <vt:lpwstr>22cbc69e-4fb4-4d0d-b6a9-051fb369af50</vt:lpwstr>
  </property>
</Properties>
</file>